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7677" w:rsidP="00077677">
      <w:pPr>
        <w:rPr>
          <w:rFonts w:ascii="Verdana" w:hAnsi="Verdana"/>
          <w:b/>
          <w:sz w:val="28"/>
          <w:szCs w:val="28"/>
        </w:rPr>
      </w:pPr>
      <w:r w:rsidRPr="00084D83">
        <w:rPr>
          <w:rFonts w:ascii="Verdana" w:hAnsi="Verdana"/>
          <w:b/>
          <w:sz w:val="28"/>
          <w:szCs w:val="28"/>
        </w:rPr>
        <w:t>Dr Florance Phu</w:t>
      </w:r>
      <w:r w:rsidRPr="00084D83" w:rsidR="00E73256">
        <w:rPr>
          <w:rFonts w:ascii="Verdana" w:hAnsi="Verdana"/>
          <w:b/>
          <w:sz w:val="28"/>
          <w:szCs w:val="28"/>
        </w:rPr>
        <w:t xml:space="preserve">a </w:t>
      </w:r>
      <w:r w:rsidRPr="00084D83">
        <w:rPr>
          <w:rFonts w:ascii="Verdana" w:hAnsi="Verdana"/>
          <w:b/>
          <w:sz w:val="28"/>
          <w:szCs w:val="28"/>
        </w:rPr>
        <w:t>–</w:t>
      </w:r>
      <w:r w:rsidRPr="00084D83" w:rsidR="00E73256">
        <w:rPr>
          <w:rFonts w:ascii="Verdana" w:hAnsi="Verdana"/>
          <w:b/>
          <w:sz w:val="28"/>
          <w:szCs w:val="28"/>
        </w:rPr>
        <w:t xml:space="preserve"> </w:t>
      </w:r>
      <w:r w:rsidRPr="00084D83">
        <w:rPr>
          <w:rFonts w:ascii="Verdana" w:hAnsi="Verdana"/>
          <w:b/>
          <w:sz w:val="28"/>
          <w:szCs w:val="28"/>
        </w:rPr>
        <w:t>Written evidence (NTB0004)</w:t>
      </w:r>
    </w:p>
    <w:p w:rsidR="00B50E5E" w:rsidRPr="00B50E5E" w:rsidP="00CA0810">
      <w:pPr>
        <w:rPr>
          <w:rFonts w:ascii="Verdana" w:hAnsi="Verdana"/>
          <w:b/>
          <w:bCs/>
          <w:sz w:val="28"/>
          <w:szCs w:val="28"/>
        </w:rPr>
      </w:pPr>
    </w:p>
    <w:p w:rsidR="00000000" w:rsidRPr="00084D83" w:rsidP="00CA0810">
      <w:pPr>
        <w:rPr>
          <w:rFonts w:ascii="Verdana" w:hAnsi="Verdana"/>
        </w:rPr>
      </w:pPr>
      <w:r w:rsidRPr="00084D83">
        <w:rPr>
          <w:rFonts w:ascii="Verdana" w:hAnsi="Verdana"/>
        </w:rPr>
        <w:t>Once locations have been agreed, what are the factors limiting the physical construction of new towns? How can they be addressed?</w:t>
      </w:r>
    </w:p>
    <w:p w:rsidR="00000000" w:rsidRPr="00077677" w:rsidP="00CA0810">
      <w:pPr>
        <w:rPr>
          <w:rFonts w:ascii="Verdana" w:hAnsi="Verdana"/>
        </w:rPr>
      </w:pPr>
      <w:r w:rsidRPr="00084D83">
        <w:rPr>
          <w:rFonts w:ascii="Verdana" w:hAnsi="Verdana"/>
        </w:rPr>
        <w:t xml:space="preserve">Improving construction apprenticeships to address skills shortages, social mobility and workforce inclusion </w:t>
      </w:r>
    </w:p>
    <w:p w:rsidR="00000000" w:rsidRPr="00084D83" w:rsidP="00CA0810">
      <w:pPr>
        <w:rPr>
          <w:rFonts w:ascii="Verdana" w:hAnsi="Verdana"/>
        </w:rPr>
      </w:pPr>
    </w:p>
    <w:p w:rsidR="00000000" w:rsidRPr="00CA0810" w:rsidP="00CA0810">
      <w:pPr>
        <w:rPr>
          <w:rFonts w:ascii="Verdana" w:hAnsi="Verdana"/>
          <w:b/>
        </w:rPr>
      </w:pPr>
      <w:r w:rsidRPr="00084D83">
        <w:rPr>
          <w:rFonts w:ascii="Verdana" w:hAnsi="Verdana"/>
          <w:b/>
        </w:rPr>
        <w:t>Context</w:t>
      </w:r>
    </w:p>
    <w:p w:rsidR="00000000" w:rsidRPr="00077677" w:rsidP="002D77BF">
      <w:pPr>
        <w:pStyle w:val="ListParagraph"/>
        <w:numPr>
          <w:ilvl w:val="0"/>
          <w:numId w:val="40"/>
        </w:numPr>
        <w:contextualSpacing w:val="0"/>
        <w:rPr>
          <w:rFonts w:ascii="Verdana" w:hAnsi="Verdana"/>
        </w:rPr>
      </w:pPr>
      <w:r w:rsidRPr="00077677">
        <w:rPr>
          <w:rFonts w:ascii="Verdana" w:hAnsi="Verdana"/>
        </w:rPr>
        <w:t xml:space="preserve">The construction sector contributes approximately 7% of UK GDP, yet persistent skills shortages threaten its capacity to deliver the Government's ambitions for housing, infrastructure renewal and the transition to net zero. To meet immediate labour demands, the sector has become increasingly reliant on migrant workers. Construction occupations and trades account for 25% </w:t>
      </w:r>
      <w:r w:rsidRPr="00077677">
        <w:rPr>
          <w:rFonts w:ascii="Verdana" w:hAnsi="Verdana"/>
        </w:rPr>
        <w:t>proportion of roles on the Immigration Salary List, while migrant workers comprise approximately one-quarter of the national construction workforce and almost half of site-based workers in London (Winterbotham et al., 2020). Evidence also suggests that many migrant workers face language barriers, creating additional challenges for training, communication and workforce integration (Oswald et al., 2019). While migrant labour remains vital to the industry's functioning, this dependence raises important questio</w:t>
      </w:r>
      <w:r w:rsidRPr="00077677">
        <w:rPr>
          <w:rFonts w:ascii="Verdana" w:hAnsi="Verdana"/>
        </w:rPr>
        <w:t xml:space="preserve">ns about the long-term resilience, sustainability and domestic skills capacity of the construction workforce. </w:t>
      </w:r>
    </w:p>
    <w:p w:rsidR="00000000" w:rsidRPr="00077677" w:rsidP="002D77BF">
      <w:pPr>
        <w:pStyle w:val="ListParagraph"/>
        <w:numPr>
          <w:ilvl w:val="0"/>
          <w:numId w:val="40"/>
        </w:numPr>
        <w:ind w:left="357" w:hanging="357"/>
        <w:contextualSpacing w:val="0"/>
        <w:rPr>
          <w:rFonts w:ascii="Verdana" w:hAnsi="Verdana"/>
        </w:rPr>
      </w:pPr>
      <w:r w:rsidRPr="00077677">
        <w:rPr>
          <w:rFonts w:ascii="Verdana" w:hAnsi="Verdana"/>
        </w:rPr>
        <w:t xml:space="preserve">Apprenticeships are widely recognised as one of the most effective routes into skilled employment and offer significant potential to strengthen the domestic talent pipeline, particularly for young people who do not enter higher education. However, the system is currently underperforming. Apprenticeship completion rates remain below 50%, and up to three-quarters of </w:t>
      </w:r>
      <w:r w:rsidRPr="00077677">
        <w:rPr>
          <w:rFonts w:ascii="Verdana" w:hAnsi="Verdana"/>
        </w:rPr>
        <w:t>apprentices</w:t>
      </w:r>
      <w:r w:rsidRPr="00077677">
        <w:rPr>
          <w:rFonts w:ascii="Verdana" w:hAnsi="Verdana"/>
        </w:rPr>
        <w:t xml:space="preserve"> report feeling inadequately prepared for the realities of the workplace. These challenges are particularly acute for young people aged 16–24 who are not in education, employment or training (NEET). Many face multiple and overlapping barriers, including financial insecurity, low confidence, limited professional networks and inconsistent support. As a result, a group that could help address the sector's skills shortage is simultaneously among those most likely to be excluded from entering and succ</w:t>
      </w:r>
      <w:r w:rsidRPr="00077677">
        <w:rPr>
          <w:rFonts w:ascii="Verdana" w:hAnsi="Verdana"/>
        </w:rPr>
        <w:t xml:space="preserve">essfully completing apprenticeship pathways. </w:t>
      </w:r>
    </w:p>
    <w:p w:rsidR="00000000" w:rsidRPr="00077677" w:rsidP="002D77BF">
      <w:pPr>
        <w:pStyle w:val="ListParagraph"/>
        <w:numPr>
          <w:ilvl w:val="0"/>
          <w:numId w:val="40"/>
        </w:numPr>
        <w:ind w:left="357" w:hanging="357"/>
        <w:contextualSpacing w:val="0"/>
        <w:rPr>
          <w:rFonts w:ascii="Verdana" w:hAnsi="Verdana"/>
        </w:rPr>
      </w:pPr>
      <w:r w:rsidRPr="00077677">
        <w:rPr>
          <w:rFonts w:ascii="Verdana" w:hAnsi="Verdana"/>
        </w:rPr>
        <w:t xml:space="preserve">Drawing on an ongoing research programme examining UK’s non-degree construction apprenticeships (Levels 2–5), this evidence argues that addressing skills shortages requires more than increasing apprenticeship numbers. Greater attention must be given to the quality of workplace learning, employer capability, and the support available before and during apprenticeship participation. </w:t>
      </w:r>
      <w:r w:rsidRPr="00077677">
        <w:rPr>
          <w:rFonts w:ascii="Verdana" w:hAnsi="Verdana"/>
        </w:rPr>
        <w:t>In particular, evidence</w:t>
      </w:r>
      <w:r w:rsidRPr="00077677">
        <w:rPr>
          <w:rFonts w:ascii="Verdana" w:hAnsi="Verdana"/>
        </w:rPr>
        <w:t xml:space="preserve"> points to the importance of strengthened pre-apprenticeship preparation, structured mentoring and work-based learning (WBL) programmes, and enhanced pastoral support for disadvantaged learners. </w:t>
      </w:r>
    </w:p>
    <w:p w:rsidR="00000000" w:rsidRPr="00077677" w:rsidP="002D77BF">
      <w:pPr>
        <w:ind w:left="357" w:hanging="357"/>
        <w:rPr>
          <w:rFonts w:ascii="Verdana" w:hAnsi="Verdana"/>
        </w:rPr>
      </w:pPr>
    </w:p>
    <w:p w:rsidR="00000000" w:rsidRPr="00077677" w:rsidP="002D77BF">
      <w:pPr>
        <w:pStyle w:val="ListParagraph"/>
        <w:numPr>
          <w:ilvl w:val="0"/>
          <w:numId w:val="40"/>
        </w:numPr>
        <w:ind w:left="357" w:hanging="357"/>
        <w:contextualSpacing w:val="0"/>
        <w:rPr>
          <w:rFonts w:ascii="Verdana" w:hAnsi="Verdana"/>
        </w:rPr>
      </w:pPr>
      <w:r w:rsidRPr="00077677">
        <w:rPr>
          <w:rFonts w:ascii="Verdana" w:hAnsi="Verdana"/>
        </w:rPr>
        <w:t>A more inclusive and better-coordinated apprenticeship system would improve completion and progression rates, widen access to skilled employment, and help create a sustainable construction workforce capable of meeting future demand.</w:t>
      </w:r>
    </w:p>
    <w:p w:rsidR="00000000" w:rsidRPr="00077677" w:rsidP="00CA0810">
      <w:pPr>
        <w:rPr>
          <w:rFonts w:ascii="Verdana" w:hAnsi="Verdana"/>
        </w:rPr>
      </w:pPr>
    </w:p>
    <w:p w:rsidR="00000000" w:rsidRPr="00CA0810" w:rsidP="00CA0810">
      <w:pPr>
        <w:rPr>
          <w:rFonts w:ascii="Verdana" w:hAnsi="Verdana"/>
          <w:b/>
        </w:rPr>
      </w:pPr>
      <w:r w:rsidRPr="00CA0810">
        <w:rPr>
          <w:rFonts w:ascii="Verdana" w:hAnsi="Verdana"/>
          <w:b/>
        </w:rPr>
        <w:t>The construction skills challenge</w:t>
      </w:r>
    </w:p>
    <w:p w:rsidR="00000000" w:rsidRPr="00077677" w:rsidP="004F7507">
      <w:pPr>
        <w:pStyle w:val="ListParagraph"/>
        <w:numPr>
          <w:ilvl w:val="0"/>
          <w:numId w:val="40"/>
        </w:numPr>
        <w:ind w:left="357" w:hanging="357"/>
        <w:contextualSpacing w:val="0"/>
        <w:rPr>
          <w:rFonts w:ascii="Verdana" w:hAnsi="Verdana"/>
        </w:rPr>
      </w:pPr>
      <w:r w:rsidRPr="00077677">
        <w:rPr>
          <w:rFonts w:ascii="Verdana" w:hAnsi="Verdana"/>
        </w:rPr>
        <w:t xml:space="preserve">The UK construction industry is projected to require approximately 240,000 additional apprentices over the coming decade (Places for People, 2025), yet apprenticeship recruitment, completion and progression remain insufficient to meet this </w:t>
      </w:r>
      <w:r w:rsidRPr="00077677">
        <w:rPr>
          <w:rFonts w:ascii="Verdana" w:hAnsi="Verdana"/>
        </w:rPr>
        <w:t>demand  (</w:t>
      </w:r>
      <w:r w:rsidRPr="00077677">
        <w:rPr>
          <w:rFonts w:ascii="Verdana" w:hAnsi="Verdana"/>
        </w:rPr>
        <w:t>CITB, 2025; Strategic Resourcing, 2025). At the same time, the number of young people who are NEET has reached its highest level in a decade to a million (Moreau, 2026)</w:t>
      </w:r>
      <w:r w:rsidRPr="00077677">
        <w:rPr>
          <w:rFonts w:ascii="Verdana" w:hAnsi="Verdana"/>
        </w:rPr>
        <w:t>. Extended periods spent outside education and employment are associated with increased risks of future unemployment, low earnings, poorer health outcomes, entrenching long</w:t>
      </w:r>
      <w:r w:rsidRPr="00077677">
        <w:rPr>
          <w:rFonts w:ascii="Verdana" w:hAnsi="Verdana"/>
        </w:rPr>
        <w:noBreakHyphen/>
        <w:t>term disadvantage and reducing life chances (House of Commons Library, 2025).</w:t>
      </w:r>
    </w:p>
    <w:p w:rsidR="00000000" w:rsidRPr="00077677" w:rsidP="009758DB">
      <w:pPr>
        <w:pStyle w:val="ListParagraph"/>
        <w:numPr>
          <w:ilvl w:val="0"/>
          <w:numId w:val="40"/>
        </w:numPr>
        <w:ind w:left="357" w:hanging="357"/>
        <w:contextualSpacing w:val="0"/>
        <w:rPr>
          <w:rFonts w:ascii="Verdana" w:hAnsi="Verdana"/>
        </w:rPr>
      </w:pPr>
      <w:r w:rsidRPr="00077677">
        <w:rPr>
          <w:rFonts w:ascii="Verdana" w:hAnsi="Verdana"/>
        </w:rPr>
        <w:t>Construction apprenticeships have the potential to address both challenges simultaneously: they can help meet industry skills needs while providing accessible pathways into skilled employment for NEETs</w:t>
      </w:r>
      <w:r w:rsidRPr="00077677">
        <w:rPr>
          <w:rFonts w:ascii="Verdana" w:hAnsi="Verdana"/>
        </w:rPr>
        <w:t>. However, current evidence suggests that many apprenticeship programmes are not delivering this potential consistently. Variations in employer capacity, training quality and learner support create unequal experiences and outcomes across the sector.</w:t>
      </w:r>
    </w:p>
    <w:p w:rsidR="00000000" w:rsidRPr="00077677" w:rsidP="009758DB">
      <w:pPr>
        <w:pStyle w:val="ListParagraph"/>
        <w:numPr>
          <w:ilvl w:val="0"/>
          <w:numId w:val="40"/>
        </w:numPr>
        <w:ind w:left="357" w:hanging="357"/>
        <w:contextualSpacing w:val="0"/>
        <w:rPr>
          <w:rFonts w:ascii="Verdana" w:hAnsi="Verdana"/>
        </w:rPr>
      </w:pPr>
      <w:r w:rsidRPr="00077677">
        <w:rPr>
          <w:rFonts w:ascii="Verdana" w:hAnsi="Verdana"/>
        </w:rPr>
        <w:t>A system-level evaluation is therefore needed to understand how apprenticeship pathways can better serve both employers and learners.</w:t>
      </w:r>
    </w:p>
    <w:p w:rsidR="00000000" w:rsidRPr="00CA0810" w:rsidP="00CA0810">
      <w:pPr>
        <w:rPr>
          <w:rFonts w:ascii="Verdana" w:hAnsi="Verdana"/>
          <w:i/>
        </w:rPr>
      </w:pPr>
      <w:r w:rsidRPr="00CA0810">
        <w:rPr>
          <w:rFonts w:ascii="Verdana" w:hAnsi="Verdana"/>
          <w:i/>
        </w:rPr>
        <w:t xml:space="preserve">Industry readiness and equitable access </w:t>
      </w:r>
    </w:p>
    <w:p w:rsidR="00000000" w:rsidRPr="00806F15" w:rsidP="00DD29DA">
      <w:pPr>
        <w:pStyle w:val="ListParagraph"/>
        <w:numPr>
          <w:ilvl w:val="0"/>
          <w:numId w:val="40"/>
        </w:numPr>
        <w:ind w:left="357" w:hanging="357"/>
        <w:contextualSpacing w:val="0"/>
        <w:rPr>
          <w:rFonts w:ascii="Verdana" w:hAnsi="Verdana"/>
        </w:rPr>
      </w:pPr>
      <w:r w:rsidRPr="00806F15">
        <w:rPr>
          <w:rFonts w:ascii="Verdana" w:hAnsi="Verdana"/>
        </w:rPr>
        <w:t>Increasing apprentice recruitment alone will not resolve labour shortages if the sector lacks the capacity to support apprentices effectively. The ability of employers to provide meaningful workplace learning varies considerably across the industry. The Committee should consider whether the construction sector is currently equipped to absorb increasing numbers of apprentices while maintaining quality and fairness.</w:t>
      </w:r>
    </w:p>
    <w:p w:rsidR="00000000" w:rsidRPr="00077677" w:rsidP="00DD29DA">
      <w:pPr>
        <w:pStyle w:val="ListParagraph"/>
        <w:numPr>
          <w:ilvl w:val="0"/>
          <w:numId w:val="40"/>
        </w:numPr>
        <w:ind w:left="357" w:hanging="357"/>
        <w:contextualSpacing w:val="0"/>
        <w:rPr>
          <w:rFonts w:ascii="Verdana" w:hAnsi="Verdana"/>
        </w:rPr>
      </w:pPr>
      <w:r w:rsidRPr="00077677">
        <w:rPr>
          <w:rFonts w:ascii="Verdana" w:hAnsi="Verdana"/>
        </w:rPr>
        <w:t>L</w:t>
      </w:r>
      <w:r w:rsidRPr="00077677">
        <w:rPr>
          <w:rFonts w:ascii="Verdana" w:hAnsi="Verdana"/>
        </w:rPr>
        <w:t xml:space="preserve">arge employers often possess dedicated training teams, established supervisory structures and clear progression pathways for apprenticeship programmes. In contrast, many small and medium-sized enterprises (SMEs), which make up </w:t>
      </w:r>
      <w:r w:rsidRPr="00077677">
        <w:rPr>
          <w:rFonts w:ascii="Verdana" w:hAnsi="Verdana"/>
        </w:rPr>
        <w:t>the majority of</w:t>
      </w:r>
      <w:r w:rsidRPr="00077677">
        <w:rPr>
          <w:rFonts w:ascii="Verdana" w:hAnsi="Verdana"/>
        </w:rPr>
        <w:t xml:space="preserve"> construction businesses, frequently face constraints in time, resources and training expertise. Consequently, apprenticeship quality can vary significantly depending on employer size, location and organisational capacity. These differences significantly influence the quality of workplace learning experiences available to apprentices.</w:t>
      </w:r>
    </w:p>
    <w:p w:rsidR="00000000" w:rsidRPr="002D77BF" w:rsidP="00DD29DA">
      <w:pPr>
        <w:pStyle w:val="ListParagraph"/>
        <w:numPr>
          <w:ilvl w:val="0"/>
          <w:numId w:val="40"/>
        </w:numPr>
        <w:ind w:left="357" w:hanging="357"/>
        <w:contextualSpacing w:val="0"/>
        <w:rPr>
          <w:rFonts w:ascii="Verdana" w:hAnsi="Verdana"/>
        </w:rPr>
      </w:pPr>
      <w:r w:rsidRPr="002D77BF">
        <w:rPr>
          <w:rFonts w:ascii="Verdana" w:hAnsi="Verdana"/>
        </w:rPr>
        <w:t xml:space="preserve">Access to opportunities is also shaped by regional disparities in training provision and labour market demand. As a result, young people can experience substantially different apprenticeship journeys depending on where they live and which employer they work for. The availability of further </w:t>
      </w:r>
      <w:r w:rsidRPr="002D77BF">
        <w:rPr>
          <w:rFonts w:ascii="Verdana" w:hAnsi="Verdana"/>
        </w:rPr>
        <w:t xml:space="preserve">education (FE) </w:t>
      </w:r>
      <w:r w:rsidRPr="002D77BF">
        <w:rPr>
          <w:rFonts w:ascii="Verdana" w:hAnsi="Verdana"/>
        </w:rPr>
        <w:t>providers, employer opportunities and specialist provision differs considerably across the country, creating unequal access to high-quality apprenticeships. For many young people, particularly those from disadvantaged backgrounds, opportunities are therefore determined as much by geography as by ability.</w:t>
      </w:r>
    </w:p>
    <w:p w:rsidR="00000000" w:rsidRPr="00077677" w:rsidP="00DD29DA">
      <w:pPr>
        <w:pStyle w:val="ListParagraph"/>
        <w:numPr>
          <w:ilvl w:val="0"/>
          <w:numId w:val="40"/>
        </w:numPr>
        <w:ind w:left="357" w:hanging="357"/>
        <w:contextualSpacing w:val="0"/>
        <w:rPr>
          <w:rFonts w:ascii="Verdana" w:hAnsi="Verdana"/>
        </w:rPr>
      </w:pPr>
      <w:r w:rsidRPr="00077677">
        <w:rPr>
          <w:rFonts w:ascii="Verdana" w:hAnsi="Verdana"/>
        </w:rPr>
        <w:t>I</w:t>
      </w:r>
      <w:r w:rsidRPr="00077677">
        <w:rPr>
          <w:rFonts w:ascii="Verdana" w:hAnsi="Verdana"/>
        </w:rPr>
        <w:t>mportantly, barriers often emerge before a young person enters an apprenticeship. Many NEET young people have limited exposure to construction careers, little understanding of apprenticeship pathways and low confidence in their ability to succeed in professional environments. Others face practical barriers associated with transport, equipment costs or financial insecurity.</w:t>
      </w:r>
    </w:p>
    <w:p w:rsidR="00000000" w:rsidRPr="00077677" w:rsidP="00DD29DA">
      <w:pPr>
        <w:pStyle w:val="ListParagraph"/>
        <w:numPr>
          <w:ilvl w:val="0"/>
          <w:numId w:val="40"/>
        </w:numPr>
        <w:ind w:left="357" w:hanging="357"/>
        <w:contextualSpacing w:val="0"/>
        <w:rPr>
          <w:rFonts w:ascii="Verdana" w:hAnsi="Verdana"/>
        </w:rPr>
      </w:pPr>
      <w:r w:rsidRPr="00077677">
        <w:rPr>
          <w:rFonts w:ascii="Verdana" w:hAnsi="Verdana"/>
        </w:rPr>
        <w:t>Research suggests that improving access begins well before apprenticeship enrolment. Be</w:t>
      </w:r>
      <w:r w:rsidRPr="00077677">
        <w:rPr>
          <w:rFonts w:ascii="Verdana" w:hAnsi="Verdana"/>
        </w:rPr>
        <w:t>tter careers advice, targeted outreach, work-readiness programmes and employer engagement initiatives could help bridge the gap between disadvantaged young people and apprenticeship opportunities. Such interventions would not only widen participation but also improve learner preparedness and increase the likelihood of successful completion.</w:t>
      </w:r>
    </w:p>
    <w:p w:rsidR="00000000" w:rsidRPr="00BE08AF" w:rsidP="00BE08AF">
      <w:pPr>
        <w:ind w:left="142"/>
        <w:rPr>
          <w:rFonts w:ascii="Verdana" w:hAnsi="Verdana"/>
          <w:i/>
        </w:rPr>
      </w:pPr>
      <w:r w:rsidRPr="00BE08AF">
        <w:rPr>
          <w:rFonts w:ascii="Verdana" w:hAnsi="Verdana"/>
          <w:i/>
        </w:rPr>
        <w:t>Programme quality and workplace competence</w:t>
      </w:r>
    </w:p>
    <w:p w:rsidR="00000000" w:rsidRPr="00077677" w:rsidP="00616B79">
      <w:pPr>
        <w:pStyle w:val="ListParagraph"/>
        <w:numPr>
          <w:ilvl w:val="0"/>
          <w:numId w:val="40"/>
        </w:numPr>
        <w:contextualSpacing w:val="0"/>
        <w:rPr>
          <w:rFonts w:ascii="Verdana" w:hAnsi="Verdana"/>
        </w:rPr>
      </w:pPr>
      <w:r w:rsidRPr="00077677">
        <w:rPr>
          <w:rFonts w:ascii="Verdana" w:hAnsi="Verdana"/>
        </w:rPr>
        <w:t>A key concern is whether current apprenticeship programmes consistently develop the technical, professional and employability skills required for contemporary construction practices and demands.</w:t>
      </w:r>
    </w:p>
    <w:p w:rsidR="00000000" w:rsidRPr="00077677" w:rsidP="00616B79">
      <w:pPr>
        <w:pStyle w:val="ListParagraph"/>
        <w:numPr>
          <w:ilvl w:val="0"/>
          <w:numId w:val="40"/>
        </w:numPr>
        <w:contextualSpacing w:val="0"/>
        <w:rPr>
          <w:rFonts w:ascii="Verdana" w:hAnsi="Verdana"/>
        </w:rPr>
      </w:pPr>
      <w:r w:rsidRPr="00077677">
        <w:rPr>
          <w:rFonts w:ascii="Verdana" w:hAnsi="Verdana"/>
        </w:rPr>
        <w:t xml:space="preserve">Many apprentices report substantial variation in workplace learning experiences. Evidence points to significant variation in workplace learning experiences. Many apprentices report differences in supervision quality, where some benefit from structured development and active supervision, while </w:t>
      </w:r>
      <w:r w:rsidRPr="00077677">
        <w:rPr>
          <w:rFonts w:ascii="Verdana" w:hAnsi="Verdana"/>
        </w:rPr>
        <w:t>others receive limited guidance and are primarily exposed to routine tasks that offer restricted opportunities for skills development and opportunities to develop broader professional competencies. Weak integration between off-the-job training and workplace practice can further reduce learning effectiveness and contribute to disengagement.</w:t>
      </w:r>
    </w:p>
    <w:p w:rsidR="00000000" w:rsidRPr="00077677" w:rsidP="00616B79">
      <w:pPr>
        <w:pStyle w:val="ListParagraph"/>
        <w:numPr>
          <w:ilvl w:val="0"/>
          <w:numId w:val="40"/>
        </w:numPr>
        <w:contextualSpacing w:val="0"/>
        <w:rPr>
          <w:rFonts w:ascii="Verdana" w:hAnsi="Verdana"/>
        </w:rPr>
      </w:pPr>
      <w:r w:rsidRPr="00077677">
        <w:rPr>
          <w:rFonts w:ascii="Verdana" w:hAnsi="Verdana"/>
        </w:rPr>
        <w:t>Evidence suggests that structured mentoring and high-quality work-based learning are among the strongest predictors of positive apprenticeship outcomes (</w:t>
      </w:r>
      <w:r w:rsidRPr="00077677">
        <w:rPr>
          <w:rFonts w:ascii="Verdana" w:hAnsi="Verdana"/>
        </w:rPr>
        <w:t xml:space="preserve">. Effective mentors provide more than technical instruction; they help apprentices navigate workplace expectations, develop professional behaviours and build confidence in applying new skills. This is particularly important for young people entering construction without established professional networks or family connections within the industry. </w:t>
      </w:r>
    </w:p>
    <w:p w:rsidR="00000000" w:rsidRPr="00077677">
      <w:pPr>
        <w:pStyle w:val="ListParagraph"/>
        <w:numPr>
          <w:ilvl w:val="0"/>
          <w:numId w:val="40"/>
        </w:numPr>
        <w:contextualSpacing w:val="0"/>
        <w:rPr>
          <w:rFonts w:ascii="Verdana" w:hAnsi="Verdana"/>
        </w:rPr>
      </w:pPr>
      <w:r w:rsidRPr="00077677">
        <w:rPr>
          <w:rFonts w:ascii="Verdana" w:hAnsi="Verdana"/>
        </w:rPr>
        <w:t xml:space="preserve">Despite its importance, mentoring remains inconsistently implemented across the sector. Many supervisors receive little or no preparation for supporting </w:t>
      </w:r>
      <w:r w:rsidRPr="00077677">
        <w:rPr>
          <w:rFonts w:ascii="Verdana" w:hAnsi="Verdana"/>
        </w:rPr>
        <w:t>apprentices, while competing commercial pressures can limit opportunities for meaningful workplace learning.</w:t>
      </w:r>
    </w:p>
    <w:p w:rsidR="00000000" w:rsidRPr="00077677">
      <w:pPr>
        <w:pStyle w:val="ListParagraph"/>
        <w:numPr>
          <w:ilvl w:val="0"/>
          <w:numId w:val="40"/>
        </w:numPr>
        <w:contextualSpacing w:val="0"/>
        <w:rPr>
          <w:rFonts w:ascii="Verdana" w:hAnsi="Verdana"/>
        </w:rPr>
      </w:pPr>
      <w:r w:rsidRPr="00077677">
        <w:rPr>
          <w:rFonts w:ascii="Verdana" w:hAnsi="Verdana"/>
        </w:rPr>
        <w:t xml:space="preserve">The Committee may therefore wish to consider mechanisms that support employers, particularly SMEs to introduce more structured mentoring arrangements and better-designed workplace learning programmes. Greater consistency in these areas should therefore be viewed as an investment in </w:t>
      </w:r>
      <w:r w:rsidRPr="00077677">
        <w:rPr>
          <w:rFonts w:ascii="Verdana" w:hAnsi="Verdana"/>
        </w:rPr>
        <w:t xml:space="preserve">workforce productivity and retention </w:t>
      </w:r>
      <w:r w:rsidRPr="00077677">
        <w:rPr>
          <w:rFonts w:ascii="Verdana" w:hAnsi="Verdana"/>
        </w:rPr>
        <w:t>could improve competency development, reduce attrition and strengthen progression into skilled employment.</w:t>
      </w:r>
    </w:p>
    <w:p w:rsidR="00000000" w:rsidRPr="00675321" w:rsidP="00084D83">
      <w:pPr>
        <w:rPr>
          <w:rFonts w:ascii="Verdana" w:hAnsi="Verdana"/>
          <w:i/>
        </w:rPr>
      </w:pPr>
      <w:r w:rsidRPr="00675321">
        <w:rPr>
          <w:rFonts w:ascii="Verdana" w:hAnsi="Verdana"/>
          <w:i/>
        </w:rPr>
        <w:t>Supporting NEET young people into construction careers</w:t>
      </w:r>
    </w:p>
    <w:p w:rsidR="00000000" w:rsidRPr="00077677">
      <w:pPr>
        <w:pStyle w:val="ListParagraph"/>
        <w:numPr>
          <w:ilvl w:val="0"/>
          <w:numId w:val="40"/>
        </w:numPr>
        <w:contextualSpacing w:val="0"/>
        <w:rPr>
          <w:rFonts w:ascii="Verdana" w:hAnsi="Verdana"/>
        </w:rPr>
      </w:pPr>
      <w:r w:rsidRPr="00077677">
        <w:rPr>
          <w:rFonts w:ascii="Verdana" w:hAnsi="Verdana"/>
        </w:rPr>
        <w:t>The experiences of NEET young people highlight the limitations of an apprenticeship system that focuses predominantly on technical training while giving insufficient attention to wider learner needs.</w:t>
      </w:r>
    </w:p>
    <w:p w:rsidR="00000000" w:rsidRPr="00077677">
      <w:pPr>
        <w:pStyle w:val="ListParagraph"/>
        <w:numPr>
          <w:ilvl w:val="0"/>
          <w:numId w:val="40"/>
        </w:numPr>
        <w:contextualSpacing w:val="0"/>
        <w:rPr>
          <w:rFonts w:ascii="Verdana" w:hAnsi="Verdana"/>
        </w:rPr>
      </w:pPr>
      <w:r w:rsidRPr="00077677">
        <w:rPr>
          <w:rFonts w:ascii="Verdana" w:hAnsi="Verdana"/>
        </w:rPr>
        <w:t xml:space="preserve">Many NEET </w:t>
      </w:r>
      <w:r w:rsidRPr="00077677">
        <w:rPr>
          <w:rFonts w:ascii="Verdana" w:hAnsi="Verdana"/>
        </w:rPr>
        <w:t>apprentices face challenges that extend beyond the workplace, including financial hardship, housing instability, poor mental health, caring responsibilities and limited access to support networks. Such circumstances can significantly affect attendance, engagement and retention, regardless of an individual's ability or motivation.</w:t>
      </w:r>
    </w:p>
    <w:p w:rsidR="00000000" w:rsidRPr="00077677">
      <w:pPr>
        <w:pStyle w:val="ListParagraph"/>
        <w:numPr>
          <w:ilvl w:val="0"/>
          <w:numId w:val="40"/>
        </w:numPr>
        <w:contextualSpacing w:val="0"/>
        <w:rPr>
          <w:rFonts w:ascii="Verdana" w:hAnsi="Verdana"/>
        </w:rPr>
      </w:pPr>
      <w:r w:rsidRPr="00077677">
        <w:rPr>
          <w:rFonts w:ascii="Verdana" w:hAnsi="Verdana"/>
        </w:rPr>
        <w:t>Current support mechanisms often fail to recognise the cumulative impact of these challenges. Yet evidence consistently demonstrates that successful apprenticeships depend upon both technical development and personal support.</w:t>
      </w:r>
    </w:p>
    <w:p w:rsidR="00000000" w:rsidRPr="00077677">
      <w:pPr>
        <w:pStyle w:val="ListParagraph"/>
        <w:numPr>
          <w:ilvl w:val="0"/>
          <w:numId w:val="40"/>
        </w:numPr>
        <w:contextualSpacing w:val="0"/>
        <w:rPr>
          <w:rFonts w:ascii="Verdana" w:hAnsi="Verdana"/>
        </w:rPr>
      </w:pPr>
      <w:r w:rsidRPr="00077677">
        <w:rPr>
          <w:rFonts w:ascii="Verdana" w:hAnsi="Verdana"/>
        </w:rPr>
        <w:t>Enhanced pastoral support should therefore be considered a fundamental component of apprenticeship quality rather than an optional addition. Regular wellbeing reviews, dedicated learner support staff, financial guidance and early intervention measures can help address problems before they lead to withdrawal. For vulnerable NEET learners, such support may be the determining factor between completion and disengagement.</w:t>
      </w:r>
    </w:p>
    <w:p w:rsidR="00000000" w:rsidRPr="00077677">
      <w:pPr>
        <w:pStyle w:val="ListParagraph"/>
        <w:numPr>
          <w:ilvl w:val="0"/>
          <w:numId w:val="40"/>
        </w:numPr>
        <w:contextualSpacing w:val="0"/>
        <w:rPr>
          <w:rFonts w:ascii="Verdana" w:hAnsi="Verdana"/>
        </w:rPr>
      </w:pPr>
      <w:r w:rsidRPr="00077677">
        <w:rPr>
          <w:rFonts w:ascii="Verdana" w:hAnsi="Verdana"/>
        </w:rPr>
        <w:t xml:space="preserve">Improving retention among NEET apprentices would not only deliver </w:t>
      </w:r>
      <w:r w:rsidRPr="00675321">
        <w:rPr>
          <w:rFonts w:ascii="Verdana" w:hAnsi="Verdana"/>
        </w:rPr>
        <w:t>more equitable outcomes across the sector</w:t>
      </w:r>
      <w:r w:rsidRPr="00077677">
        <w:rPr>
          <w:rFonts w:ascii="Verdana" w:hAnsi="Verdana"/>
        </w:rPr>
        <w:t xml:space="preserve"> but would also help employers retain talent and reduce recruitment costs within a sector facing chronic labour shortages.</w:t>
      </w:r>
    </w:p>
    <w:p w:rsidR="00000000" w:rsidRPr="00B12E43" w:rsidP="00B12E43">
      <w:pPr>
        <w:rPr>
          <w:rFonts w:ascii="Verdana" w:hAnsi="Verdana"/>
          <w:i/>
        </w:rPr>
      </w:pPr>
      <w:r w:rsidRPr="00B12E43">
        <w:rPr>
          <w:rFonts w:ascii="Verdana" w:hAnsi="Verdana"/>
          <w:i/>
        </w:rPr>
        <w:t>Social mobility and workforce sustainability</w:t>
      </w:r>
    </w:p>
    <w:p w:rsidR="00000000" w:rsidRPr="00077677">
      <w:pPr>
        <w:pStyle w:val="ListParagraph"/>
        <w:numPr>
          <w:ilvl w:val="0"/>
          <w:numId w:val="40"/>
        </w:numPr>
        <w:contextualSpacing w:val="0"/>
        <w:rPr>
          <w:rFonts w:ascii="Verdana" w:hAnsi="Verdana"/>
        </w:rPr>
      </w:pPr>
      <w:r w:rsidRPr="00077677">
        <w:rPr>
          <w:rFonts w:ascii="Verdana" w:hAnsi="Verdana"/>
        </w:rPr>
        <w:t xml:space="preserve">Construction apprenticeships occupy a unique position at the intersection of economic policy and social policy. </w:t>
      </w:r>
      <w:r w:rsidRPr="00077677">
        <w:rPr>
          <w:rFonts w:ascii="Verdana" w:hAnsi="Verdana"/>
        </w:rPr>
        <w:t>They have the potential to address skills shortages while simultaneously creating pathways to secure, well-paid employment for young people who might otherwise face long-term labour market exclusion.</w:t>
      </w:r>
    </w:p>
    <w:p w:rsidR="00000000" w:rsidRPr="00077677">
      <w:pPr>
        <w:pStyle w:val="ListParagraph"/>
        <w:numPr>
          <w:ilvl w:val="0"/>
          <w:numId w:val="40"/>
        </w:numPr>
        <w:contextualSpacing w:val="0"/>
        <w:rPr>
          <w:rFonts w:ascii="Verdana" w:hAnsi="Verdana"/>
        </w:rPr>
      </w:pPr>
      <w:r w:rsidRPr="00077677">
        <w:rPr>
          <w:rFonts w:ascii="Verdana" w:hAnsi="Verdana"/>
        </w:rPr>
        <w:t>However, this potential remains only partially realised. Current evidence suggests that apprenticeship outcomes are shaped by the interaction of employer capability, programme design, workplace learning quality, learner support and broader institutional structures. Addressing these factors in isolation is</w:t>
      </w:r>
      <w:r w:rsidRPr="00077677">
        <w:rPr>
          <w:rFonts w:ascii="Verdana" w:hAnsi="Verdana"/>
        </w:rPr>
        <w:t xml:space="preserve"> unlikely to produce meaningful system-wide improvement. Consequently, policy responses focused solely on increasing apprenticeship numbers are unlikely to resolve the skills shortages challenge.</w:t>
      </w:r>
    </w:p>
    <w:p w:rsidR="00000000" w:rsidRPr="00077677">
      <w:pPr>
        <w:pStyle w:val="ListParagraph"/>
        <w:numPr>
          <w:ilvl w:val="0"/>
          <w:numId w:val="40"/>
        </w:numPr>
        <w:contextualSpacing w:val="0"/>
        <w:rPr>
          <w:rFonts w:ascii="Verdana" w:hAnsi="Verdana"/>
        </w:rPr>
      </w:pPr>
      <w:r w:rsidRPr="00077677">
        <w:rPr>
          <w:rFonts w:ascii="Verdana" w:hAnsi="Verdana"/>
        </w:rPr>
        <w:t xml:space="preserve">A more effective, system-wide </w:t>
      </w:r>
      <w:r w:rsidRPr="00077677">
        <w:rPr>
          <w:rFonts w:ascii="Verdana" w:hAnsi="Verdana"/>
        </w:rPr>
        <w:t xml:space="preserve">approach would strengthen the entire apprenticeship journey. This begins with preparing young people to enter apprenticeships successfully, continues through the provision of structured mentoring and high-quality workplace learning, and is reinforced by sustained </w:t>
      </w:r>
      <w:r w:rsidRPr="00077677">
        <w:rPr>
          <w:rFonts w:ascii="Verdana" w:hAnsi="Verdana"/>
        </w:rPr>
        <w:t>pastoral support that enables learners to overcome personal and practical challenges.</w:t>
      </w:r>
    </w:p>
    <w:p w:rsidR="00000000" w:rsidRPr="00077677">
      <w:pPr>
        <w:pStyle w:val="ListParagraph"/>
        <w:numPr>
          <w:ilvl w:val="0"/>
          <w:numId w:val="40"/>
        </w:numPr>
        <w:contextualSpacing w:val="0"/>
        <w:rPr>
          <w:rFonts w:ascii="Verdana" w:hAnsi="Verdana"/>
        </w:rPr>
      </w:pPr>
      <w:r w:rsidRPr="00077677">
        <w:rPr>
          <w:rFonts w:ascii="Verdana" w:hAnsi="Verdana"/>
        </w:rPr>
        <w:t>Taken together, these interventions offer a realistic and achievable route towards improving both apprenticeship outcomes and workforce resilience.</w:t>
      </w:r>
    </w:p>
    <w:p w:rsidR="008A605D" w:rsidRPr="00675321" w:rsidP="008A605D">
      <w:pPr>
        <w:pStyle w:val="ListParagraph"/>
        <w:ind w:left="502"/>
        <w:contextualSpacing w:val="0"/>
        <w:rPr>
          <w:rFonts w:ascii="Verdana" w:hAnsi="Verdana"/>
        </w:rPr>
      </w:pPr>
    </w:p>
    <w:p w:rsidR="00000000" w:rsidRPr="00FF6460" w:rsidP="008A605D">
      <w:pPr>
        <w:rPr>
          <w:rFonts w:ascii="Verdana" w:hAnsi="Verdana"/>
          <w:b/>
        </w:rPr>
      </w:pPr>
      <w:r w:rsidRPr="00FF6460">
        <w:rPr>
          <w:rFonts w:ascii="Verdana" w:hAnsi="Verdana"/>
          <w:b/>
        </w:rPr>
        <w:t>Recommendations</w:t>
      </w:r>
    </w:p>
    <w:p w:rsidR="00000000" w:rsidRPr="00077677">
      <w:pPr>
        <w:pStyle w:val="ListParagraph"/>
        <w:numPr>
          <w:ilvl w:val="0"/>
          <w:numId w:val="40"/>
        </w:numPr>
        <w:contextualSpacing w:val="0"/>
        <w:rPr>
          <w:rFonts w:ascii="Verdana" w:hAnsi="Verdana"/>
        </w:rPr>
      </w:pPr>
      <w:r w:rsidRPr="00077677">
        <w:rPr>
          <w:rFonts w:ascii="Verdana" w:hAnsi="Verdana"/>
        </w:rPr>
        <w:t>To strengthen the construction skills pipeline and reduce long-term dependence on migrant labour, the Committee may wish to consider the following recommendations:</w:t>
      </w:r>
    </w:p>
    <w:p w:rsidR="00000000" w:rsidRPr="00077677">
      <w:pPr>
        <w:pStyle w:val="ListParagraph"/>
        <w:numPr>
          <w:ilvl w:val="0"/>
          <w:numId w:val="40"/>
        </w:numPr>
        <w:contextualSpacing w:val="0"/>
        <w:rPr>
          <w:rFonts w:ascii="Verdana" w:hAnsi="Verdana"/>
        </w:rPr>
      </w:pPr>
      <w:r w:rsidRPr="00077677">
        <w:rPr>
          <w:rFonts w:ascii="Verdana" w:hAnsi="Verdana"/>
        </w:rPr>
        <w:t>Strengthen pre-apprenticeship support through targeted initiatives or programmes that improve career awareness, workplace readiness and transition into construction apprenticeships, particularly for NEET young people.</w:t>
      </w:r>
    </w:p>
    <w:p w:rsidR="00000000" w:rsidRPr="00077677">
      <w:pPr>
        <w:pStyle w:val="ListParagraph"/>
        <w:numPr>
          <w:ilvl w:val="0"/>
          <w:numId w:val="40"/>
        </w:numPr>
        <w:contextualSpacing w:val="0"/>
        <w:rPr>
          <w:rFonts w:ascii="Verdana" w:hAnsi="Verdana"/>
        </w:rPr>
      </w:pPr>
      <w:r w:rsidRPr="00077677">
        <w:rPr>
          <w:rFonts w:ascii="Verdana" w:hAnsi="Verdana"/>
        </w:rPr>
        <w:t>Support employers, particularly SMEs that may lack dedicated training capacity or incentive</w:t>
      </w:r>
      <w:r w:rsidRPr="00077677">
        <w:rPr>
          <w:rFonts w:ascii="Verdana" w:hAnsi="Verdana"/>
        </w:rPr>
        <w:t>, to provide structured mentoring and high-quality work-based learning, including guidance, training and targeted incentives for apprentice supervisors.</w:t>
      </w:r>
    </w:p>
    <w:p w:rsidR="00000000" w:rsidRPr="00077677">
      <w:pPr>
        <w:pStyle w:val="ListParagraph"/>
        <w:numPr>
          <w:ilvl w:val="0"/>
          <w:numId w:val="40"/>
        </w:numPr>
        <w:contextualSpacing w:val="0"/>
        <w:rPr>
          <w:rFonts w:ascii="Verdana" w:hAnsi="Verdana"/>
        </w:rPr>
      </w:pPr>
      <w:r w:rsidRPr="00077677">
        <w:rPr>
          <w:rFonts w:ascii="Verdana" w:hAnsi="Verdana"/>
        </w:rPr>
        <w:t>Embed enhanced pastoral support within apprenticeship provision, recognising learner experiences, wellbeing, retention and progression as essential indicators of success.</w:t>
      </w:r>
    </w:p>
    <w:p w:rsidR="00000000" w:rsidRPr="00077677">
      <w:pPr>
        <w:pStyle w:val="ListParagraph"/>
        <w:numPr>
          <w:ilvl w:val="0"/>
          <w:numId w:val="40"/>
        </w:numPr>
        <w:contextualSpacing w:val="0"/>
        <w:rPr>
          <w:rFonts w:ascii="Verdana" w:hAnsi="Verdana"/>
        </w:rPr>
      </w:pPr>
      <w:r w:rsidRPr="00077677">
        <w:rPr>
          <w:rFonts w:ascii="Verdana" w:hAnsi="Verdana"/>
        </w:rPr>
        <w:t>Undertake a national review of non-degree construction apprenticeships (Levels 2–5) to assess their effectiveness in meeting workforce needs and improving social mobility.</w:t>
      </w:r>
    </w:p>
    <w:p w:rsidR="00000000" w:rsidRPr="00077677">
      <w:pPr>
        <w:pStyle w:val="ListParagraph"/>
        <w:numPr>
          <w:ilvl w:val="0"/>
          <w:numId w:val="40"/>
        </w:numPr>
        <w:contextualSpacing w:val="0"/>
        <w:rPr>
          <w:rFonts w:ascii="Verdana" w:hAnsi="Verdana"/>
        </w:rPr>
      </w:pPr>
      <w:r w:rsidRPr="00077677">
        <w:rPr>
          <w:rFonts w:ascii="Verdana" w:hAnsi="Verdana"/>
        </w:rPr>
        <w:t>Improve coordination between government, industry bodies, employers and further education and training providers to establish consistent quality standards, strengthen qualification recognition and accreditation, and ensure equitable access to high-quality apprenticeship opportunities across all regions.</w:t>
      </w:r>
    </w:p>
    <w:p w:rsidR="00000000" w:rsidRPr="00077677" w:rsidP="0024098E">
      <w:pPr>
        <w:rPr>
          <w:rFonts w:ascii="Verdana" w:hAnsi="Verdana"/>
        </w:rPr>
      </w:pPr>
    </w:p>
    <w:p w:rsidR="00000000" w:rsidRPr="008A605D" w:rsidP="008A605D">
      <w:pPr>
        <w:rPr>
          <w:rFonts w:ascii="Verdana" w:hAnsi="Verdana"/>
          <w:b/>
        </w:rPr>
      </w:pPr>
      <w:r w:rsidRPr="008A605D">
        <w:rPr>
          <w:rFonts w:ascii="Verdana" w:hAnsi="Verdana"/>
          <w:b/>
        </w:rPr>
        <w:t>Conclusion</w:t>
      </w:r>
    </w:p>
    <w:p w:rsidR="00000000" w:rsidRPr="00077677">
      <w:pPr>
        <w:pStyle w:val="ListParagraph"/>
        <w:numPr>
          <w:ilvl w:val="0"/>
          <w:numId w:val="40"/>
        </w:numPr>
        <w:contextualSpacing w:val="0"/>
        <w:rPr>
          <w:rFonts w:ascii="Verdana" w:hAnsi="Verdana"/>
        </w:rPr>
      </w:pPr>
      <w:r w:rsidRPr="00077677">
        <w:rPr>
          <w:rFonts w:ascii="Verdana" w:hAnsi="Verdana"/>
        </w:rPr>
        <w:t>The construction sector's future workforce needs will not be met by increasing apprenticeship starts alone. Addressing skills shortages and reducing long-term reliance on migrant labour requires a stronger domestic talent pipeline supported by high-quality, accessible apprenticeship pathways.</w:t>
      </w:r>
    </w:p>
    <w:p w:rsidR="008A605D">
      <w:pPr>
        <w:pStyle w:val="ListParagraph"/>
        <w:numPr>
          <w:ilvl w:val="0"/>
          <w:numId w:val="40"/>
        </w:numPr>
        <w:contextualSpacing w:val="0"/>
        <w:rPr>
          <w:rFonts w:ascii="Verdana" w:hAnsi="Verdana"/>
        </w:rPr>
      </w:pPr>
      <w:r w:rsidRPr="00077677">
        <w:rPr>
          <w:rFonts w:ascii="Verdana" w:hAnsi="Verdana"/>
        </w:rPr>
        <w:t xml:space="preserve">Evidence suggests that three reforms offer the greatest opportunity for impact: </w:t>
      </w:r>
    </w:p>
    <w:p w:rsidR="008A605D">
      <w:pPr>
        <w:pStyle w:val="ListParagraph"/>
        <w:numPr>
          <w:ilvl w:val="1"/>
          <w:numId w:val="40"/>
        </w:numPr>
        <w:contextualSpacing w:val="0"/>
        <w:rPr>
          <w:rFonts w:ascii="Verdana" w:hAnsi="Verdana"/>
        </w:rPr>
      </w:pPr>
      <w:r w:rsidRPr="00077677">
        <w:rPr>
          <w:rFonts w:ascii="Verdana" w:hAnsi="Verdana"/>
        </w:rPr>
        <w:t xml:space="preserve">strengthened pre-apprenticeship preparation, </w:t>
      </w:r>
    </w:p>
    <w:p w:rsidR="008A605D">
      <w:pPr>
        <w:pStyle w:val="ListParagraph"/>
        <w:numPr>
          <w:ilvl w:val="1"/>
          <w:numId w:val="40"/>
        </w:numPr>
        <w:contextualSpacing w:val="0"/>
        <w:rPr>
          <w:rFonts w:ascii="Verdana" w:hAnsi="Verdana"/>
        </w:rPr>
      </w:pPr>
      <w:r w:rsidRPr="00077677">
        <w:rPr>
          <w:rFonts w:ascii="Verdana" w:hAnsi="Verdana"/>
        </w:rPr>
        <w:t xml:space="preserve">structured mentoring and high-quality work-based learning, and </w:t>
      </w:r>
    </w:p>
    <w:p w:rsidR="00000000" w:rsidRPr="00077677">
      <w:pPr>
        <w:pStyle w:val="ListParagraph"/>
        <w:numPr>
          <w:ilvl w:val="1"/>
          <w:numId w:val="40"/>
        </w:numPr>
        <w:contextualSpacing w:val="0"/>
        <w:rPr>
          <w:rFonts w:ascii="Verdana" w:hAnsi="Verdana"/>
        </w:rPr>
      </w:pPr>
      <w:r w:rsidRPr="00077677">
        <w:rPr>
          <w:rFonts w:ascii="Verdana" w:hAnsi="Verdana"/>
        </w:rPr>
        <w:t xml:space="preserve">enhanced pastoral support for apprentices, particularly those from disadvantaged backgrounds. Together, these measures can improve recruitment, retention and progression while addressing the barriers </w:t>
      </w:r>
      <w:r w:rsidRPr="00077677">
        <w:rPr>
          <w:rFonts w:ascii="Verdana" w:hAnsi="Verdana"/>
        </w:rPr>
        <w:t>that contribute to long-term labour market exclusion among NEET young people.</w:t>
      </w:r>
    </w:p>
    <w:p w:rsidR="00000000" w:rsidRPr="00077677" w:rsidP="00DD29DA">
      <w:pPr>
        <w:pStyle w:val="ListParagraph"/>
        <w:numPr>
          <w:ilvl w:val="0"/>
          <w:numId w:val="40"/>
        </w:numPr>
        <w:ind w:left="357" w:hanging="357"/>
        <w:contextualSpacing w:val="0"/>
        <w:rPr>
          <w:rFonts w:ascii="Verdana" w:hAnsi="Verdana"/>
        </w:rPr>
      </w:pPr>
      <w:r w:rsidRPr="00077677">
        <w:rPr>
          <w:rFonts w:ascii="Verdana" w:hAnsi="Verdana"/>
        </w:rPr>
        <w:t>Construction apprenticeships are uniquely positioned to advance both economic and social objectives. By improving the quality and support underpinning apprenticeship provision, policymakers can strengthen workforce resilience, enhance social mobility and create more inclusive pathways into secure, skilled employment. The result would be a more sustainable, productive and future-ready construction workforce.</w:t>
      </w:r>
    </w:p>
    <w:p w:rsidR="00000000" w:rsidRPr="00077677" w:rsidP="00061252">
      <w:pPr>
        <w:rPr>
          <w:rFonts w:ascii="Verdana" w:hAnsi="Verdana"/>
        </w:rPr>
      </w:pPr>
    </w:p>
    <w:p w:rsidR="00000000" w:rsidRPr="00084D83" w:rsidP="00B03B6D">
      <w:pPr>
        <w:rPr>
          <w:rFonts w:ascii="Verdana" w:hAnsi="Verdana"/>
        </w:rPr>
      </w:pPr>
      <w:r w:rsidRPr="00084D83">
        <w:rPr>
          <w:rFonts w:ascii="Verdana" w:hAnsi="Verdana"/>
        </w:rPr>
        <w:t xml:space="preserve">References: </w:t>
      </w:r>
    </w:p>
    <w:p w:rsidR="00000000" w:rsidRPr="00FC3968" w:rsidP="00084D83">
      <w:pPr>
        <w:rPr>
          <w:rFonts w:ascii="Verdana" w:hAnsi="Verdana"/>
          <w:sz w:val="18"/>
          <w:szCs w:val="18"/>
        </w:rPr>
      </w:pPr>
      <w:r w:rsidRPr="00FC3968">
        <w:rPr>
          <w:rFonts w:ascii="Verdana" w:hAnsi="Verdana"/>
          <w:sz w:val="18"/>
          <w:szCs w:val="18"/>
        </w:rPr>
        <w:t xml:space="preserve">Construction Industry Training Board (CITB) (2025) </w:t>
      </w:r>
      <w:r w:rsidRPr="00FC3968">
        <w:rPr>
          <w:rFonts w:ascii="Verdana" w:hAnsi="Verdana"/>
          <w:sz w:val="18"/>
          <w:szCs w:val="18"/>
        </w:rPr>
        <w:t xml:space="preserve">Construction Apprenticeships: Challenge, Opportunities, Support – 2025 update. Available at: </w:t>
      </w:r>
      <w:r>
        <w:fldChar w:fldCharType="begin"/>
      </w:r>
      <w:r>
        <w:instrText xml:space="preserve"> HYPERLINK "https://www.citb.co.uk/media/fj0bayod/2883_citb_apprenticeships-paper_130225.pdf" </w:instrText>
      </w:r>
      <w:r>
        <w:fldChar w:fldCharType="separate"/>
      </w:r>
      <w:r w:rsidRPr="00FC3968">
        <w:rPr>
          <w:rStyle w:val="Hyperlink"/>
          <w:rFonts w:ascii="Verdana" w:hAnsi="Verdana"/>
          <w:sz w:val="18"/>
          <w:szCs w:val="18"/>
        </w:rPr>
        <w:t>https://www.citb.co.uk/media/fj0bayod/2883_citb_apprenticeships-paper_130225.pdf</w:t>
      </w:r>
      <w:r>
        <w:fldChar w:fldCharType="end"/>
      </w:r>
    </w:p>
    <w:p w:rsidR="00000000" w:rsidRPr="00FC3968" w:rsidP="00084D83">
      <w:pPr>
        <w:rPr>
          <w:rFonts w:ascii="Verdana" w:hAnsi="Verdana"/>
          <w:sz w:val="18"/>
          <w:szCs w:val="18"/>
        </w:rPr>
      </w:pPr>
      <w:r w:rsidRPr="00FC3968">
        <w:rPr>
          <w:rFonts w:ascii="Verdana" w:hAnsi="Verdana"/>
          <w:sz w:val="18"/>
          <w:szCs w:val="18"/>
        </w:rPr>
        <w:t xml:space="preserve">House of Commons Library (2025) NEET: Young People Not in Education, Employment or Training. Research Briefing, 20 November. London: UK Parliament. Available at: </w:t>
      </w:r>
      <w:r>
        <w:fldChar w:fldCharType="begin"/>
      </w:r>
      <w:r>
        <w:instrText xml:space="preserve"> HYPERLINK "https://commonslibrary.parliament.uk/research-briefings/sn06705/" </w:instrText>
      </w:r>
      <w:r>
        <w:fldChar w:fldCharType="separate"/>
      </w:r>
      <w:r w:rsidRPr="00FC3968">
        <w:rPr>
          <w:rStyle w:val="Hyperlink"/>
          <w:rFonts w:ascii="Verdana" w:hAnsi="Verdana"/>
          <w:sz w:val="18"/>
          <w:szCs w:val="18"/>
        </w:rPr>
        <w:t>https://commonslibrary.parliament.uk/research-briefings/sn06705/</w:t>
      </w:r>
      <w:r>
        <w:fldChar w:fldCharType="end"/>
      </w:r>
    </w:p>
    <w:p w:rsidR="00000000" w:rsidRPr="00FC3968" w:rsidP="00084D83">
      <w:pPr>
        <w:rPr>
          <w:rFonts w:ascii="Verdana" w:hAnsi="Verdana"/>
          <w:sz w:val="18"/>
          <w:szCs w:val="18"/>
        </w:rPr>
      </w:pPr>
      <w:r w:rsidRPr="00FC3968">
        <w:rPr>
          <w:rFonts w:ascii="Verdana" w:hAnsi="Verdana"/>
          <w:sz w:val="18"/>
          <w:szCs w:val="18"/>
        </w:rPr>
        <w:t xml:space="preserve">Moreau, E. (2026) Young people out of work, training and education edges closer to one million. BBC News, 26 February. Available at: </w:t>
      </w:r>
      <w:r>
        <w:fldChar w:fldCharType="begin"/>
      </w:r>
      <w:r>
        <w:instrText xml:space="preserve"> HYPERLINK "https://www.bbc.co.uk/news/articles/c62gzl2yl24o" </w:instrText>
      </w:r>
      <w:r>
        <w:fldChar w:fldCharType="separate"/>
      </w:r>
      <w:r w:rsidRPr="00FC3968">
        <w:rPr>
          <w:rStyle w:val="Hyperlink"/>
          <w:rFonts w:ascii="Verdana" w:hAnsi="Verdana"/>
          <w:sz w:val="18"/>
          <w:szCs w:val="18"/>
        </w:rPr>
        <w:t>https://www.bbc.co.uk/news/articles/c62gzl2yl24o</w:t>
      </w:r>
      <w:r>
        <w:fldChar w:fldCharType="end"/>
      </w:r>
    </w:p>
    <w:p w:rsidR="00000000" w:rsidRPr="00FC3968" w:rsidP="00084D83">
      <w:pPr>
        <w:rPr>
          <w:rFonts w:ascii="Verdana" w:hAnsi="Verdana"/>
          <w:sz w:val="18"/>
          <w:szCs w:val="18"/>
        </w:rPr>
      </w:pPr>
      <w:r w:rsidRPr="00FC3968">
        <w:rPr>
          <w:rFonts w:ascii="Verdana" w:hAnsi="Verdana"/>
          <w:sz w:val="18"/>
          <w:szCs w:val="18"/>
        </w:rPr>
        <w:t>Oswald, D., Wade, F., Sherratt, F. &amp; Smith, S.D. (2019). Communicating health and safety on a multinational construction project: Challenges and strategies. </w:t>
      </w:r>
      <w:r w:rsidRPr="00FC3968">
        <w:rPr>
          <w:rFonts w:ascii="Verdana" w:hAnsi="Verdana"/>
          <w:sz w:val="18"/>
          <w:szCs w:val="18"/>
        </w:rPr>
        <w:t xml:space="preserve">Journal of Construction Engineering and Management, 145(4), 4019017. </w:t>
      </w:r>
      <w:r>
        <w:fldChar w:fldCharType="begin"/>
      </w:r>
      <w:r>
        <w:instrText xml:space="preserve"> HYPERLINK "https://doi.org/10.1061/(ASCE)CO.1943-7862.0001634" </w:instrText>
      </w:r>
      <w:r>
        <w:fldChar w:fldCharType="separate"/>
      </w:r>
      <w:r w:rsidRPr="00FC3968">
        <w:rPr>
          <w:rStyle w:val="Hyperlink"/>
          <w:rFonts w:ascii="Verdana" w:hAnsi="Verdana"/>
          <w:sz w:val="18"/>
          <w:szCs w:val="18"/>
        </w:rPr>
        <w:t>https://doi.org/10.1061/(ASCE)CO.1943-7862.0001634</w:t>
      </w:r>
      <w:r>
        <w:fldChar w:fldCharType="end"/>
      </w:r>
    </w:p>
    <w:p w:rsidR="00000000" w:rsidRPr="00FC3968" w:rsidP="00084D83">
      <w:pPr>
        <w:rPr>
          <w:rFonts w:ascii="Verdana" w:hAnsi="Verdana"/>
          <w:sz w:val="18"/>
          <w:szCs w:val="18"/>
        </w:rPr>
      </w:pPr>
      <w:r w:rsidRPr="00FC3968">
        <w:rPr>
          <w:rFonts w:ascii="Verdana" w:hAnsi="Verdana"/>
          <w:sz w:val="18"/>
          <w:szCs w:val="18"/>
        </w:rPr>
        <w:t xml:space="preserve">Places for People (2025) The UK Construction Skills Shortage Report 2025: Causes, challenges, and solutions for the industry. PFP Thrive Insights &amp; Tools. Available at: </w:t>
      </w:r>
      <w:r>
        <w:fldChar w:fldCharType="begin"/>
      </w:r>
      <w:r>
        <w:instrText xml:space="preserve"> HYPERLINK "https://www.placesforpeople.co.uk/pfp-thrive/insights-tools/the-uk-construction-skills-shortage/" </w:instrText>
      </w:r>
      <w:r>
        <w:fldChar w:fldCharType="separate"/>
      </w:r>
      <w:r w:rsidRPr="00FC3968">
        <w:rPr>
          <w:rStyle w:val="Hyperlink"/>
          <w:rFonts w:ascii="Verdana" w:hAnsi="Verdana"/>
          <w:sz w:val="18"/>
          <w:szCs w:val="18"/>
        </w:rPr>
        <w:t>https://www.placesforpeople.co.uk/pfp-thrive/insights-tools/the-uk-construction-skills-shortage/</w:t>
      </w:r>
      <w:r>
        <w:fldChar w:fldCharType="end"/>
      </w:r>
      <w:r w:rsidRPr="00FC3968">
        <w:rPr>
          <w:rFonts w:ascii="Verdana" w:hAnsi="Verdana"/>
          <w:sz w:val="18"/>
          <w:szCs w:val="18"/>
        </w:rPr>
        <w:t xml:space="preserve"> </w:t>
      </w:r>
    </w:p>
    <w:p w:rsidR="00000000" w:rsidRPr="00FC3968" w:rsidP="00084D83">
      <w:pPr>
        <w:rPr>
          <w:rFonts w:ascii="Verdana" w:hAnsi="Verdana"/>
          <w:sz w:val="18"/>
          <w:szCs w:val="18"/>
        </w:rPr>
      </w:pPr>
      <w:r w:rsidRPr="00FC3968">
        <w:rPr>
          <w:rFonts w:ascii="Verdana" w:hAnsi="Verdana"/>
          <w:sz w:val="18"/>
          <w:szCs w:val="18"/>
        </w:rPr>
        <w:t xml:space="preserve">Strategic Resourcing (2025) Bridging the Skills Gap: A UK Construction Report 2025. Available at: </w:t>
      </w:r>
      <w:r>
        <w:fldChar w:fldCharType="begin"/>
      </w:r>
      <w:r>
        <w:instrText xml:space="preserve"> HYPERLINK "https://strategicresourcing.co.uk/wp-content/uploads/2025/09/Strategic-Resourcing-Bridging-The-Skills-Gap-Report-2025.pdf" </w:instrText>
      </w:r>
      <w:r>
        <w:fldChar w:fldCharType="separate"/>
      </w:r>
      <w:r w:rsidRPr="00FC3968">
        <w:rPr>
          <w:rStyle w:val="Hyperlink"/>
          <w:rFonts w:ascii="Verdana" w:hAnsi="Verdana"/>
          <w:sz w:val="18"/>
          <w:szCs w:val="18"/>
        </w:rPr>
        <w:t>https://strategicresourcing.co.uk/wp-content/uploads/2025/09/Strategic-Resourcing-Bridging-The-Skills-Gap-Report-2025.pdf</w:t>
      </w:r>
      <w:r>
        <w:fldChar w:fldCharType="end"/>
      </w:r>
    </w:p>
    <w:p w:rsidR="00000000" w:rsidRPr="00FC3968" w:rsidP="00084D83">
      <w:pPr>
        <w:rPr>
          <w:rFonts w:ascii="Verdana" w:hAnsi="Verdana"/>
          <w:sz w:val="18"/>
          <w:szCs w:val="18"/>
        </w:rPr>
      </w:pPr>
      <w:r w:rsidRPr="00FC3968">
        <w:rPr>
          <w:rFonts w:ascii="Verdana" w:hAnsi="Verdana"/>
          <w:sz w:val="18"/>
          <w:szCs w:val="18"/>
        </w:rPr>
        <w:t>Winterbotham, M., Kik, G., Cranney, M., Castell, E., Charsley, J., Green, A., Owen, D., &amp; Pipe, J. (2021). Migration in the UK Construction and Built Environment Sector 2020 – Research Report 2020, Construction Industry Training Board. </w:t>
      </w:r>
    </w:p>
    <w:p w:rsidR="00077677" w:rsidRPr="00084D83" w:rsidP="00084D83">
      <w:pPr>
        <w:rPr>
          <w:rFonts w:ascii="Verdana" w:hAnsi="Verdana"/>
        </w:rPr>
      </w:pPr>
    </w:p>
    <w:p w:rsidR="00077677" w:rsidRPr="00F4244A" w:rsidP="00084D83">
      <w:pPr>
        <w:rPr>
          <w:rFonts w:ascii="Verdana" w:hAnsi="Verdana"/>
          <w:i/>
          <w:iCs/>
        </w:rPr>
      </w:pPr>
      <w:r w:rsidRPr="00FC3968">
        <w:rPr>
          <w:rFonts w:ascii="Verdana" w:hAnsi="Verdana"/>
          <w:i/>
        </w:rPr>
        <w:t>7 July 2026</w:t>
      </w:r>
    </w:p>
    <w:sectPr w:rsidSect="0024098E">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B3796"/>
    <w:multiLevelType w:val="multilevel"/>
    <w:tmpl w:val="5AD4E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24A0B"/>
    <w:multiLevelType w:val="hybridMultilevel"/>
    <w:tmpl w:val="64F6BC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2E5C78"/>
    <w:multiLevelType w:val="multilevel"/>
    <w:tmpl w:val="418E58BE"/>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0D4B3474"/>
    <w:multiLevelType w:val="multilevel"/>
    <w:tmpl w:val="137C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7F3474"/>
    <w:multiLevelType w:val="multilevel"/>
    <w:tmpl w:val="0A50FDA8"/>
    <w:lvl w:ilvl="0">
      <w:start w:val="2"/>
      <w:numFmt w:val="decimal"/>
      <w:lvlText w:val="%1."/>
      <w:lvlJc w:val="left"/>
      <w:pPr>
        <w:ind w:left="360" w:hanging="36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5">
    <w:nsid w:val="166250BA"/>
    <w:multiLevelType w:val="multilevel"/>
    <w:tmpl w:val="91BA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035803"/>
    <w:multiLevelType w:val="hybridMultilevel"/>
    <w:tmpl w:val="5F64EA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E208FF"/>
    <w:multiLevelType w:val="hybridMultilevel"/>
    <w:tmpl w:val="43BE4A76"/>
    <w:lvl w:ilvl="0">
      <w:start w:val="1"/>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8">
    <w:nsid w:val="23535263"/>
    <w:multiLevelType w:val="multilevel"/>
    <w:tmpl w:val="B12C560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ED4838"/>
    <w:multiLevelType w:val="hybridMultilevel"/>
    <w:tmpl w:val="8482E9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74F4B4F"/>
    <w:multiLevelType w:val="hybridMultilevel"/>
    <w:tmpl w:val="D45C6E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AE7204"/>
    <w:multiLevelType w:val="multilevel"/>
    <w:tmpl w:val="91DA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DA61A3"/>
    <w:multiLevelType w:val="multilevel"/>
    <w:tmpl w:val="F7B2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A22DC2"/>
    <w:multiLevelType w:val="hybridMultilevel"/>
    <w:tmpl w:val="2C400698"/>
    <w:lvl w:ilvl="0">
      <w:start w:val="3"/>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CF91175"/>
    <w:multiLevelType w:val="multilevel"/>
    <w:tmpl w:val="C4C0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862FAE"/>
    <w:multiLevelType w:val="multilevel"/>
    <w:tmpl w:val="D4B8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55647C"/>
    <w:multiLevelType w:val="multilevel"/>
    <w:tmpl w:val="6A0A5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D74F2F"/>
    <w:multiLevelType w:val="multilevel"/>
    <w:tmpl w:val="199E2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737D01"/>
    <w:multiLevelType w:val="hybridMultilevel"/>
    <w:tmpl w:val="48425F1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80976EB"/>
    <w:multiLevelType w:val="multilevel"/>
    <w:tmpl w:val="CB181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4443AB"/>
    <w:multiLevelType w:val="multilevel"/>
    <w:tmpl w:val="5E4E526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4856CBC"/>
    <w:multiLevelType w:val="hybridMultilevel"/>
    <w:tmpl w:val="A18AD600"/>
    <w:lvl w:ilvl="0">
      <w:start w:val="2"/>
      <w:numFmt w:val="decimal"/>
      <w:lvlText w:val="%1.1"/>
      <w:lvlJc w:val="left"/>
      <w:pPr>
        <w:ind w:left="502" w:hanging="360"/>
      </w:pPr>
      <w:rPr>
        <w:rFonts w:hint="default"/>
        <w:sz w:val="22"/>
        <w:szCs w:val="22"/>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2">
    <w:nsid w:val="45133072"/>
    <w:multiLevelType w:val="hybridMultilevel"/>
    <w:tmpl w:val="59EAF77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52E355F"/>
    <w:multiLevelType w:val="multilevel"/>
    <w:tmpl w:val="7912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CB4F84"/>
    <w:multiLevelType w:val="hybridMultilevel"/>
    <w:tmpl w:val="F5E289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66521CF"/>
    <w:multiLevelType w:val="multilevel"/>
    <w:tmpl w:val="4F18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E72D51"/>
    <w:multiLevelType w:val="hybridMultilevel"/>
    <w:tmpl w:val="51603AF6"/>
    <w:lvl w:ilvl="0">
      <w:start w:val="1"/>
      <w:numFmt w:val="decimal"/>
      <w:suff w:val="space"/>
      <w:lvlText w:val="%1."/>
      <w:lvlJc w:val="left"/>
      <w:pPr>
        <w:ind w:left="644" w:hanging="360"/>
      </w:pPr>
      <w:rPr>
        <w:rFonts w:hint="default"/>
        <w:sz w:val="22"/>
        <w:szCs w:val="22"/>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7">
    <w:nsid w:val="578D7DCC"/>
    <w:multiLevelType w:val="hybridMultilevel"/>
    <w:tmpl w:val="8FFAFE26"/>
    <w:lvl w:ilvl="0">
      <w:start w:val="1"/>
      <w:numFmt w:val="decimal"/>
      <w:suff w:val="space"/>
      <w:lvlText w:val="%1."/>
      <w:lvlJc w:val="left"/>
      <w:pPr>
        <w:ind w:left="360" w:hanging="360"/>
      </w:pPr>
      <w:rPr>
        <w:rFonts w:hint="default"/>
        <w:sz w:val="22"/>
        <w:szCs w:val="22"/>
      </w:rPr>
    </w:lvl>
    <w:lvl w:ilvl="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28">
    <w:nsid w:val="59CB0498"/>
    <w:multiLevelType w:val="multilevel"/>
    <w:tmpl w:val="B6568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0642AE1"/>
    <w:multiLevelType w:val="hybridMultilevel"/>
    <w:tmpl w:val="7408D3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0AB44EA"/>
    <w:multiLevelType w:val="multilevel"/>
    <w:tmpl w:val="F6640F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4EE5CBC"/>
    <w:multiLevelType w:val="hybridMultilevel"/>
    <w:tmpl w:val="CB18104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5C456C9"/>
    <w:multiLevelType w:val="multilevel"/>
    <w:tmpl w:val="6FEC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282E46"/>
    <w:multiLevelType w:val="hybridMultilevel"/>
    <w:tmpl w:val="7C50734E"/>
    <w:lvl w:ilvl="0">
      <w:start w:val="1"/>
      <w:numFmt w:val="decimal"/>
      <w:lvlText w:val="%1."/>
      <w:lvlJc w:val="left"/>
      <w:pPr>
        <w:ind w:left="720" w:hanging="360"/>
      </w:pPr>
      <w:rPr>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F960BD1"/>
    <w:multiLevelType w:val="hybridMultilevel"/>
    <w:tmpl w:val="4822962A"/>
    <w:lvl w:ilvl="0">
      <w:start w:val="1"/>
      <w:numFmt w:val="decimal"/>
      <w:lvlText w:val="%1."/>
      <w:lvlJc w:val="left"/>
      <w:pPr>
        <w:ind w:left="720" w:hanging="360"/>
      </w:pPr>
      <w:rPr>
        <w:b/>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11A46DC"/>
    <w:multiLevelType w:val="hybridMultilevel"/>
    <w:tmpl w:val="60BED17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1BA39C7"/>
    <w:multiLevelType w:val="multilevel"/>
    <w:tmpl w:val="7BD6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A5254F"/>
    <w:multiLevelType w:val="multilevel"/>
    <w:tmpl w:val="E062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AB1D25"/>
    <w:multiLevelType w:val="multilevel"/>
    <w:tmpl w:val="739E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4A2F9D"/>
    <w:multiLevelType w:val="multilevel"/>
    <w:tmpl w:val="D19E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7C1E07"/>
    <w:multiLevelType w:val="multilevel"/>
    <w:tmpl w:val="3BBC0D86"/>
    <w:lvl w:ilvl="0">
      <w:start w:val="4"/>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nsid w:val="7D3364D8"/>
    <w:multiLevelType w:val="multilevel"/>
    <w:tmpl w:val="22D23A7A"/>
    <w:lvl w:ilvl="0">
      <w:start w:val="1"/>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9"/>
  </w:num>
  <w:num w:numId="3">
    <w:abstractNumId w:val="38"/>
  </w:num>
  <w:num w:numId="4">
    <w:abstractNumId w:val="37"/>
  </w:num>
  <w:num w:numId="5">
    <w:abstractNumId w:val="11"/>
  </w:num>
  <w:num w:numId="6">
    <w:abstractNumId w:val="39"/>
  </w:num>
  <w:num w:numId="7">
    <w:abstractNumId w:val="12"/>
  </w:num>
  <w:num w:numId="8">
    <w:abstractNumId w:val="25"/>
  </w:num>
  <w:num w:numId="9">
    <w:abstractNumId w:val="23"/>
  </w:num>
  <w:num w:numId="10">
    <w:abstractNumId w:val="32"/>
  </w:num>
  <w:num w:numId="11">
    <w:abstractNumId w:val="14"/>
  </w:num>
  <w:num w:numId="12">
    <w:abstractNumId w:val="5"/>
  </w:num>
  <w:num w:numId="13">
    <w:abstractNumId w:val="3"/>
  </w:num>
  <w:num w:numId="14">
    <w:abstractNumId w:val="15"/>
  </w:num>
  <w:num w:numId="15">
    <w:abstractNumId w:val="36"/>
  </w:num>
  <w:num w:numId="16">
    <w:abstractNumId w:val="13"/>
  </w:num>
  <w:num w:numId="17">
    <w:abstractNumId w:val="18"/>
  </w:num>
  <w:num w:numId="18">
    <w:abstractNumId w:val="10"/>
  </w:num>
  <w:num w:numId="19">
    <w:abstractNumId w:val="6"/>
  </w:num>
  <w:num w:numId="20">
    <w:abstractNumId w:val="31"/>
  </w:num>
  <w:num w:numId="21">
    <w:abstractNumId w:val="28"/>
  </w:num>
  <w:num w:numId="22">
    <w:abstractNumId w:val="35"/>
  </w:num>
  <w:num w:numId="23">
    <w:abstractNumId w:val="40"/>
  </w:num>
  <w:num w:numId="24">
    <w:abstractNumId w:val="41"/>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34"/>
  </w:num>
  <w:num w:numId="28">
    <w:abstractNumId w:val="22"/>
  </w:num>
  <w:num w:numId="29">
    <w:abstractNumId w:val="33"/>
  </w:num>
  <w:num w:numId="30">
    <w:abstractNumId w:val="8"/>
  </w:num>
  <w:num w:numId="31">
    <w:abstractNumId w:val="16"/>
  </w:num>
  <w:num w:numId="32">
    <w:abstractNumId w:val="17"/>
  </w:num>
  <w:num w:numId="33">
    <w:abstractNumId w:val="1"/>
  </w:num>
  <w:num w:numId="34">
    <w:abstractNumId w:val="21"/>
  </w:num>
  <w:num w:numId="35">
    <w:abstractNumId w:val="29"/>
  </w:num>
  <w:num w:numId="36">
    <w:abstractNumId w:val="20"/>
  </w:num>
  <w:num w:numId="37">
    <w:abstractNumId w:val="2"/>
  </w:num>
  <w:num w:numId="38">
    <w:abstractNumId w:val="7"/>
  </w:num>
  <w:num w:numId="39">
    <w:abstractNumId w:val="4"/>
  </w:num>
  <w:num w:numId="40">
    <w:abstractNumId w:val="27"/>
  </w:num>
  <w:num w:numId="41">
    <w:abstractNumId w:val="9"/>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03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3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B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B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B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B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B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B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B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B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3B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3B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3B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B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B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B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B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B6D"/>
    <w:rPr>
      <w:rFonts w:eastAsiaTheme="majorEastAsia" w:cstheme="majorBidi"/>
      <w:color w:val="272727" w:themeColor="text1" w:themeTint="D8"/>
    </w:rPr>
  </w:style>
  <w:style w:type="paragraph" w:styleId="Title">
    <w:name w:val="Title"/>
    <w:basedOn w:val="Normal"/>
    <w:next w:val="Normal"/>
    <w:link w:val="TitleChar"/>
    <w:uiPriority w:val="10"/>
    <w:qFormat/>
    <w:rsid w:val="00B03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B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B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B6D"/>
    <w:pPr>
      <w:spacing w:before="160"/>
      <w:jc w:val="center"/>
    </w:pPr>
    <w:rPr>
      <w:i/>
      <w:iCs/>
      <w:color w:val="404040" w:themeColor="text1" w:themeTint="BF"/>
    </w:rPr>
  </w:style>
  <w:style w:type="character" w:customStyle="1" w:styleId="QuoteChar">
    <w:name w:val="Quote Char"/>
    <w:basedOn w:val="DefaultParagraphFont"/>
    <w:link w:val="Quote"/>
    <w:uiPriority w:val="29"/>
    <w:rsid w:val="00B03B6D"/>
    <w:rPr>
      <w:i/>
      <w:iCs/>
      <w:color w:val="404040" w:themeColor="text1" w:themeTint="BF"/>
    </w:rPr>
  </w:style>
  <w:style w:type="paragraph" w:styleId="ListParagraph">
    <w:name w:val="List Paragraph"/>
    <w:basedOn w:val="Normal"/>
    <w:uiPriority w:val="34"/>
    <w:qFormat/>
    <w:rsid w:val="00B03B6D"/>
    <w:pPr>
      <w:ind w:left="720"/>
      <w:contextualSpacing/>
    </w:pPr>
  </w:style>
  <w:style w:type="character" w:styleId="IntenseEmphasis">
    <w:name w:val="Intense Emphasis"/>
    <w:basedOn w:val="DefaultParagraphFont"/>
    <w:uiPriority w:val="21"/>
    <w:qFormat/>
    <w:rsid w:val="00B03B6D"/>
    <w:rPr>
      <w:i/>
      <w:iCs/>
      <w:color w:val="0F4761" w:themeColor="accent1" w:themeShade="BF"/>
    </w:rPr>
  </w:style>
  <w:style w:type="paragraph" w:styleId="IntenseQuote">
    <w:name w:val="Intense Quote"/>
    <w:basedOn w:val="Normal"/>
    <w:next w:val="Normal"/>
    <w:link w:val="IntenseQuoteChar"/>
    <w:uiPriority w:val="30"/>
    <w:qFormat/>
    <w:rsid w:val="00B03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B6D"/>
    <w:rPr>
      <w:i/>
      <w:iCs/>
      <w:color w:val="0F4761" w:themeColor="accent1" w:themeShade="BF"/>
    </w:rPr>
  </w:style>
  <w:style w:type="character" w:styleId="IntenseReference">
    <w:name w:val="Intense Reference"/>
    <w:basedOn w:val="DefaultParagraphFont"/>
    <w:uiPriority w:val="32"/>
    <w:qFormat/>
    <w:rsid w:val="00B03B6D"/>
    <w:rPr>
      <w:b/>
      <w:bCs/>
      <w:smallCaps/>
      <w:color w:val="0F4761" w:themeColor="accent1" w:themeShade="BF"/>
      <w:spacing w:val="5"/>
    </w:rPr>
  </w:style>
  <w:style w:type="character" w:styleId="Hyperlink">
    <w:name w:val="Hyperlink"/>
    <w:basedOn w:val="DefaultParagraphFont"/>
    <w:uiPriority w:val="99"/>
    <w:unhideWhenUsed/>
    <w:rsid w:val="00B03B6D"/>
    <w:rPr>
      <w:color w:val="467886" w:themeColor="hyperlink"/>
      <w:u w:val="single"/>
    </w:rPr>
  </w:style>
  <w:style w:type="character" w:customStyle="1" w:styleId="UnresolvedMention1">
    <w:name w:val="Unresolved Mention1"/>
    <w:basedOn w:val="DefaultParagraphFont"/>
    <w:uiPriority w:val="99"/>
    <w:semiHidden/>
    <w:unhideWhenUsed/>
    <w:rsid w:val="00B03B6D"/>
    <w:rPr>
      <w:color w:val="605E5C"/>
      <w:shd w:val="clear" w:color="auto" w:fill="E1DFDD"/>
    </w:rPr>
  </w:style>
  <w:style w:type="character" w:styleId="FollowedHyperlink">
    <w:name w:val="FollowedHyperlink"/>
    <w:basedOn w:val="DefaultParagraphFont"/>
    <w:uiPriority w:val="99"/>
    <w:semiHidden/>
    <w:unhideWhenUsed/>
    <w:rsid w:val="00D12E21"/>
    <w:rPr>
      <w:color w:val="96607D" w:themeColor="followedHyperlink"/>
      <w:u w:val="single"/>
    </w:rPr>
  </w:style>
  <w:style w:type="table" w:styleId="TableGrid">
    <w:name w:val="Table Grid"/>
    <w:basedOn w:val="TableNormal"/>
    <w:uiPriority w:val="39"/>
    <w:rsid w:val="00683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A5363"/>
    <w:rPr>
      <w:sz w:val="16"/>
      <w:szCs w:val="16"/>
    </w:rPr>
  </w:style>
  <w:style w:type="paragraph" w:styleId="CommentText">
    <w:name w:val="annotation text"/>
    <w:basedOn w:val="Normal"/>
    <w:link w:val="CommentTextChar"/>
    <w:uiPriority w:val="99"/>
    <w:unhideWhenUsed/>
    <w:rsid w:val="00AA5363"/>
    <w:pPr>
      <w:spacing w:line="240" w:lineRule="auto"/>
    </w:pPr>
    <w:rPr>
      <w:sz w:val="20"/>
      <w:szCs w:val="20"/>
    </w:rPr>
  </w:style>
  <w:style w:type="character" w:customStyle="1" w:styleId="CommentTextChar">
    <w:name w:val="Comment Text Char"/>
    <w:basedOn w:val="DefaultParagraphFont"/>
    <w:link w:val="CommentText"/>
    <w:uiPriority w:val="99"/>
    <w:rsid w:val="00AA5363"/>
    <w:rPr>
      <w:sz w:val="20"/>
      <w:szCs w:val="20"/>
    </w:rPr>
  </w:style>
  <w:style w:type="paragraph" w:styleId="CommentSubject">
    <w:name w:val="annotation subject"/>
    <w:basedOn w:val="CommentText"/>
    <w:next w:val="CommentText"/>
    <w:link w:val="CommentSubjectChar"/>
    <w:uiPriority w:val="99"/>
    <w:semiHidden/>
    <w:unhideWhenUsed/>
    <w:rsid w:val="00AA5363"/>
    <w:rPr>
      <w:b/>
      <w:bCs/>
    </w:rPr>
  </w:style>
  <w:style w:type="character" w:customStyle="1" w:styleId="CommentSubjectChar">
    <w:name w:val="Comment Subject Char"/>
    <w:basedOn w:val="CommentTextChar"/>
    <w:link w:val="CommentSubject"/>
    <w:uiPriority w:val="99"/>
    <w:semiHidden/>
    <w:rsid w:val="00AA5363"/>
    <w:rPr>
      <w:b/>
      <w:bCs/>
      <w:sz w:val="20"/>
      <w:szCs w:val="20"/>
    </w:rPr>
  </w:style>
  <w:style w:type="paragraph" w:styleId="Revision">
    <w:name w:val="Revision"/>
    <w:hidden/>
    <w:uiPriority w:val="99"/>
    <w:semiHidden/>
    <w:rsid w:val="005C7788"/>
    <w:pPr>
      <w:spacing w:after="0" w:line="240" w:lineRule="auto"/>
    </w:pPr>
  </w:style>
  <w:style w:type="paragraph" w:styleId="BodyText">
    <w:name w:val="Body Text"/>
    <w:aliases w:val=" Carattere,Carattere"/>
    <w:basedOn w:val="Normal"/>
    <w:link w:val="BodyTextChar"/>
    <w:unhideWhenUsed/>
    <w:qFormat/>
    <w:rsid w:val="006324F9"/>
    <w:pPr>
      <w:spacing w:after="120" w:line="276" w:lineRule="auto"/>
    </w:pPr>
    <w:rPr>
      <w:rFonts w:eastAsiaTheme="minorEastAsia"/>
      <w:kern w:val="0"/>
      <w:lang w:val="id-ID" w:eastAsia="ja-JP"/>
    </w:rPr>
  </w:style>
  <w:style w:type="character" w:customStyle="1" w:styleId="BodyTextChar">
    <w:name w:val="Body Text Char"/>
    <w:aliases w:val=" Carattere Char,Carattere Char"/>
    <w:basedOn w:val="DefaultParagraphFont"/>
    <w:link w:val="BodyText"/>
    <w:rsid w:val="006324F9"/>
    <w:rPr>
      <w:rFonts w:eastAsiaTheme="minorEastAsia"/>
      <w:kern w:val="0"/>
      <w:lang w:val="id-ID"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70d2f4a9-7027-4c8b-acc6-1861eab93b19">JRFZP62N7HVT-2044078101-1559</_dlc_DocId>
    <TransfertoArchives xmlns="4600776d-0a3c-44b4-bff2-0ceaafb13046">false</TransfertoArchives>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RetentionTriggerDate xmlns="4600776d-0a3c-44b4-bff2-0ceaafb1304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70d2f4a9-7027-4c8b-acc6-1861eab93b19">
      <Url>https://hopuk.sharepoint.com/sites/hlc-builtenviro/_layouts/15/DocIdRedir.aspx?ID=JRFZP62N7HVT-2044078101-1559</Url>
      <Description>JRFZP62N7HVT-2044078101-1559</Description>
    </_dlc_DocIdUrl>
    <RecordNumber xmlns="4600776d-0a3c-44b4-bff2-0ceaafb13046" xsi:nil="true"/>
    <Document_x0020_Status1 xmlns="70d2f4a9-7027-4c8b-acc6-1861eab93b19">Final</Document_x0020_Status1>
    <g3ef09377e3444258679b6035a1ff93a xmlns="4600776d-0a3c-44b4-bff2-0ceaafb13046">
      <Terms xmlns="http://schemas.microsoft.com/office/infopath/2007/PartnerControls"/>
    </g3ef09377e3444258679b6035a1ff93a>
    <TaxCatchAll xmlns="4600776d-0a3c-44b4-bff2-0ceaafb13046">
      <Value>5</Value>
      <Value>104</Value>
      <Value>73</Value>
      <Value>105</Value>
      <Value>2</Value>
      <Value>54</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Meeting_x0020_Date xmlns="70d2f4a9-7027-4c8b-acc6-1861eab93b19">2026-07-13T23:00:00+00:00</Meeting_x0020_Date>
  </documentManagement>
</p:properties>
</file>

<file path=customXml/itemProps1.xml><?xml version="1.0" encoding="utf-8"?>
<ds:datastoreItem xmlns:ds="http://schemas.openxmlformats.org/officeDocument/2006/customXml" ds:itemID="{CF6774FA-911B-475C-AFAF-C5151F37AA19}">
  <ds:schemaRefs>
    <ds:schemaRef ds:uri="http://schemas.microsoft.com/sharepoint/v3/contenttype/forms"/>
  </ds:schemaRefs>
</ds:datastoreItem>
</file>

<file path=customXml/itemProps2.xml><?xml version="1.0" encoding="utf-8"?>
<ds:datastoreItem xmlns:ds="http://schemas.openxmlformats.org/officeDocument/2006/customXml" ds:itemID="{F12C7BEA-275D-4DEB-A321-131230137F41}">
  <ds:schemaRefs>
    <ds:schemaRef ds:uri="http://schemas.microsoft.com/sharepoint/events"/>
  </ds:schemaRefs>
</ds:datastoreItem>
</file>

<file path=customXml/itemProps3.xml><?xml version="1.0" encoding="utf-8"?>
<ds:datastoreItem xmlns:ds="http://schemas.openxmlformats.org/officeDocument/2006/customXml" ds:itemID="{CF03D886-6EA7-4A94-A541-E5D110FC2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10D4BC-EDA5-4424-82B4-07571CE06B30}">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NTB0004</dc:title>
  <cp:revision>0</cp:revision>
</cp:coreProperties>
</file>