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3570" w:rsidRPr="00570EC0" w:rsidP="00570EC0">
      <w:pPr>
        <w:ind w:left="0"/>
        <w:jc w:val="center"/>
        <w:rPr>
          <w:b/>
          <w:bCs/>
          <w:sz w:val="24"/>
          <w:szCs w:val="24"/>
        </w:rPr>
      </w:pPr>
      <w:r w:rsidRPr="00570EC0">
        <w:rPr>
          <w:b/>
          <w:bCs/>
          <w:sz w:val="24"/>
          <w:szCs w:val="24"/>
        </w:rPr>
        <w:t xml:space="preserve">Supplementary </w:t>
      </w:r>
      <w:r>
        <w:rPr>
          <w:b/>
          <w:bCs/>
          <w:sz w:val="24"/>
          <w:szCs w:val="24"/>
        </w:rPr>
        <w:t>w</w:t>
      </w:r>
      <w:r w:rsidRPr="00570EC0">
        <w:rPr>
          <w:b/>
          <w:bCs/>
          <w:sz w:val="24"/>
          <w:szCs w:val="24"/>
        </w:rPr>
        <w:t>ritten evidence submitted by Fuels Industry UK (MAN0064)</w:t>
      </w:r>
    </w:p>
    <w:p w:rsidR="00443570" w:rsidRPr="00570EC0" w:rsidP="00443570">
      <w:pPr>
        <w:ind w:left="142"/>
        <w:rPr>
          <w:b/>
          <w:bCs/>
          <w:sz w:val="24"/>
          <w:szCs w:val="24"/>
        </w:rPr>
      </w:pPr>
    </w:p>
    <w:p w:rsidR="00443570" w:rsidRPr="00570EC0" w:rsidP="006B67AB">
      <w:pPr>
        <w:pStyle w:val="FIUKTitleHeading"/>
        <w:numPr>
          <w:ilvl w:val="0"/>
          <w:numId w:val="0"/>
        </w:numPr>
        <w:ind w:left="255"/>
        <w:rPr>
          <w:sz w:val="24"/>
          <w:szCs w:val="24"/>
        </w:rPr>
      </w:pPr>
      <w:r w:rsidRPr="00570EC0">
        <w:rPr>
          <w:sz w:val="24"/>
          <w:szCs w:val="24"/>
        </w:rPr>
        <w:t xml:space="preserve">Regulatory </w:t>
      </w:r>
      <w:r w:rsidRPr="00570EC0" w:rsidR="00E51C43">
        <w:rPr>
          <w:sz w:val="24"/>
          <w:szCs w:val="24"/>
        </w:rPr>
        <w:t>b</w:t>
      </w:r>
      <w:r w:rsidRPr="00570EC0">
        <w:rPr>
          <w:sz w:val="24"/>
          <w:szCs w:val="24"/>
        </w:rPr>
        <w:t xml:space="preserve">urden, </w:t>
      </w:r>
      <w:r w:rsidRPr="00570EC0" w:rsidR="00E51C43">
        <w:rPr>
          <w:sz w:val="24"/>
          <w:szCs w:val="24"/>
        </w:rPr>
        <w:t>g</w:t>
      </w:r>
      <w:r w:rsidRPr="00570EC0">
        <w:rPr>
          <w:sz w:val="24"/>
          <w:szCs w:val="24"/>
        </w:rPr>
        <w:t>old</w:t>
      </w:r>
      <w:r w:rsidRPr="00570EC0" w:rsidR="00210069">
        <w:rPr>
          <w:sz w:val="24"/>
          <w:szCs w:val="24"/>
        </w:rPr>
        <w:t>-</w:t>
      </w:r>
      <w:r w:rsidRPr="00570EC0" w:rsidR="00E51C43">
        <w:rPr>
          <w:sz w:val="24"/>
          <w:szCs w:val="24"/>
        </w:rPr>
        <w:t>p</w:t>
      </w:r>
      <w:r w:rsidRPr="00570EC0">
        <w:rPr>
          <w:sz w:val="24"/>
          <w:szCs w:val="24"/>
        </w:rPr>
        <w:t xml:space="preserve">lating and </w:t>
      </w:r>
      <w:r w:rsidRPr="00570EC0" w:rsidR="00E51C43">
        <w:rPr>
          <w:sz w:val="24"/>
          <w:szCs w:val="24"/>
        </w:rPr>
        <w:t>b</w:t>
      </w:r>
      <w:r w:rsidRPr="00570EC0">
        <w:rPr>
          <w:sz w:val="24"/>
          <w:szCs w:val="24"/>
        </w:rPr>
        <w:t xml:space="preserve">arriers to </w:t>
      </w:r>
      <w:r w:rsidRPr="00570EC0" w:rsidR="00210069">
        <w:rPr>
          <w:sz w:val="24"/>
          <w:szCs w:val="24"/>
        </w:rPr>
        <w:t xml:space="preserve">fuel production </w:t>
      </w:r>
      <w:r w:rsidRPr="00570EC0">
        <w:rPr>
          <w:sz w:val="24"/>
          <w:szCs w:val="24"/>
        </w:rPr>
        <w:t xml:space="preserve">in the UK </w:t>
      </w:r>
      <w:r w:rsidRPr="00570EC0" w:rsidR="00210069">
        <w:rPr>
          <w:sz w:val="24"/>
          <w:szCs w:val="24"/>
        </w:rPr>
        <w:t>fuels sector</w:t>
      </w:r>
    </w:p>
    <w:p w:rsidR="00443570" w:rsidRPr="00570EC0" w:rsidP="00443570">
      <w:pPr>
        <w:ind w:left="142"/>
        <w:rPr>
          <w:sz w:val="24"/>
          <w:szCs w:val="24"/>
        </w:rPr>
      </w:pPr>
    </w:p>
    <w:p w:rsidR="00443570" w:rsidRPr="00570EC0" w:rsidP="004D76E4">
      <w:pPr>
        <w:pStyle w:val="FIUKTitleHeading"/>
        <w:rPr>
          <w:sz w:val="24"/>
          <w:szCs w:val="24"/>
        </w:rPr>
      </w:pPr>
      <w:r w:rsidRPr="00570EC0">
        <w:rPr>
          <w:sz w:val="24"/>
          <w:szCs w:val="24"/>
        </w:rPr>
        <w:t>Introduction</w:t>
      </w:r>
    </w:p>
    <w:p w:rsidR="00C954DC" w:rsidRPr="00570EC0" w:rsidP="00DF4FE2">
      <w:pPr>
        <w:ind w:left="142"/>
        <w:rPr>
          <w:sz w:val="24"/>
          <w:szCs w:val="24"/>
        </w:rPr>
      </w:pPr>
      <w:r w:rsidRPr="00570EC0">
        <w:rPr>
          <w:sz w:val="24"/>
          <w:szCs w:val="24"/>
        </w:rPr>
        <w:t xml:space="preserve">This paper </w:t>
      </w:r>
      <w:r w:rsidRPr="00570EC0" w:rsidR="00DF4FE2">
        <w:rPr>
          <w:sz w:val="24"/>
          <w:szCs w:val="24"/>
        </w:rPr>
        <w:t xml:space="preserve">supplements the written and oral evidence Fuels Industry UK has submitted to the Committee’s inquiry into “Managing the Future of UK Oil and Gas”. It </w:t>
      </w:r>
      <w:r w:rsidRPr="00570EC0" w:rsidR="00A64DB6">
        <w:rPr>
          <w:sz w:val="24"/>
          <w:szCs w:val="24"/>
        </w:rPr>
        <w:t xml:space="preserve">shares some examples </w:t>
      </w:r>
      <w:r w:rsidRPr="00570EC0" w:rsidR="00A71B24">
        <w:rPr>
          <w:sz w:val="24"/>
          <w:szCs w:val="24"/>
        </w:rPr>
        <w:t xml:space="preserve">- specific to lower carbon fuels - </w:t>
      </w:r>
      <w:r w:rsidRPr="00570EC0" w:rsidR="00A64DB6">
        <w:rPr>
          <w:sz w:val="24"/>
          <w:szCs w:val="24"/>
        </w:rPr>
        <w:t>where</w:t>
      </w:r>
      <w:r w:rsidRPr="00570EC0">
        <w:rPr>
          <w:sz w:val="24"/>
          <w:szCs w:val="24"/>
        </w:rPr>
        <w:t xml:space="preserve"> overlapping, inconsistent and overly prescriptive regulation is creating barriers to investment, innovation and decarbonisation in the UK fuels sector</w:t>
      </w:r>
      <w:r w:rsidRPr="00570EC0" w:rsidR="00BF45A9">
        <w:rPr>
          <w:sz w:val="24"/>
          <w:szCs w:val="24"/>
        </w:rPr>
        <w:t xml:space="preserve">. </w:t>
      </w:r>
      <w:r w:rsidRPr="00570EC0" w:rsidR="00E36EA2">
        <w:rPr>
          <w:sz w:val="24"/>
          <w:szCs w:val="24"/>
        </w:rPr>
        <w:t>Unnecessary</w:t>
      </w:r>
      <w:r w:rsidRPr="00570EC0" w:rsidR="00BF45A9">
        <w:rPr>
          <w:sz w:val="24"/>
          <w:szCs w:val="24"/>
        </w:rPr>
        <w:t xml:space="preserve"> cost and complexity in the regulatory environment </w:t>
      </w:r>
      <w:r w:rsidRPr="00570EC0" w:rsidR="00BF45A9">
        <w:rPr>
          <w:sz w:val="24"/>
          <w:szCs w:val="24"/>
        </w:rPr>
        <w:t>makes</w:t>
      </w:r>
      <w:r w:rsidRPr="00570EC0" w:rsidR="00BF45A9">
        <w:rPr>
          <w:sz w:val="24"/>
          <w:szCs w:val="24"/>
        </w:rPr>
        <w:t xml:space="preserve"> the UK a less attractive place to do business</w:t>
      </w:r>
      <w:r w:rsidRPr="00570EC0" w:rsidR="00B17ACB">
        <w:rPr>
          <w:sz w:val="24"/>
          <w:szCs w:val="24"/>
        </w:rPr>
        <w:t>.</w:t>
      </w:r>
      <w:r w:rsidRPr="00570EC0" w:rsidR="00DF4FE2">
        <w:rPr>
          <w:sz w:val="24"/>
          <w:szCs w:val="24"/>
        </w:rPr>
        <w:t xml:space="preserve"> </w:t>
      </w:r>
      <w:r w:rsidRPr="00570EC0">
        <w:rPr>
          <w:sz w:val="24"/>
          <w:szCs w:val="24"/>
        </w:rPr>
        <w:t xml:space="preserve"> </w:t>
      </w:r>
    </w:p>
    <w:p w:rsidR="00E0619F" w:rsidRPr="00570EC0" w:rsidP="00DF4FE2">
      <w:pPr>
        <w:ind w:left="142"/>
        <w:rPr>
          <w:sz w:val="24"/>
          <w:szCs w:val="24"/>
        </w:rPr>
      </w:pPr>
    </w:p>
    <w:p w:rsidR="00E0619F" w:rsidRPr="00570EC0" w:rsidP="00E0619F">
      <w:pPr>
        <w:ind w:left="142"/>
        <w:rPr>
          <w:sz w:val="24"/>
          <w:szCs w:val="24"/>
        </w:rPr>
      </w:pPr>
      <w:r w:rsidRPr="00570EC0">
        <w:rPr>
          <w:sz w:val="24"/>
          <w:szCs w:val="24"/>
        </w:rPr>
        <w:t xml:space="preserve">This is not about deregulation, but about smarter regulation that achieves environmental goals without unnecessary duplication </w:t>
      </w:r>
      <w:r w:rsidRPr="00570EC0" w:rsidR="007221B8">
        <w:rPr>
          <w:sz w:val="24"/>
          <w:szCs w:val="24"/>
        </w:rPr>
        <w:t>–</w:t>
      </w:r>
      <w:r w:rsidRPr="00570EC0" w:rsidR="00EB283E">
        <w:rPr>
          <w:sz w:val="24"/>
          <w:szCs w:val="24"/>
        </w:rPr>
        <w:t xml:space="preserve"> </w:t>
      </w:r>
      <w:r w:rsidRPr="00570EC0" w:rsidR="007221B8">
        <w:rPr>
          <w:sz w:val="24"/>
          <w:szCs w:val="24"/>
        </w:rPr>
        <w:t xml:space="preserve">Government and senior figures in the UK’s regulators speak about wanting to deliver </w:t>
      </w:r>
      <w:r w:rsidRPr="00570EC0" w:rsidR="00A64DB6">
        <w:rPr>
          <w:sz w:val="24"/>
          <w:szCs w:val="24"/>
        </w:rPr>
        <w:t>th</w:t>
      </w:r>
      <w:r w:rsidRPr="00570EC0" w:rsidR="009B3B3E">
        <w:rPr>
          <w:sz w:val="24"/>
          <w:szCs w:val="24"/>
        </w:rPr>
        <w:t>e</w:t>
      </w:r>
      <w:r w:rsidRPr="00570EC0" w:rsidR="00A64DB6">
        <w:rPr>
          <w:sz w:val="24"/>
          <w:szCs w:val="24"/>
        </w:rPr>
        <w:t>se same ambitions.</w:t>
      </w:r>
    </w:p>
    <w:p w:rsidR="00443570" w:rsidRPr="00570EC0" w:rsidP="00443570">
      <w:pPr>
        <w:ind w:left="142"/>
        <w:rPr>
          <w:sz w:val="24"/>
          <w:szCs w:val="24"/>
        </w:rPr>
      </w:pPr>
    </w:p>
    <w:p w:rsidR="00975675" w:rsidRPr="00570EC0" w:rsidP="00975675">
      <w:pPr>
        <w:pStyle w:val="FIUKTitleHeading"/>
        <w:rPr>
          <w:sz w:val="24"/>
          <w:szCs w:val="24"/>
        </w:rPr>
      </w:pPr>
      <w:r w:rsidRPr="00570EC0">
        <w:rPr>
          <w:sz w:val="24"/>
          <w:szCs w:val="24"/>
        </w:rPr>
        <w:t>Case Study: Environment Agency regulation of Tyre Pyrolysis Oils</w:t>
      </w:r>
    </w:p>
    <w:p w:rsidR="00152AB8" w:rsidRPr="00570EC0" w:rsidP="00152AB8">
      <w:pPr>
        <w:pStyle w:val="FIUKgeneraltext"/>
        <w:rPr>
          <w:sz w:val="24"/>
          <w:szCs w:val="24"/>
        </w:rPr>
      </w:pPr>
    </w:p>
    <w:p w:rsidR="00152AB8" w:rsidRPr="00570EC0" w:rsidP="00152AB8">
      <w:pPr>
        <w:ind w:left="142"/>
        <w:rPr>
          <w:sz w:val="24"/>
          <w:szCs w:val="24"/>
        </w:rPr>
      </w:pPr>
      <w:r w:rsidRPr="00570EC0">
        <w:rPr>
          <w:sz w:val="24"/>
          <w:szCs w:val="24"/>
        </w:rPr>
        <w:t>An ongoing example is the Environment Agency’s (EA) emerging approach to resource frameworks for waste</w:t>
      </w:r>
      <w:r w:rsidRPr="00570EC0">
        <w:rPr>
          <w:sz w:val="24"/>
          <w:szCs w:val="24"/>
        </w:rPr>
        <w:noBreakHyphen/>
        <w:t>derived feedstocks, particularly Tyre Pyrolysis Oil (TPO), which is shared as a case study and illustrates how well</w:t>
      </w:r>
      <w:r w:rsidRPr="00570EC0">
        <w:rPr>
          <w:sz w:val="24"/>
          <w:szCs w:val="24"/>
        </w:rPr>
        <w:noBreakHyphen/>
        <w:t>intentioned regulation can become gold</w:t>
      </w:r>
      <w:r w:rsidRPr="00570EC0">
        <w:rPr>
          <w:sz w:val="24"/>
          <w:szCs w:val="24"/>
        </w:rPr>
        <w:noBreakHyphen/>
        <w:t>plated, impose disproportionate burdens, and undermine decarbonisation pathways. This case study is included because it illustrates a wider pattern, not because TPO is unique.</w:t>
      </w:r>
    </w:p>
    <w:p w:rsidR="00152AB8" w:rsidRPr="00570EC0" w:rsidP="006B67AB">
      <w:pPr>
        <w:pStyle w:val="FIUKgeneraltext"/>
        <w:rPr>
          <w:sz w:val="24"/>
          <w:szCs w:val="24"/>
        </w:rPr>
      </w:pPr>
    </w:p>
    <w:p w:rsidR="00DA5E70" w:rsidRPr="00570EC0" w:rsidP="00DA5E70">
      <w:pPr>
        <w:ind w:left="142"/>
        <w:rPr>
          <w:sz w:val="24"/>
          <w:szCs w:val="24"/>
        </w:rPr>
      </w:pPr>
      <w:r w:rsidRPr="00570EC0">
        <w:rPr>
          <w:sz w:val="24"/>
          <w:szCs w:val="24"/>
        </w:rPr>
        <w:t>TPO is a lower</w:t>
      </w:r>
      <w:r w:rsidRPr="00570EC0">
        <w:rPr>
          <w:sz w:val="24"/>
          <w:szCs w:val="24"/>
        </w:rPr>
        <w:noBreakHyphen/>
        <w:t xml:space="preserve">carbon feedstock that could be used more widely if regulations were clearer and proportionate. </w:t>
      </w:r>
      <w:r w:rsidRPr="00570EC0" w:rsidR="00081BC1">
        <w:rPr>
          <w:sz w:val="24"/>
          <w:szCs w:val="24"/>
        </w:rPr>
        <w:t>This is a wider issue</w:t>
      </w:r>
      <w:r w:rsidRPr="00570EC0" w:rsidR="00903CE3">
        <w:rPr>
          <w:sz w:val="24"/>
          <w:szCs w:val="24"/>
        </w:rPr>
        <w:t>: a</w:t>
      </w:r>
      <w:r w:rsidRPr="00570EC0">
        <w:rPr>
          <w:sz w:val="24"/>
          <w:szCs w:val="24"/>
        </w:rPr>
        <w:t xml:space="preserve">t present, many of the potential feedstocks listed in the </w:t>
      </w:r>
      <w:r w:rsidRPr="00570EC0" w:rsidR="009A26AD">
        <w:rPr>
          <w:sz w:val="24"/>
          <w:szCs w:val="24"/>
        </w:rPr>
        <w:t>Renewable Transport Fuel Obligation (</w:t>
      </w:r>
      <w:r w:rsidRPr="00570EC0">
        <w:rPr>
          <w:sz w:val="24"/>
          <w:szCs w:val="24"/>
        </w:rPr>
        <w:t>RTFO</w:t>
      </w:r>
      <w:r w:rsidRPr="00570EC0" w:rsidR="009A26AD">
        <w:rPr>
          <w:sz w:val="24"/>
          <w:szCs w:val="24"/>
        </w:rPr>
        <w:t>)</w:t>
      </w:r>
      <w:r w:rsidRPr="00570EC0">
        <w:rPr>
          <w:sz w:val="24"/>
          <w:szCs w:val="24"/>
        </w:rPr>
        <w:t xml:space="preserve"> for development fuels are considered wastes</w:t>
      </w:r>
      <w:r w:rsidRPr="00570EC0" w:rsidR="00903CE3">
        <w:rPr>
          <w:sz w:val="24"/>
          <w:szCs w:val="24"/>
        </w:rPr>
        <w:t>,</w:t>
      </w:r>
      <w:r w:rsidRPr="00570EC0">
        <w:rPr>
          <w:sz w:val="24"/>
          <w:szCs w:val="24"/>
        </w:rPr>
        <w:t xml:space="preserve"> </w:t>
      </w:r>
      <w:r w:rsidRPr="00570EC0" w:rsidR="00903CE3">
        <w:rPr>
          <w:sz w:val="24"/>
          <w:szCs w:val="24"/>
        </w:rPr>
        <w:t>while</w:t>
      </w:r>
      <w:r w:rsidRPr="00570EC0">
        <w:rPr>
          <w:sz w:val="24"/>
          <w:szCs w:val="24"/>
        </w:rPr>
        <w:t xml:space="preserve"> all qualifying UK Sustainable Aviation Fuel is derived from waste</w:t>
      </w:r>
      <w:r w:rsidRPr="00570EC0" w:rsidR="00081BC1">
        <w:rPr>
          <w:sz w:val="24"/>
          <w:szCs w:val="24"/>
        </w:rPr>
        <w:t xml:space="preserve"> </w:t>
      </w:r>
      <w:r w:rsidRPr="00570EC0" w:rsidR="008157C3">
        <w:rPr>
          <w:sz w:val="24"/>
          <w:szCs w:val="24"/>
        </w:rPr>
        <w:t xml:space="preserve">(although TPO </w:t>
      </w:r>
      <w:r w:rsidRPr="00570EC0" w:rsidR="00B43E99">
        <w:rPr>
          <w:sz w:val="24"/>
          <w:szCs w:val="24"/>
        </w:rPr>
        <w:t xml:space="preserve">is </w:t>
      </w:r>
      <w:r w:rsidRPr="00570EC0" w:rsidR="008157C3">
        <w:rPr>
          <w:sz w:val="24"/>
          <w:szCs w:val="24"/>
        </w:rPr>
        <w:t>not an approved option for SAF at present)</w:t>
      </w:r>
      <w:r w:rsidRPr="00570EC0" w:rsidR="004A637D">
        <w:rPr>
          <w:sz w:val="24"/>
          <w:szCs w:val="24"/>
        </w:rPr>
        <w:t xml:space="preserve"> – </w:t>
      </w:r>
      <w:r w:rsidRPr="00570EC0" w:rsidR="004C42E1">
        <w:rPr>
          <w:sz w:val="24"/>
          <w:szCs w:val="24"/>
        </w:rPr>
        <w:t>we must get their regulation right to deliver on the policies’ aims.</w:t>
      </w:r>
    </w:p>
    <w:p w:rsidR="00DA5E70" w:rsidRPr="00570EC0" w:rsidP="006B67AB">
      <w:pPr>
        <w:ind w:left="142"/>
        <w:rPr>
          <w:sz w:val="24"/>
          <w:szCs w:val="24"/>
        </w:rPr>
      </w:pPr>
    </w:p>
    <w:p w:rsidR="00DA5E70" w:rsidRPr="00570EC0" w:rsidP="006B67AB">
      <w:pPr>
        <w:ind w:left="142"/>
        <w:rPr>
          <w:sz w:val="24"/>
          <w:szCs w:val="24"/>
        </w:rPr>
      </w:pPr>
      <w:r w:rsidRPr="00570EC0">
        <w:rPr>
          <w:sz w:val="24"/>
          <w:szCs w:val="24"/>
        </w:rPr>
        <w:t>EA proposed using a resource framework to classify TPO as End of Waste. The EA had proposed to use the same “one size fits all” resource framework for all refineries, but each refinery operates differently and therefore the same resource framework cannot be successfully used at more than one refinery. This situation has already created delays, uncertainty and unnecessary cost for UK producers which are a barrier to investment.</w:t>
      </w:r>
    </w:p>
    <w:p w:rsidR="00DA5E70" w:rsidRPr="00570EC0" w:rsidP="00DA5E70">
      <w:pPr>
        <w:ind w:left="142"/>
        <w:rPr>
          <w:sz w:val="24"/>
          <w:szCs w:val="24"/>
        </w:rPr>
      </w:pPr>
    </w:p>
    <w:p w:rsidR="00DA5E70" w:rsidRPr="00570EC0" w:rsidP="006B67AB">
      <w:pPr>
        <w:ind w:left="142"/>
        <w:rPr>
          <w:sz w:val="24"/>
          <w:szCs w:val="24"/>
        </w:rPr>
      </w:pPr>
      <w:r w:rsidRPr="00570EC0">
        <w:rPr>
          <w:sz w:val="24"/>
          <w:szCs w:val="24"/>
        </w:rPr>
        <w:t>The proposal</w:t>
      </w:r>
      <w:r w:rsidRPr="00570EC0">
        <w:rPr>
          <w:sz w:val="24"/>
          <w:szCs w:val="24"/>
        </w:rPr>
        <w:t xml:space="preserve"> that each refinery develop a resource framework for each material listed in the RTFO </w:t>
      </w:r>
      <w:r w:rsidRPr="00570EC0">
        <w:rPr>
          <w:sz w:val="24"/>
          <w:szCs w:val="24"/>
        </w:rPr>
        <w:t xml:space="preserve">would come </w:t>
      </w:r>
      <w:r w:rsidRPr="00570EC0">
        <w:rPr>
          <w:sz w:val="24"/>
          <w:szCs w:val="24"/>
        </w:rPr>
        <w:t xml:space="preserve">at a very significant cost.  This would create a large administrative burden without improving environmental outcomes. </w:t>
      </w:r>
    </w:p>
    <w:p w:rsidR="00DA5E70" w:rsidRPr="00570EC0" w:rsidP="006B67AB">
      <w:pPr>
        <w:ind w:left="142"/>
        <w:rPr>
          <w:sz w:val="24"/>
          <w:szCs w:val="24"/>
        </w:rPr>
      </w:pPr>
    </w:p>
    <w:p w:rsidR="00DA5E70" w:rsidRPr="00570EC0" w:rsidP="006B67AB">
      <w:pPr>
        <w:ind w:left="142"/>
        <w:rPr>
          <w:sz w:val="24"/>
          <w:szCs w:val="24"/>
        </w:rPr>
      </w:pPr>
      <w:r w:rsidRPr="00570EC0">
        <w:rPr>
          <w:sz w:val="24"/>
          <w:szCs w:val="24"/>
        </w:rPr>
        <w:t>An approach is instead needed that will remove the waste requirements for these feedstocks, which would align the UK with international practice and support investment in lower</w:t>
      </w:r>
      <w:r w:rsidRPr="00570EC0">
        <w:rPr>
          <w:sz w:val="24"/>
          <w:szCs w:val="24"/>
        </w:rPr>
        <w:noBreakHyphen/>
        <w:t xml:space="preserve">carbon fuels. The association has raised the issue to EA and DEFRA highlighting the following principles </w:t>
      </w:r>
      <w:r w:rsidRPr="00570EC0" w:rsidR="00567884">
        <w:rPr>
          <w:sz w:val="24"/>
          <w:szCs w:val="24"/>
        </w:rPr>
        <w:t xml:space="preserve">which we believe could help deliver a strong regulatory framework while </w:t>
      </w:r>
      <w:r w:rsidRPr="00570EC0" w:rsidR="001B20AE">
        <w:rPr>
          <w:sz w:val="24"/>
          <w:szCs w:val="24"/>
        </w:rPr>
        <w:t>encouraging the use of new lower carbon feedstocks:</w:t>
      </w:r>
    </w:p>
    <w:p w:rsidR="00DA5E70" w:rsidRPr="00570EC0" w:rsidP="00DA5E70">
      <w:pPr>
        <w:rPr>
          <w:sz w:val="24"/>
          <w:szCs w:val="24"/>
        </w:rPr>
      </w:pPr>
    </w:p>
    <w:p w:rsidR="00DA5E70" w:rsidRPr="00570EC0" w:rsidP="00DA5E70">
      <w:pPr>
        <w:pStyle w:val="ListParagraph"/>
        <w:numPr>
          <w:ilvl w:val="0"/>
          <w:numId w:val="36"/>
        </w:numPr>
        <w:rPr>
          <w:sz w:val="24"/>
          <w:szCs w:val="24"/>
        </w:rPr>
      </w:pPr>
      <w:r w:rsidRPr="00570EC0">
        <w:rPr>
          <w:sz w:val="24"/>
          <w:szCs w:val="24"/>
        </w:rPr>
        <w:t xml:space="preserve">EA should treat TPO and other products derived from RTFO feedstocks as recovered products, so waste regulations don’t apply and instead it is managed under environmental permitting, product labelling and REACH regulations; </w:t>
      </w:r>
    </w:p>
    <w:p w:rsidR="00DA5E70" w:rsidRPr="00570EC0" w:rsidP="00DA5E70">
      <w:pPr>
        <w:pStyle w:val="ListParagraph"/>
        <w:numPr>
          <w:ilvl w:val="0"/>
          <w:numId w:val="36"/>
        </w:numPr>
        <w:rPr>
          <w:sz w:val="24"/>
          <w:szCs w:val="24"/>
        </w:rPr>
      </w:pPr>
      <w:r w:rsidRPr="00570EC0">
        <w:rPr>
          <w:sz w:val="24"/>
          <w:szCs w:val="24"/>
        </w:rPr>
        <w:t>Operators should manage the risks associated with feedstock selection through due diligence;</w:t>
      </w:r>
    </w:p>
    <w:p w:rsidR="00DA5E70" w:rsidRPr="00570EC0" w:rsidP="00DA5E70">
      <w:pPr>
        <w:pStyle w:val="ListParagraph"/>
        <w:numPr>
          <w:ilvl w:val="0"/>
          <w:numId w:val="36"/>
        </w:numPr>
        <w:rPr>
          <w:sz w:val="24"/>
          <w:szCs w:val="24"/>
        </w:rPr>
      </w:pPr>
      <w:r w:rsidRPr="00570EC0">
        <w:rPr>
          <w:sz w:val="24"/>
          <w:szCs w:val="24"/>
        </w:rPr>
        <w:t>Any decision should reflect the different operational conditions across the UK refineries.</w:t>
      </w:r>
    </w:p>
    <w:p w:rsidR="00E53A0F" w:rsidRPr="00570EC0" w:rsidP="006B67AB">
      <w:pPr>
        <w:ind w:left="0"/>
        <w:rPr>
          <w:sz w:val="24"/>
          <w:szCs w:val="24"/>
        </w:rPr>
      </w:pPr>
    </w:p>
    <w:p w:rsidR="000A5EBB" w:rsidRPr="00570EC0" w:rsidP="00081729">
      <w:pPr>
        <w:pStyle w:val="FIUKTitleHeading"/>
        <w:rPr>
          <w:sz w:val="24"/>
          <w:szCs w:val="24"/>
        </w:rPr>
      </w:pPr>
      <w:r w:rsidRPr="00570EC0">
        <w:rPr>
          <w:sz w:val="24"/>
          <w:szCs w:val="24"/>
        </w:rPr>
        <w:t xml:space="preserve">Examples of </w:t>
      </w:r>
      <w:r w:rsidRPr="00570EC0" w:rsidR="005455CC">
        <w:rPr>
          <w:sz w:val="24"/>
          <w:szCs w:val="24"/>
        </w:rPr>
        <w:t>unnecessary</w:t>
      </w:r>
      <w:r w:rsidRPr="00570EC0" w:rsidR="00B1494E">
        <w:rPr>
          <w:sz w:val="24"/>
          <w:szCs w:val="24"/>
        </w:rPr>
        <w:t xml:space="preserve"> </w:t>
      </w:r>
      <w:r w:rsidRPr="00570EC0">
        <w:rPr>
          <w:sz w:val="24"/>
          <w:szCs w:val="24"/>
        </w:rPr>
        <w:t>re</w:t>
      </w:r>
      <w:r w:rsidRPr="00570EC0" w:rsidR="00962DAE">
        <w:rPr>
          <w:sz w:val="24"/>
          <w:szCs w:val="24"/>
        </w:rPr>
        <w:t>gulat</w:t>
      </w:r>
      <w:r w:rsidRPr="00570EC0" w:rsidR="00B1494E">
        <w:rPr>
          <w:sz w:val="24"/>
          <w:szCs w:val="24"/>
        </w:rPr>
        <w:t>ory burdens</w:t>
      </w:r>
    </w:p>
    <w:p w:rsidR="0090661A" w:rsidRPr="00570EC0" w:rsidP="00D67EB8">
      <w:pPr>
        <w:ind w:left="142"/>
        <w:rPr>
          <w:sz w:val="24"/>
          <w:szCs w:val="24"/>
        </w:rPr>
      </w:pPr>
      <w:r w:rsidRPr="00570EC0">
        <w:rPr>
          <w:sz w:val="24"/>
          <w:szCs w:val="24"/>
        </w:rPr>
        <w:t>The</w:t>
      </w:r>
      <w:r w:rsidRPr="00570EC0" w:rsidR="00D67EB8">
        <w:rPr>
          <w:sz w:val="24"/>
          <w:szCs w:val="24"/>
        </w:rPr>
        <w:t xml:space="preserve"> examples</w:t>
      </w:r>
      <w:r w:rsidRPr="00570EC0">
        <w:rPr>
          <w:sz w:val="24"/>
          <w:szCs w:val="24"/>
        </w:rPr>
        <w:t xml:space="preserve"> </w:t>
      </w:r>
      <w:r w:rsidRPr="00570EC0" w:rsidR="00D67EB8">
        <w:rPr>
          <w:sz w:val="24"/>
          <w:szCs w:val="24"/>
        </w:rPr>
        <w:t xml:space="preserve">shared below </w:t>
      </w:r>
      <w:r w:rsidRPr="00570EC0">
        <w:rPr>
          <w:sz w:val="24"/>
          <w:szCs w:val="24"/>
        </w:rPr>
        <w:t xml:space="preserve">are specific regulations </w:t>
      </w:r>
      <w:r w:rsidRPr="00570EC0" w:rsidR="00BD4AD6">
        <w:rPr>
          <w:sz w:val="24"/>
          <w:szCs w:val="24"/>
        </w:rPr>
        <w:t>and implementation concerns</w:t>
      </w:r>
      <w:r w:rsidRPr="00570EC0">
        <w:rPr>
          <w:sz w:val="24"/>
          <w:szCs w:val="24"/>
        </w:rPr>
        <w:t xml:space="preserve"> that are</w:t>
      </w:r>
      <w:r w:rsidRPr="00570EC0" w:rsidR="00D67EB8">
        <w:rPr>
          <w:sz w:val="24"/>
          <w:szCs w:val="24"/>
        </w:rPr>
        <w:t xml:space="preserve"> </w:t>
      </w:r>
      <w:r w:rsidRPr="00570EC0">
        <w:rPr>
          <w:sz w:val="24"/>
          <w:szCs w:val="24"/>
        </w:rPr>
        <w:t xml:space="preserve">adding to the overall regulatory burden for fuels suppliers. </w:t>
      </w:r>
      <w:r w:rsidRPr="00570EC0" w:rsidR="00A24B8D">
        <w:rPr>
          <w:sz w:val="24"/>
          <w:szCs w:val="24"/>
        </w:rPr>
        <w:t xml:space="preserve">The examples given are </w:t>
      </w:r>
      <w:r w:rsidRPr="00570EC0" w:rsidR="002C6047">
        <w:rPr>
          <w:sz w:val="24"/>
          <w:szCs w:val="24"/>
        </w:rPr>
        <w:t xml:space="preserve">in policy areas that are vital to the ongoing obligations on fuel suppliers to report </w:t>
      </w:r>
      <w:r w:rsidRPr="00570EC0" w:rsidR="00056B1B">
        <w:rPr>
          <w:sz w:val="24"/>
          <w:szCs w:val="24"/>
        </w:rPr>
        <w:t xml:space="preserve">into government e.g. under the RTFO as well as to innovations the sector </w:t>
      </w:r>
      <w:r w:rsidRPr="00570EC0" w:rsidR="00E114B5">
        <w:rPr>
          <w:sz w:val="24"/>
          <w:szCs w:val="24"/>
        </w:rPr>
        <w:t xml:space="preserve">continuously needs to make to maintain and grow their business and </w:t>
      </w:r>
      <w:r w:rsidRPr="00570EC0" w:rsidR="00FE205E">
        <w:rPr>
          <w:sz w:val="24"/>
          <w:szCs w:val="24"/>
        </w:rPr>
        <w:t xml:space="preserve">help contribute to Government’s </w:t>
      </w:r>
      <w:r w:rsidRPr="00570EC0" w:rsidR="00FE205E">
        <w:rPr>
          <w:sz w:val="24"/>
          <w:szCs w:val="24"/>
        </w:rPr>
        <w:t>net zero goal</w:t>
      </w:r>
      <w:r w:rsidRPr="00570EC0" w:rsidR="00ED36CD">
        <w:rPr>
          <w:sz w:val="24"/>
          <w:szCs w:val="24"/>
        </w:rPr>
        <w:t>. I</w:t>
      </w:r>
      <w:r w:rsidRPr="00570EC0" w:rsidR="00613923">
        <w:rPr>
          <w:sz w:val="24"/>
          <w:szCs w:val="24"/>
        </w:rPr>
        <w:t>n both areas</w:t>
      </w:r>
      <w:r w:rsidRPr="00570EC0" w:rsidR="00ED36CD">
        <w:rPr>
          <w:sz w:val="24"/>
          <w:szCs w:val="24"/>
        </w:rPr>
        <w:t>,</w:t>
      </w:r>
      <w:r w:rsidRPr="00570EC0" w:rsidR="00613923">
        <w:rPr>
          <w:sz w:val="24"/>
          <w:szCs w:val="24"/>
        </w:rPr>
        <w:t xml:space="preserve"> we see additional </w:t>
      </w:r>
      <w:r w:rsidRPr="00570EC0" w:rsidR="00613923">
        <w:rPr>
          <w:sz w:val="24"/>
          <w:szCs w:val="24"/>
        </w:rPr>
        <w:t xml:space="preserve">and </w:t>
      </w:r>
      <w:r w:rsidRPr="00570EC0" w:rsidR="0060680D">
        <w:rPr>
          <w:sz w:val="24"/>
          <w:szCs w:val="24"/>
        </w:rPr>
        <w:t>in some cases</w:t>
      </w:r>
      <w:r w:rsidRPr="00570EC0" w:rsidR="0060680D">
        <w:rPr>
          <w:sz w:val="24"/>
          <w:szCs w:val="24"/>
        </w:rPr>
        <w:t xml:space="preserve"> </w:t>
      </w:r>
      <w:r w:rsidRPr="00570EC0" w:rsidR="00613923">
        <w:rPr>
          <w:sz w:val="24"/>
          <w:szCs w:val="24"/>
        </w:rPr>
        <w:t>unnecessary costs or information requirements placed on businesses</w:t>
      </w:r>
    </w:p>
    <w:p w:rsidR="00BD4AD6" w:rsidRPr="00570EC0" w:rsidP="00D67EB8">
      <w:pPr>
        <w:ind w:left="142"/>
        <w:rPr>
          <w:sz w:val="24"/>
          <w:szCs w:val="24"/>
        </w:rPr>
      </w:pPr>
    </w:p>
    <w:p w:rsidR="00ED36CD" w:rsidRPr="00570EC0" w:rsidP="00CD2B84">
      <w:pPr>
        <w:pStyle w:val="FIUKHeading"/>
        <w:rPr>
          <w:sz w:val="24"/>
          <w:szCs w:val="24"/>
        </w:rPr>
      </w:pPr>
      <w:r w:rsidRPr="00570EC0">
        <w:rPr>
          <w:sz w:val="24"/>
          <w:szCs w:val="24"/>
        </w:rPr>
        <w:t xml:space="preserve">Reporting and verification of renewable fuel volumes: </w:t>
      </w:r>
    </w:p>
    <w:p w:rsidR="0090661A" w:rsidRPr="00570EC0" w:rsidP="00ED36CD">
      <w:pPr>
        <w:ind w:left="142"/>
        <w:rPr>
          <w:sz w:val="24"/>
          <w:szCs w:val="24"/>
        </w:rPr>
      </w:pPr>
      <w:r w:rsidRPr="00570EC0">
        <w:rPr>
          <w:sz w:val="24"/>
          <w:szCs w:val="24"/>
        </w:rPr>
        <w:t xml:space="preserve">Under the </w:t>
      </w:r>
      <w:r w:rsidRPr="00570EC0" w:rsidR="00056B1B">
        <w:rPr>
          <w:sz w:val="24"/>
          <w:szCs w:val="24"/>
        </w:rPr>
        <w:t xml:space="preserve">RTFO </w:t>
      </w:r>
      <w:r w:rsidRPr="00570EC0">
        <w:rPr>
          <w:sz w:val="24"/>
          <w:szCs w:val="24"/>
        </w:rPr>
        <w:t>there is</w:t>
      </w:r>
      <w:r w:rsidRPr="00570EC0" w:rsidR="00BD4AD6">
        <w:rPr>
          <w:sz w:val="24"/>
          <w:szCs w:val="24"/>
        </w:rPr>
        <w:t xml:space="preserve"> </w:t>
      </w:r>
      <w:r w:rsidRPr="00570EC0">
        <w:rPr>
          <w:sz w:val="24"/>
          <w:szCs w:val="24"/>
        </w:rPr>
        <w:t>opportunity for rationalising verification of obligated fossil fuel volumes. These volumes are</w:t>
      </w:r>
      <w:r w:rsidRPr="00570EC0" w:rsidR="00BD4AD6">
        <w:rPr>
          <w:sz w:val="24"/>
          <w:szCs w:val="24"/>
        </w:rPr>
        <w:t xml:space="preserve"> </w:t>
      </w:r>
      <w:r w:rsidRPr="00570EC0">
        <w:rPr>
          <w:sz w:val="24"/>
          <w:szCs w:val="24"/>
        </w:rPr>
        <w:t>currently billions of litres in any calendar year for fuel suppliers but highly detailed verification</w:t>
      </w:r>
      <w:r w:rsidRPr="00570EC0" w:rsidR="00BD4AD6">
        <w:rPr>
          <w:sz w:val="24"/>
          <w:szCs w:val="24"/>
        </w:rPr>
        <w:t xml:space="preserve"> </w:t>
      </w:r>
      <w:r w:rsidRPr="00570EC0" w:rsidR="004774EB">
        <w:rPr>
          <w:sz w:val="24"/>
          <w:szCs w:val="24"/>
        </w:rPr>
        <w:t xml:space="preserve">to DfT </w:t>
      </w:r>
      <w:r w:rsidRPr="00570EC0">
        <w:rPr>
          <w:sz w:val="24"/>
          <w:szCs w:val="24"/>
        </w:rPr>
        <w:t>is required precisely to the litre. Reporting into DESNZ</w:t>
      </w:r>
      <w:r w:rsidRPr="00570EC0" w:rsidR="007E39D6">
        <w:rPr>
          <w:sz w:val="24"/>
          <w:szCs w:val="24"/>
        </w:rPr>
        <w:t xml:space="preserve"> </w:t>
      </w:r>
      <w:r w:rsidRPr="00570EC0" w:rsidR="00176564">
        <w:rPr>
          <w:sz w:val="24"/>
          <w:szCs w:val="24"/>
        </w:rPr>
        <w:t>(</w:t>
      </w:r>
      <w:r w:rsidRPr="00570EC0" w:rsidR="003E1112">
        <w:rPr>
          <w:sz w:val="24"/>
          <w:szCs w:val="24"/>
        </w:rPr>
        <w:t xml:space="preserve">for </w:t>
      </w:r>
      <w:r w:rsidRPr="00570EC0" w:rsidR="00176564">
        <w:rPr>
          <w:sz w:val="24"/>
          <w:szCs w:val="24"/>
        </w:rPr>
        <w:t>their statistics publications and calculating the compulsory stockholding obligation)</w:t>
      </w:r>
      <w:r w:rsidRPr="00570EC0">
        <w:rPr>
          <w:sz w:val="24"/>
          <w:szCs w:val="24"/>
        </w:rPr>
        <w:t xml:space="preserve"> is only required at the tonne level rather than the litre, which given that billions of litres</w:t>
      </w:r>
      <w:r w:rsidRPr="00570EC0" w:rsidR="00BD4AD6">
        <w:rPr>
          <w:sz w:val="24"/>
          <w:szCs w:val="24"/>
        </w:rPr>
        <w:t xml:space="preserve"> </w:t>
      </w:r>
      <w:r w:rsidRPr="00570EC0">
        <w:rPr>
          <w:sz w:val="24"/>
          <w:szCs w:val="24"/>
        </w:rPr>
        <w:t>(</w:t>
      </w:r>
      <w:r w:rsidRPr="00570EC0" w:rsidR="0095737F">
        <w:rPr>
          <w:sz w:val="24"/>
          <w:szCs w:val="24"/>
        </w:rPr>
        <w:t>m</w:t>
      </w:r>
      <w:r w:rsidRPr="00570EC0">
        <w:rPr>
          <w:sz w:val="24"/>
          <w:szCs w:val="24"/>
        </w:rPr>
        <w:t xml:space="preserve">illions of tonnes) are delivered annually, would appear to be proportionate. </w:t>
      </w:r>
      <w:r w:rsidRPr="00570EC0" w:rsidR="00CD2B84">
        <w:rPr>
          <w:sz w:val="24"/>
          <w:szCs w:val="24"/>
        </w:rPr>
        <w:t>Similarly, RTFO administrative burdens arise from revocation and resubmission requirements for minor errors (including typos) that do not materially affect sustainability reporting but still trigger full correction processes.</w:t>
      </w:r>
    </w:p>
    <w:p w:rsidR="00574F76" w:rsidRPr="00570EC0" w:rsidP="00ED36CD">
      <w:pPr>
        <w:ind w:left="142"/>
        <w:rPr>
          <w:sz w:val="24"/>
          <w:szCs w:val="24"/>
        </w:rPr>
      </w:pPr>
    </w:p>
    <w:p w:rsidR="00CD2B84" w:rsidRPr="00570EC0" w:rsidP="00CD2B84">
      <w:pPr>
        <w:pStyle w:val="FIUKHeading"/>
        <w:rPr>
          <w:sz w:val="24"/>
          <w:szCs w:val="24"/>
        </w:rPr>
      </w:pPr>
      <w:r w:rsidRPr="00570EC0">
        <w:rPr>
          <w:sz w:val="24"/>
          <w:szCs w:val="24"/>
        </w:rPr>
        <w:t xml:space="preserve">Development fuels obligations under the </w:t>
      </w:r>
      <w:r w:rsidRPr="00570EC0">
        <w:rPr>
          <w:sz w:val="24"/>
          <w:szCs w:val="24"/>
        </w:rPr>
        <w:t>RTFO</w:t>
      </w:r>
    </w:p>
    <w:p w:rsidR="00CD2B84" w:rsidRPr="00570EC0" w:rsidP="003E7B32">
      <w:pPr>
        <w:ind w:left="142"/>
        <w:rPr>
          <w:sz w:val="24"/>
          <w:szCs w:val="24"/>
        </w:rPr>
      </w:pPr>
      <w:r w:rsidRPr="00570EC0">
        <w:rPr>
          <w:sz w:val="24"/>
          <w:szCs w:val="24"/>
        </w:rPr>
        <w:t>This policy was intended to stimulate innovation, but unclear and restrictive approvals have limited its impact. Companies have submitted proposals for development fuels, but many have been rejected due to feedstock definitions or minimum blend thresholds (typically 25%).</w:t>
      </w:r>
    </w:p>
    <w:p w:rsidR="00CD2B84" w:rsidRPr="00570EC0" w:rsidP="003E7B32">
      <w:pPr>
        <w:ind w:left="142"/>
        <w:rPr>
          <w:sz w:val="24"/>
          <w:szCs w:val="24"/>
        </w:rPr>
      </w:pPr>
    </w:p>
    <w:p w:rsidR="0090661A" w:rsidRPr="00570EC0" w:rsidP="00CD2B84">
      <w:pPr>
        <w:ind w:left="142"/>
        <w:rPr>
          <w:sz w:val="24"/>
          <w:szCs w:val="24"/>
        </w:rPr>
      </w:pPr>
      <w:r w:rsidRPr="00570EC0">
        <w:rPr>
          <w:sz w:val="24"/>
          <w:szCs w:val="24"/>
        </w:rPr>
        <w:t>The l</w:t>
      </w:r>
      <w:r w:rsidRPr="00570EC0" w:rsidR="00CD2B84">
        <w:rPr>
          <w:sz w:val="24"/>
          <w:szCs w:val="24"/>
        </w:rPr>
        <w:t>ack of clarity on qualifying fuels has led to wasted development effort and reduced investment</w:t>
      </w:r>
      <w:r w:rsidRPr="00570EC0">
        <w:rPr>
          <w:sz w:val="24"/>
          <w:szCs w:val="24"/>
        </w:rPr>
        <w:t>. A stable, inclusive policy framework is essential to</w:t>
      </w:r>
      <w:r w:rsidRPr="00570EC0" w:rsidR="003E7B32">
        <w:rPr>
          <w:sz w:val="24"/>
          <w:szCs w:val="24"/>
        </w:rPr>
        <w:t xml:space="preserve"> </w:t>
      </w:r>
      <w:r w:rsidRPr="00570EC0">
        <w:rPr>
          <w:sz w:val="24"/>
          <w:szCs w:val="24"/>
        </w:rPr>
        <w:t>unlock further investment in low-carbon fuels.</w:t>
      </w:r>
      <w:r w:rsidRPr="00570EC0" w:rsidR="003E7B32">
        <w:rPr>
          <w:sz w:val="24"/>
          <w:szCs w:val="24"/>
        </w:rPr>
        <w:t xml:space="preserve"> </w:t>
      </w:r>
      <w:r w:rsidRPr="00570EC0">
        <w:rPr>
          <w:sz w:val="24"/>
          <w:szCs w:val="24"/>
        </w:rPr>
        <w:t xml:space="preserve">This example also serves as one which results in </w:t>
      </w:r>
      <w:r w:rsidRPr="00570EC0" w:rsidR="00271D64">
        <w:rPr>
          <w:sz w:val="24"/>
          <w:szCs w:val="24"/>
        </w:rPr>
        <w:t xml:space="preserve">higher consumer </w:t>
      </w:r>
      <w:r w:rsidRPr="00570EC0">
        <w:rPr>
          <w:sz w:val="24"/>
          <w:szCs w:val="24"/>
        </w:rPr>
        <w:t>costs as the lack of available</w:t>
      </w:r>
      <w:r w:rsidRPr="00570EC0" w:rsidR="003E7B32">
        <w:rPr>
          <w:sz w:val="24"/>
          <w:szCs w:val="24"/>
        </w:rPr>
        <w:t xml:space="preserve"> </w:t>
      </w:r>
      <w:r w:rsidRPr="00570EC0">
        <w:rPr>
          <w:sz w:val="24"/>
          <w:szCs w:val="24"/>
        </w:rPr>
        <w:t>development fuels means that companies must purchase buy-out of their obligation.</w:t>
      </w:r>
    </w:p>
    <w:p w:rsidR="00A06EAF" w:rsidRPr="00570EC0" w:rsidP="003E7B32">
      <w:pPr>
        <w:ind w:left="142"/>
        <w:rPr>
          <w:sz w:val="24"/>
          <w:szCs w:val="24"/>
        </w:rPr>
      </w:pPr>
    </w:p>
    <w:p w:rsidR="0090661A" w:rsidRPr="00570EC0" w:rsidP="00A06EAF">
      <w:pPr>
        <w:ind w:left="142"/>
        <w:rPr>
          <w:sz w:val="24"/>
          <w:szCs w:val="24"/>
        </w:rPr>
      </w:pPr>
      <w:r w:rsidRPr="00570EC0">
        <w:rPr>
          <w:sz w:val="24"/>
          <w:szCs w:val="24"/>
        </w:rPr>
        <w:t>Given the lack of clarity and lengthy approval times for development fuels, a policy review to</w:t>
      </w:r>
      <w:r w:rsidRPr="00570EC0" w:rsidR="003E7B32">
        <w:rPr>
          <w:sz w:val="24"/>
          <w:szCs w:val="24"/>
        </w:rPr>
        <w:t xml:space="preserve"> </w:t>
      </w:r>
      <w:r w:rsidRPr="00570EC0">
        <w:rPr>
          <w:sz w:val="24"/>
          <w:szCs w:val="24"/>
        </w:rPr>
        <w:t>incorporate learnings and clear updates to the RTFO guidance to broaden definitions and</w:t>
      </w:r>
      <w:r w:rsidRPr="00570EC0" w:rsidR="00A06EAF">
        <w:rPr>
          <w:sz w:val="24"/>
          <w:szCs w:val="24"/>
        </w:rPr>
        <w:t xml:space="preserve"> </w:t>
      </w:r>
      <w:r w:rsidRPr="00570EC0">
        <w:rPr>
          <w:sz w:val="24"/>
          <w:szCs w:val="24"/>
        </w:rPr>
        <w:t>streamlines approvals could remove barriers to more development fuels coming forward</w:t>
      </w:r>
      <w:r w:rsidRPr="00570EC0" w:rsidR="00A06EAF">
        <w:rPr>
          <w:sz w:val="24"/>
          <w:szCs w:val="24"/>
        </w:rPr>
        <w:t xml:space="preserve"> </w:t>
      </w:r>
      <w:r w:rsidRPr="00570EC0">
        <w:rPr>
          <w:sz w:val="24"/>
          <w:szCs w:val="24"/>
        </w:rPr>
        <w:t>and</w:t>
      </w:r>
      <w:r w:rsidRPr="00570EC0" w:rsidR="00A06EAF">
        <w:rPr>
          <w:sz w:val="24"/>
          <w:szCs w:val="24"/>
        </w:rPr>
        <w:t xml:space="preserve"> </w:t>
      </w:r>
      <w:r w:rsidRPr="00570EC0">
        <w:rPr>
          <w:sz w:val="24"/>
          <w:szCs w:val="24"/>
        </w:rPr>
        <w:t>being invested in.</w:t>
      </w:r>
      <w:r w:rsidRPr="00570EC0" w:rsidR="009A63BD">
        <w:rPr>
          <w:sz w:val="24"/>
          <w:szCs w:val="24"/>
        </w:rPr>
        <w:t xml:space="preserve"> This review was intended to be part of the spring </w:t>
      </w:r>
      <w:r w:rsidRPr="00570EC0" w:rsidR="00DD02D7">
        <w:rPr>
          <w:sz w:val="24"/>
          <w:szCs w:val="24"/>
        </w:rPr>
        <w:t>20</w:t>
      </w:r>
      <w:r w:rsidRPr="00570EC0" w:rsidR="009A63BD">
        <w:rPr>
          <w:sz w:val="24"/>
          <w:szCs w:val="24"/>
        </w:rPr>
        <w:t>26 RTFO C</w:t>
      </w:r>
      <w:r w:rsidRPr="00570EC0" w:rsidR="00DD02D7">
        <w:rPr>
          <w:sz w:val="24"/>
          <w:szCs w:val="24"/>
        </w:rPr>
        <w:t xml:space="preserve">all </w:t>
      </w:r>
      <w:r w:rsidRPr="00570EC0" w:rsidR="009A63BD">
        <w:rPr>
          <w:sz w:val="24"/>
          <w:szCs w:val="24"/>
        </w:rPr>
        <w:t>f</w:t>
      </w:r>
      <w:r w:rsidRPr="00570EC0" w:rsidR="00DD02D7">
        <w:rPr>
          <w:sz w:val="24"/>
          <w:szCs w:val="24"/>
        </w:rPr>
        <w:t xml:space="preserve">or </w:t>
      </w:r>
      <w:r w:rsidRPr="00570EC0" w:rsidR="009A63BD">
        <w:rPr>
          <w:sz w:val="24"/>
          <w:szCs w:val="24"/>
        </w:rPr>
        <w:t>E</w:t>
      </w:r>
      <w:r w:rsidRPr="00570EC0" w:rsidR="00DD02D7">
        <w:rPr>
          <w:sz w:val="24"/>
          <w:szCs w:val="24"/>
        </w:rPr>
        <w:t>vidence</w:t>
      </w:r>
      <w:r w:rsidRPr="00570EC0" w:rsidR="009A63BD">
        <w:rPr>
          <w:sz w:val="24"/>
          <w:szCs w:val="24"/>
        </w:rPr>
        <w:t xml:space="preserve"> which has now been deferred until later in the year, delaying any clarity on this topic</w:t>
      </w:r>
    </w:p>
    <w:p w:rsidR="00A06EAF" w:rsidRPr="00570EC0" w:rsidP="00A06EAF">
      <w:pPr>
        <w:ind w:left="142"/>
        <w:rPr>
          <w:sz w:val="24"/>
          <w:szCs w:val="24"/>
        </w:rPr>
      </w:pPr>
    </w:p>
    <w:p w:rsidR="00CD2B84" w:rsidRPr="00570EC0" w:rsidP="00CD2B84">
      <w:pPr>
        <w:pStyle w:val="FIUKHeading"/>
        <w:rPr>
          <w:sz w:val="24"/>
          <w:szCs w:val="24"/>
        </w:rPr>
      </w:pPr>
      <w:r w:rsidRPr="00570EC0">
        <w:rPr>
          <w:sz w:val="24"/>
          <w:szCs w:val="24"/>
        </w:rPr>
        <w:t xml:space="preserve">Bio feedstock trials and permits under Environmental Permitting Regulations </w:t>
      </w:r>
    </w:p>
    <w:p w:rsidR="0090661A" w:rsidRPr="00570EC0" w:rsidP="00A06EAF">
      <w:pPr>
        <w:ind w:left="142"/>
        <w:rPr>
          <w:sz w:val="24"/>
          <w:szCs w:val="24"/>
        </w:rPr>
      </w:pPr>
      <w:r w:rsidRPr="00570EC0">
        <w:rPr>
          <w:sz w:val="24"/>
          <w:szCs w:val="24"/>
        </w:rPr>
        <w:t>P</w:t>
      </w:r>
      <w:r w:rsidRPr="00570EC0">
        <w:rPr>
          <w:sz w:val="24"/>
          <w:szCs w:val="24"/>
        </w:rPr>
        <w:t>roposals to run trials where bio feedstocks would be co-processed alongside fossil fuels by</w:t>
      </w:r>
      <w:r w:rsidRPr="00570EC0" w:rsidR="00A06EAF">
        <w:rPr>
          <w:sz w:val="24"/>
          <w:szCs w:val="24"/>
        </w:rPr>
        <w:t xml:space="preserve"> </w:t>
      </w:r>
      <w:r w:rsidRPr="00570EC0" w:rsidR="003954C1">
        <w:rPr>
          <w:sz w:val="24"/>
          <w:szCs w:val="24"/>
        </w:rPr>
        <w:t>one refinery</w:t>
      </w:r>
      <w:r w:rsidRPr="00570EC0">
        <w:rPr>
          <w:sz w:val="24"/>
          <w:szCs w:val="24"/>
        </w:rPr>
        <w:t xml:space="preserve"> were delayed by insufficient</w:t>
      </w:r>
      <w:r w:rsidRPr="00570EC0" w:rsidR="0035162D">
        <w:rPr>
          <w:sz w:val="24"/>
          <w:szCs w:val="24"/>
        </w:rPr>
        <w:t xml:space="preserve"> regulator</w:t>
      </w:r>
      <w:r w:rsidRPr="00570EC0">
        <w:rPr>
          <w:sz w:val="24"/>
          <w:szCs w:val="24"/>
        </w:rPr>
        <w:t xml:space="preserve"> resource to efficiently process</w:t>
      </w:r>
      <w:r w:rsidRPr="00570EC0" w:rsidR="00A06EAF">
        <w:rPr>
          <w:sz w:val="24"/>
          <w:szCs w:val="24"/>
        </w:rPr>
        <w:t xml:space="preserve"> </w:t>
      </w:r>
      <w:r w:rsidRPr="00570EC0">
        <w:rPr>
          <w:sz w:val="24"/>
          <w:szCs w:val="24"/>
        </w:rPr>
        <w:t xml:space="preserve">applications. This would </w:t>
      </w:r>
      <w:r w:rsidRPr="00570EC0" w:rsidR="00FC7381">
        <w:rPr>
          <w:sz w:val="24"/>
          <w:szCs w:val="24"/>
        </w:rPr>
        <w:t xml:space="preserve">have </w:t>
      </w:r>
      <w:r w:rsidRPr="00570EC0">
        <w:rPr>
          <w:sz w:val="24"/>
          <w:szCs w:val="24"/>
        </w:rPr>
        <w:t xml:space="preserve">helped </w:t>
      </w:r>
      <w:r w:rsidRPr="00570EC0" w:rsidR="00FC7381">
        <w:rPr>
          <w:sz w:val="24"/>
          <w:szCs w:val="24"/>
        </w:rPr>
        <w:t>increase</w:t>
      </w:r>
      <w:r w:rsidRPr="00570EC0">
        <w:rPr>
          <w:sz w:val="24"/>
          <w:szCs w:val="24"/>
        </w:rPr>
        <w:t xml:space="preserve"> lower carbon fuel</w:t>
      </w:r>
      <w:r w:rsidRPr="00570EC0" w:rsidR="00A06EAF">
        <w:rPr>
          <w:sz w:val="24"/>
          <w:szCs w:val="24"/>
        </w:rPr>
        <w:t xml:space="preserve"> </w:t>
      </w:r>
      <w:r w:rsidRPr="00570EC0">
        <w:rPr>
          <w:sz w:val="24"/>
          <w:szCs w:val="24"/>
        </w:rPr>
        <w:t xml:space="preserve">production </w:t>
      </w:r>
      <w:r w:rsidRPr="00570EC0" w:rsidR="00102D0D">
        <w:rPr>
          <w:sz w:val="24"/>
          <w:szCs w:val="24"/>
        </w:rPr>
        <w:t>to meet</w:t>
      </w:r>
      <w:r w:rsidRPr="00570EC0">
        <w:rPr>
          <w:sz w:val="24"/>
          <w:szCs w:val="24"/>
        </w:rPr>
        <w:t xml:space="preserve"> government </w:t>
      </w:r>
      <w:r w:rsidRPr="00570EC0" w:rsidR="00102D0D">
        <w:rPr>
          <w:sz w:val="24"/>
          <w:szCs w:val="24"/>
        </w:rPr>
        <w:t>goals</w:t>
      </w:r>
      <w:r w:rsidRPr="00570EC0">
        <w:rPr>
          <w:sz w:val="24"/>
          <w:szCs w:val="24"/>
        </w:rPr>
        <w:t xml:space="preserve">, but the potential for innovation </w:t>
      </w:r>
      <w:r w:rsidRPr="00570EC0" w:rsidR="00F5590E">
        <w:rPr>
          <w:sz w:val="24"/>
          <w:szCs w:val="24"/>
        </w:rPr>
        <w:t>wa</w:t>
      </w:r>
      <w:r w:rsidRPr="00570EC0">
        <w:rPr>
          <w:sz w:val="24"/>
          <w:szCs w:val="24"/>
        </w:rPr>
        <w:t>s</w:t>
      </w:r>
      <w:r w:rsidRPr="00570EC0" w:rsidR="00A06EAF">
        <w:rPr>
          <w:sz w:val="24"/>
          <w:szCs w:val="24"/>
        </w:rPr>
        <w:t xml:space="preserve"> </w:t>
      </w:r>
      <w:r w:rsidRPr="00570EC0">
        <w:rPr>
          <w:sz w:val="24"/>
          <w:szCs w:val="24"/>
        </w:rPr>
        <w:t xml:space="preserve">restricted </w:t>
      </w:r>
      <w:r w:rsidRPr="00570EC0" w:rsidR="0076551A">
        <w:rPr>
          <w:sz w:val="24"/>
          <w:szCs w:val="24"/>
        </w:rPr>
        <w:t xml:space="preserve">and delayed </w:t>
      </w:r>
      <w:r w:rsidRPr="00570EC0">
        <w:rPr>
          <w:sz w:val="24"/>
          <w:szCs w:val="24"/>
        </w:rPr>
        <w:t xml:space="preserve">due to </w:t>
      </w:r>
      <w:r w:rsidRPr="00570EC0" w:rsidR="003E4DC7">
        <w:rPr>
          <w:sz w:val="24"/>
          <w:szCs w:val="24"/>
        </w:rPr>
        <w:t xml:space="preserve">heavy </w:t>
      </w:r>
      <w:r w:rsidRPr="00570EC0">
        <w:rPr>
          <w:sz w:val="24"/>
          <w:szCs w:val="24"/>
        </w:rPr>
        <w:t>regulation</w:t>
      </w:r>
      <w:r w:rsidRPr="00570EC0" w:rsidR="003E4DC7">
        <w:rPr>
          <w:sz w:val="24"/>
          <w:szCs w:val="24"/>
        </w:rPr>
        <w:t xml:space="preserve"> of </w:t>
      </w:r>
      <w:r w:rsidRPr="00570EC0" w:rsidR="00271D64">
        <w:rPr>
          <w:sz w:val="24"/>
          <w:szCs w:val="24"/>
        </w:rPr>
        <w:t>trials</w:t>
      </w:r>
      <w:r w:rsidRPr="00570EC0" w:rsidR="0076551A">
        <w:rPr>
          <w:sz w:val="24"/>
          <w:szCs w:val="24"/>
        </w:rPr>
        <w:t>.</w:t>
      </w:r>
    </w:p>
    <w:p w:rsidR="00CD2B84" w:rsidRPr="00570EC0" w:rsidP="00A06EAF">
      <w:pPr>
        <w:ind w:left="142"/>
        <w:rPr>
          <w:sz w:val="24"/>
          <w:szCs w:val="24"/>
        </w:rPr>
      </w:pPr>
    </w:p>
    <w:p w:rsidR="0090661A" w:rsidRPr="00570EC0" w:rsidP="00A06EAF">
      <w:pPr>
        <w:ind w:left="142"/>
        <w:rPr>
          <w:sz w:val="24"/>
          <w:szCs w:val="24"/>
        </w:rPr>
      </w:pPr>
      <w:r w:rsidRPr="00570EC0">
        <w:rPr>
          <w:sz w:val="24"/>
          <w:szCs w:val="24"/>
        </w:rPr>
        <w:t>While</w:t>
      </w:r>
      <w:r w:rsidRPr="00570EC0">
        <w:rPr>
          <w:sz w:val="24"/>
          <w:szCs w:val="24"/>
        </w:rPr>
        <w:t xml:space="preserve"> the </w:t>
      </w:r>
      <w:r w:rsidRPr="00570EC0" w:rsidR="00A37368">
        <w:rPr>
          <w:sz w:val="24"/>
          <w:szCs w:val="24"/>
        </w:rPr>
        <w:t>EA</w:t>
      </w:r>
      <w:r w:rsidRPr="00570EC0">
        <w:rPr>
          <w:sz w:val="24"/>
          <w:szCs w:val="24"/>
        </w:rPr>
        <w:t xml:space="preserve"> have been supportive in allowing industrial</w:t>
      </w:r>
      <w:r w:rsidRPr="00570EC0" w:rsidR="00A06EAF">
        <w:rPr>
          <w:sz w:val="24"/>
          <w:szCs w:val="24"/>
        </w:rPr>
        <w:t xml:space="preserve"> </w:t>
      </w:r>
      <w:r w:rsidRPr="00570EC0">
        <w:rPr>
          <w:sz w:val="24"/>
          <w:szCs w:val="24"/>
        </w:rPr>
        <w:t>trials of Development Fuels at refineries where the permit allows for some processing</w:t>
      </w:r>
      <w:r w:rsidRPr="00570EC0" w:rsidR="00132B73">
        <w:rPr>
          <w:sz w:val="24"/>
          <w:szCs w:val="24"/>
        </w:rPr>
        <w:t xml:space="preserve"> (notwithstanding the issues on TPO noted </w:t>
      </w:r>
      <w:r w:rsidRPr="00570EC0">
        <w:rPr>
          <w:sz w:val="24"/>
          <w:szCs w:val="24"/>
        </w:rPr>
        <w:t>in</w:t>
      </w:r>
      <w:r w:rsidRPr="00570EC0" w:rsidR="00132B73">
        <w:rPr>
          <w:sz w:val="24"/>
          <w:szCs w:val="24"/>
        </w:rPr>
        <w:t xml:space="preserve"> the case study)</w:t>
      </w:r>
      <w:r w:rsidRPr="00570EC0">
        <w:rPr>
          <w:sz w:val="24"/>
          <w:szCs w:val="24"/>
        </w:rPr>
        <w:t>,</w:t>
      </w:r>
      <w:r w:rsidRPr="00570EC0" w:rsidR="00A06EAF">
        <w:rPr>
          <w:sz w:val="24"/>
          <w:szCs w:val="24"/>
        </w:rPr>
        <w:t xml:space="preserve"> </w:t>
      </w:r>
      <w:r w:rsidRPr="00570EC0">
        <w:rPr>
          <w:sz w:val="24"/>
          <w:szCs w:val="24"/>
        </w:rPr>
        <w:t>issues have arisen when companies look to increase the volumes and the ways in which</w:t>
      </w:r>
      <w:r w:rsidRPr="00570EC0" w:rsidR="00A06EAF">
        <w:rPr>
          <w:sz w:val="24"/>
          <w:szCs w:val="24"/>
        </w:rPr>
        <w:t xml:space="preserve"> </w:t>
      </w:r>
      <w:r w:rsidRPr="00570EC0">
        <w:rPr>
          <w:sz w:val="24"/>
          <w:szCs w:val="24"/>
        </w:rPr>
        <w:t>feedstocks are processed. Permit variation application is very challenging when looking to</w:t>
      </w:r>
      <w:r w:rsidRPr="00570EC0" w:rsidR="00A06EAF">
        <w:rPr>
          <w:sz w:val="24"/>
          <w:szCs w:val="24"/>
        </w:rPr>
        <w:t xml:space="preserve"> </w:t>
      </w:r>
      <w:r w:rsidRPr="00570EC0">
        <w:rPr>
          <w:sz w:val="24"/>
          <w:szCs w:val="24"/>
        </w:rPr>
        <w:t>expand the types of feedstocks available to process.</w:t>
      </w:r>
    </w:p>
    <w:p w:rsidR="0092135D" w:rsidRPr="00570EC0" w:rsidP="008B5C4D">
      <w:pPr>
        <w:ind w:left="0"/>
        <w:rPr>
          <w:sz w:val="24"/>
          <w:szCs w:val="24"/>
        </w:rPr>
      </w:pPr>
    </w:p>
    <w:p w:rsidR="000A5EBB" w:rsidRPr="00570EC0" w:rsidP="00081729">
      <w:pPr>
        <w:pStyle w:val="FIUKTitleHeading"/>
        <w:rPr>
          <w:sz w:val="24"/>
          <w:szCs w:val="24"/>
        </w:rPr>
      </w:pPr>
      <w:r w:rsidRPr="00570EC0">
        <w:rPr>
          <w:sz w:val="24"/>
          <w:szCs w:val="24"/>
        </w:rPr>
        <w:t>Examples of r</w:t>
      </w:r>
      <w:r w:rsidRPr="00570EC0" w:rsidR="0020145B">
        <w:rPr>
          <w:sz w:val="24"/>
          <w:szCs w:val="24"/>
        </w:rPr>
        <w:t xml:space="preserve">eporting </w:t>
      </w:r>
      <w:r w:rsidRPr="00570EC0">
        <w:rPr>
          <w:sz w:val="24"/>
          <w:szCs w:val="24"/>
        </w:rPr>
        <w:t>b</w:t>
      </w:r>
      <w:r w:rsidRPr="00570EC0" w:rsidR="0020145B">
        <w:rPr>
          <w:sz w:val="24"/>
          <w:szCs w:val="24"/>
        </w:rPr>
        <w:t>urdens</w:t>
      </w:r>
    </w:p>
    <w:p w:rsidR="00210069" w:rsidRPr="00570EC0" w:rsidP="00536C4C">
      <w:pPr>
        <w:ind w:left="142"/>
        <w:rPr>
          <w:sz w:val="24"/>
          <w:szCs w:val="24"/>
        </w:rPr>
      </w:pPr>
    </w:p>
    <w:p w:rsidR="00210069" w:rsidRPr="00570EC0" w:rsidP="00210069">
      <w:pPr>
        <w:ind w:left="142"/>
        <w:rPr>
          <w:sz w:val="24"/>
          <w:szCs w:val="24"/>
        </w:rPr>
      </w:pPr>
      <w:r w:rsidRPr="00570EC0">
        <w:rPr>
          <w:sz w:val="24"/>
          <w:szCs w:val="24"/>
        </w:rPr>
        <w:t>T</w:t>
      </w:r>
      <w:r w:rsidRPr="00570EC0" w:rsidR="00536C4C">
        <w:rPr>
          <w:sz w:val="24"/>
          <w:szCs w:val="24"/>
        </w:rPr>
        <w:t xml:space="preserve">he fuels sector also has 40 separate reporting requirements which contain overlap and duplications of reporting. For example, areas such as company data, inventories, supply, production, governance and infrastructure are reported into at least 10 different points. </w:t>
      </w:r>
      <w:r w:rsidRPr="00570EC0">
        <w:rPr>
          <w:sz w:val="24"/>
          <w:szCs w:val="24"/>
        </w:rPr>
        <w:t>Rationalisation would free up resources for decarbonisation and operational resilience.</w:t>
      </w:r>
    </w:p>
    <w:p w:rsidR="0076560D" w:rsidRPr="00570EC0">
      <w:pPr>
        <w:ind w:hanging="567"/>
        <w:rPr>
          <w:sz w:val="24"/>
          <w:szCs w:val="24"/>
        </w:rPr>
      </w:pPr>
      <w:r w:rsidRPr="00570EC0">
        <w:rPr>
          <w:sz w:val="24"/>
          <w:szCs w:val="24"/>
        </w:rPr>
        <w:br w:type="page"/>
      </w:r>
    </w:p>
    <w:p w:rsidR="0076560D" w:rsidRPr="00570EC0" w:rsidP="00210069">
      <w:pPr>
        <w:ind w:left="142"/>
        <w:rPr>
          <w:sz w:val="24"/>
          <w:szCs w:val="24"/>
        </w:rPr>
      </w:pPr>
    </w:p>
    <w:p w:rsidR="00536C4C" w:rsidRPr="00570EC0" w:rsidP="0020145B">
      <w:pPr>
        <w:pStyle w:val="FIUKgeneraltext"/>
        <w:rPr>
          <w:sz w:val="24"/>
          <w:szCs w:val="24"/>
        </w:rPr>
      </w:pPr>
      <w:r w:rsidRPr="00570EC0">
        <w:rPr>
          <w:noProof/>
          <w:sz w:val="24"/>
          <w:szCs w:val="24"/>
        </w:rPr>
        <w:drawing>
          <wp:anchor distT="0" distB="0" distL="114300" distR="114300" simplePos="0" relativeHeight="251658240" behindDoc="0" locked="0" layoutInCell="1" allowOverlap="1">
            <wp:simplePos x="0" y="0"/>
            <wp:positionH relativeFrom="column">
              <wp:posOffset>3490595</wp:posOffset>
            </wp:positionH>
            <wp:positionV relativeFrom="paragraph">
              <wp:posOffset>224155</wp:posOffset>
            </wp:positionV>
            <wp:extent cx="5943600" cy="3479800"/>
            <wp:effectExtent l="0" t="0" r="0" b="0"/>
            <wp:wrapNone/>
            <wp:docPr id="129120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02950" name=""/>
                    <pic:cNvPicPr/>
                  </pic:nvPicPr>
                  <pic:blipFill>
                    <a:blip xmlns:r="http://schemas.openxmlformats.org/officeDocument/2006/relationships" r:embed="rId10"/>
                    <a:stretch>
                      <a:fillRect/>
                    </a:stretch>
                  </pic:blipFill>
                  <pic:spPr>
                    <a:xfrm>
                      <a:off x="0" y="0"/>
                      <a:ext cx="5943600" cy="3479800"/>
                    </a:xfrm>
                    <a:prstGeom prst="rect">
                      <a:avLst/>
                    </a:prstGeom>
                  </pic:spPr>
                </pic:pic>
              </a:graphicData>
            </a:graphic>
          </wp:anchor>
        </w:drawing>
      </w:r>
    </w:p>
    <w:tbl>
      <w:tblPr>
        <w:tblW w:w="5382" w:type="dxa"/>
        <w:tblLook w:val="04A0"/>
      </w:tblPr>
      <w:tblGrid>
        <w:gridCol w:w="3898"/>
        <w:gridCol w:w="1484"/>
      </w:tblGrid>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156082" w:fill="156082"/>
            <w:noWrap/>
            <w:hideMark/>
          </w:tcPr>
          <w:p w:rsidR="00F57B90" w:rsidRPr="00570EC0" w:rsidP="00536C4C">
            <w:pPr>
              <w:ind w:left="0"/>
              <w:rPr>
                <w:rFonts w:cs="Poppins"/>
                <w:b/>
                <w:bCs/>
                <w:color w:val="FFFFFF"/>
                <w:sz w:val="24"/>
                <w:szCs w:val="24"/>
              </w:rPr>
            </w:pPr>
            <w:r w:rsidRPr="00570EC0">
              <w:rPr>
                <w:rFonts w:cs="Poppins"/>
                <w:b/>
                <w:bCs/>
                <w:color w:val="FFFFFF"/>
                <w:sz w:val="24"/>
                <w:szCs w:val="24"/>
              </w:rPr>
              <w:t>Policy</w:t>
            </w:r>
          </w:p>
        </w:tc>
        <w:tc>
          <w:tcPr>
            <w:tcW w:w="1484" w:type="dxa"/>
            <w:tcBorders>
              <w:top w:val="single" w:sz="4" w:space="0" w:color="44B3E1"/>
              <w:left w:val="nil"/>
              <w:bottom w:val="single" w:sz="4" w:space="0" w:color="44B3E1"/>
              <w:right w:val="nil"/>
            </w:tcBorders>
            <w:shd w:val="clear" w:color="156082" w:fill="156082"/>
            <w:noWrap/>
            <w:vAlign w:val="center"/>
            <w:hideMark/>
          </w:tcPr>
          <w:p w:rsidR="00F57B90" w:rsidRPr="00570EC0" w:rsidP="00536C4C">
            <w:pPr>
              <w:ind w:left="0"/>
              <w:jc w:val="center"/>
              <w:rPr>
                <w:rFonts w:cs="Poppins"/>
                <w:b/>
                <w:bCs/>
                <w:color w:val="FFFFFF"/>
                <w:sz w:val="24"/>
                <w:szCs w:val="24"/>
              </w:rPr>
            </w:pPr>
            <w:r w:rsidRPr="00570EC0">
              <w:rPr>
                <w:rFonts w:cs="Poppins"/>
                <w:b/>
                <w:bCs/>
                <w:color w:val="FFFFFF"/>
                <w:sz w:val="24"/>
                <w:szCs w:val="24"/>
              </w:rPr>
              <w:t>Resource</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Energy Savings Opportunity Scheme (ESOS)</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Downstream Oil Reporting System and Digest of UK Energy Statistics</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COMAH Safety Report</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 xml:space="preserve">UK Emissions </w:t>
            </w:r>
            <w:r w:rsidRPr="00570EC0">
              <w:rPr>
                <w:rFonts w:cs="Poppins"/>
                <w:color w:val="000000"/>
                <w:sz w:val="24"/>
                <w:szCs w:val="24"/>
              </w:rPr>
              <w:t>Trading  Scheme</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Annual Business Survey</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Renewable Transport Fuel Obligation</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SAF Mandate</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Excise</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Customs</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Environmental Permitting Regulations</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Mandatory climate-related financial disclosures</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REACH / CLP</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F57B90" w:rsidRPr="00570EC0" w:rsidP="00536C4C">
            <w:pPr>
              <w:ind w:left="0"/>
              <w:rPr>
                <w:rFonts w:cs="Poppins"/>
                <w:color w:val="000000"/>
                <w:sz w:val="24"/>
                <w:szCs w:val="24"/>
              </w:rPr>
            </w:pPr>
            <w:r w:rsidRPr="00570EC0">
              <w:rPr>
                <w:rFonts w:cs="Poppins"/>
                <w:color w:val="000000"/>
                <w:sz w:val="24"/>
                <w:szCs w:val="24"/>
              </w:rPr>
              <w:t>Cyber Assessment Framework</w:t>
            </w:r>
          </w:p>
        </w:tc>
        <w:tc>
          <w:tcPr>
            <w:tcW w:w="1484" w:type="dxa"/>
            <w:tcBorders>
              <w:top w:val="single" w:sz="4" w:space="0" w:color="44B3E1"/>
              <w:left w:val="nil"/>
              <w:bottom w:val="single" w:sz="4" w:space="0" w:color="44B3E1"/>
              <w:right w:val="nil"/>
            </w:tcBorders>
            <w:shd w:val="clear" w:color="C0E6F5"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F57B90" w:rsidRPr="00570EC0" w:rsidP="00536C4C">
            <w:pPr>
              <w:ind w:left="0"/>
              <w:rPr>
                <w:rFonts w:cs="Poppins"/>
                <w:color w:val="000000"/>
                <w:sz w:val="24"/>
                <w:szCs w:val="24"/>
              </w:rPr>
            </w:pPr>
            <w:r w:rsidRPr="00570EC0">
              <w:rPr>
                <w:rFonts w:cs="Poppins"/>
                <w:color w:val="000000"/>
                <w:sz w:val="24"/>
                <w:szCs w:val="24"/>
              </w:rPr>
              <w:t>NIS Directive - Incidents</w:t>
            </w:r>
          </w:p>
        </w:tc>
        <w:tc>
          <w:tcPr>
            <w:tcW w:w="1484" w:type="dxa"/>
            <w:tcBorders>
              <w:top w:val="single" w:sz="4" w:space="0" w:color="44B3E1"/>
              <w:left w:val="nil"/>
              <w:bottom w:val="single" w:sz="4" w:space="0" w:color="44B3E1"/>
              <w:right w:val="nil"/>
            </w:tcBorders>
            <w:shd w:val="clear" w:color="000000" w:fill="FFC7CE"/>
            <w:noWrap/>
            <w:vAlign w:val="center"/>
            <w:hideMark/>
          </w:tcPr>
          <w:p w:rsidR="00F57B90" w:rsidRPr="00570EC0" w:rsidP="00536C4C">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tcPr>
          <w:p w:rsidR="008B5C4D" w:rsidRPr="00570EC0" w:rsidP="008B5C4D">
            <w:pPr>
              <w:ind w:left="0"/>
              <w:rPr>
                <w:rFonts w:cs="Poppins"/>
                <w:color w:val="000000"/>
                <w:sz w:val="24"/>
                <w:szCs w:val="24"/>
              </w:rPr>
            </w:pPr>
            <w:r w:rsidRPr="00570EC0">
              <w:rPr>
                <w:rFonts w:cs="Poppins"/>
                <w:color w:val="000000"/>
                <w:sz w:val="24"/>
                <w:szCs w:val="24"/>
              </w:rPr>
              <w:t>Core Fuels - BAU (infrastructure surveys for both refinery/terminals and pipeline)</w:t>
            </w:r>
          </w:p>
        </w:tc>
        <w:tc>
          <w:tcPr>
            <w:tcW w:w="1484" w:type="dxa"/>
            <w:tcBorders>
              <w:top w:val="single" w:sz="4" w:space="0" w:color="44B3E1"/>
              <w:left w:val="nil"/>
              <w:bottom w:val="single" w:sz="4" w:space="0" w:color="44B3E1"/>
              <w:right w:val="nil"/>
            </w:tcBorders>
            <w:shd w:val="clear" w:color="000000" w:fill="FFC7CE"/>
            <w:noWrap/>
            <w:vAlign w:val="center"/>
          </w:tcPr>
          <w:p w:rsidR="008B5C4D" w:rsidRPr="00570EC0" w:rsidP="008B5C4D">
            <w:pPr>
              <w:ind w:left="0"/>
              <w:jc w:val="center"/>
              <w:rPr>
                <w:rFonts w:cs="Poppins"/>
                <w:color w:val="9C0006"/>
                <w:sz w:val="24"/>
                <w:szCs w:val="24"/>
              </w:rPr>
            </w:pPr>
            <w:r w:rsidRPr="00570EC0">
              <w:rPr>
                <w:rFonts w:cs="Poppins"/>
                <w:color w:val="9C0006"/>
                <w:sz w:val="24"/>
                <w:szCs w:val="24"/>
              </w:rPr>
              <w:t>R</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8B5C4D" w:rsidRPr="00570EC0" w:rsidP="008B5C4D">
            <w:pPr>
              <w:ind w:left="0"/>
              <w:rPr>
                <w:rFonts w:cs="Poppins"/>
                <w:color w:val="000000"/>
                <w:sz w:val="24"/>
                <w:szCs w:val="24"/>
              </w:rPr>
            </w:pPr>
            <w:r w:rsidRPr="00570EC0">
              <w:rPr>
                <w:rFonts w:cs="Poppins"/>
                <w:color w:val="000000"/>
                <w:sz w:val="24"/>
                <w:szCs w:val="24"/>
              </w:rPr>
              <w:t xml:space="preserve">Core Fuels </w:t>
            </w:r>
            <w:r w:rsidR="00570EC0">
              <w:rPr>
                <w:rFonts w:cs="Poppins"/>
                <w:color w:val="000000"/>
                <w:sz w:val="24"/>
                <w:szCs w:val="24"/>
              </w:rPr>
              <w:t>–</w:t>
            </w:r>
            <w:r w:rsidRPr="00570EC0">
              <w:rPr>
                <w:rFonts w:cs="Poppins"/>
                <w:color w:val="000000"/>
                <w:sz w:val="24"/>
                <w:szCs w:val="24"/>
              </w:rPr>
              <w:t xml:space="preserve"> Incidents</w:t>
            </w:r>
          </w:p>
        </w:tc>
        <w:tc>
          <w:tcPr>
            <w:tcW w:w="1484" w:type="dxa"/>
            <w:tcBorders>
              <w:top w:val="single" w:sz="4" w:space="0" w:color="44B3E1"/>
              <w:left w:val="nil"/>
              <w:bottom w:val="single" w:sz="4" w:space="0" w:color="44B3E1"/>
              <w:right w:val="nil"/>
            </w:tcBorders>
            <w:shd w:val="clear" w:color="000000" w:fill="FFEB9C"/>
            <w:noWrap/>
            <w:vAlign w:val="center"/>
            <w:hideMark/>
          </w:tcPr>
          <w:p w:rsidR="008B5C4D" w:rsidRPr="00570EC0" w:rsidP="008B5C4D">
            <w:pPr>
              <w:ind w:left="0"/>
              <w:jc w:val="center"/>
              <w:rPr>
                <w:rFonts w:cs="Poppins"/>
                <w:color w:val="9C5700"/>
                <w:sz w:val="24"/>
                <w:szCs w:val="24"/>
              </w:rPr>
            </w:pPr>
            <w:r w:rsidRPr="00570EC0">
              <w:rPr>
                <w:rFonts w:cs="Poppins"/>
                <w:color w:val="9C5700"/>
                <w:sz w:val="24"/>
                <w:szCs w:val="24"/>
              </w:rPr>
              <w:t>A</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8B5C4D" w:rsidRPr="00570EC0" w:rsidP="008B5C4D">
            <w:pPr>
              <w:ind w:left="0"/>
              <w:rPr>
                <w:rFonts w:cs="Poppins"/>
                <w:color w:val="000000"/>
                <w:sz w:val="24"/>
                <w:szCs w:val="24"/>
              </w:rPr>
            </w:pPr>
            <w:r w:rsidRPr="00570EC0">
              <w:rPr>
                <w:rFonts w:cs="Poppins"/>
                <w:color w:val="000000"/>
                <w:sz w:val="24"/>
                <w:szCs w:val="24"/>
              </w:rPr>
              <w:t>National Atmospheric Emissions Inventory (NAEI)</w:t>
            </w:r>
          </w:p>
        </w:tc>
        <w:tc>
          <w:tcPr>
            <w:tcW w:w="1484" w:type="dxa"/>
            <w:tcBorders>
              <w:top w:val="single" w:sz="4" w:space="0" w:color="44B3E1"/>
              <w:left w:val="nil"/>
              <w:bottom w:val="single" w:sz="4" w:space="0" w:color="44B3E1"/>
              <w:right w:val="nil"/>
            </w:tcBorders>
            <w:shd w:val="clear" w:color="C0E6F5" w:fill="FFEB9C"/>
            <w:noWrap/>
            <w:vAlign w:val="center"/>
            <w:hideMark/>
          </w:tcPr>
          <w:p w:rsidR="008B5C4D" w:rsidRPr="00570EC0" w:rsidP="008B5C4D">
            <w:pPr>
              <w:ind w:left="0"/>
              <w:jc w:val="center"/>
              <w:rPr>
                <w:rFonts w:cs="Poppins"/>
                <w:color w:val="9C5700"/>
                <w:sz w:val="24"/>
                <w:szCs w:val="24"/>
              </w:rPr>
            </w:pPr>
            <w:r w:rsidRPr="00570EC0">
              <w:rPr>
                <w:rFonts w:cs="Poppins"/>
                <w:color w:val="9C5700"/>
                <w:sz w:val="24"/>
                <w:szCs w:val="24"/>
              </w:rPr>
              <w:t>A</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8B5C4D" w:rsidRPr="00570EC0" w:rsidP="008B5C4D">
            <w:pPr>
              <w:ind w:left="0"/>
              <w:rPr>
                <w:rFonts w:cs="Poppins"/>
                <w:color w:val="000000"/>
                <w:sz w:val="24"/>
                <w:szCs w:val="24"/>
              </w:rPr>
            </w:pPr>
            <w:r w:rsidRPr="00570EC0">
              <w:rPr>
                <w:rFonts w:cs="Poppins"/>
                <w:color w:val="000000"/>
                <w:sz w:val="24"/>
                <w:szCs w:val="24"/>
              </w:rPr>
              <w:t>RIDDOR</w:t>
            </w:r>
          </w:p>
        </w:tc>
        <w:tc>
          <w:tcPr>
            <w:tcW w:w="1484" w:type="dxa"/>
            <w:tcBorders>
              <w:top w:val="single" w:sz="4" w:space="0" w:color="44B3E1"/>
              <w:left w:val="nil"/>
              <w:bottom w:val="single" w:sz="4" w:space="0" w:color="44B3E1"/>
              <w:right w:val="nil"/>
            </w:tcBorders>
            <w:shd w:val="clear" w:color="000000" w:fill="FFEB9C"/>
            <w:noWrap/>
            <w:vAlign w:val="center"/>
            <w:hideMark/>
          </w:tcPr>
          <w:p w:rsidR="008B5C4D" w:rsidRPr="00570EC0" w:rsidP="008B5C4D">
            <w:pPr>
              <w:ind w:left="0"/>
              <w:jc w:val="center"/>
              <w:rPr>
                <w:rFonts w:cs="Poppins"/>
                <w:color w:val="9C5700"/>
                <w:sz w:val="24"/>
                <w:szCs w:val="24"/>
              </w:rPr>
            </w:pPr>
            <w:r w:rsidRPr="00570EC0">
              <w:rPr>
                <w:rFonts w:cs="Poppins"/>
                <w:color w:val="9C5700"/>
                <w:sz w:val="24"/>
                <w:szCs w:val="24"/>
              </w:rPr>
              <w:t>A</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shd w:val="clear" w:color="auto" w:fill="D9E2F3" w:themeFill="accent1" w:themeFillTint="33"/>
            <w:noWrap/>
            <w:hideMark/>
          </w:tcPr>
          <w:p w:rsidR="008B5C4D" w:rsidRPr="00570EC0" w:rsidP="008B5C4D">
            <w:pPr>
              <w:ind w:left="0"/>
              <w:rPr>
                <w:rFonts w:cs="Poppins"/>
                <w:color w:val="000000"/>
                <w:sz w:val="24"/>
                <w:szCs w:val="24"/>
              </w:rPr>
            </w:pPr>
            <w:r w:rsidRPr="00570EC0">
              <w:rPr>
                <w:rFonts w:cs="Poppins"/>
                <w:color w:val="000000"/>
                <w:sz w:val="24"/>
                <w:szCs w:val="24"/>
              </w:rPr>
              <w:t>COMAH notification</w:t>
            </w:r>
          </w:p>
        </w:tc>
        <w:tc>
          <w:tcPr>
            <w:tcW w:w="1484" w:type="dxa"/>
            <w:tcBorders>
              <w:top w:val="single" w:sz="4" w:space="0" w:color="44B3E1"/>
              <w:left w:val="nil"/>
              <w:bottom w:val="single" w:sz="4" w:space="0" w:color="44B3E1"/>
              <w:right w:val="nil"/>
            </w:tcBorders>
            <w:shd w:val="clear" w:color="C0E6F5" w:fill="FFEB9C"/>
            <w:noWrap/>
            <w:vAlign w:val="center"/>
            <w:hideMark/>
          </w:tcPr>
          <w:p w:rsidR="008B5C4D" w:rsidRPr="00570EC0" w:rsidP="008B5C4D">
            <w:pPr>
              <w:ind w:left="0"/>
              <w:jc w:val="center"/>
              <w:rPr>
                <w:rFonts w:cs="Poppins"/>
                <w:color w:val="9C5700"/>
                <w:sz w:val="24"/>
                <w:szCs w:val="24"/>
              </w:rPr>
            </w:pPr>
            <w:r w:rsidRPr="00570EC0">
              <w:rPr>
                <w:rFonts w:cs="Poppins"/>
                <w:color w:val="9C5700"/>
                <w:sz w:val="24"/>
                <w:szCs w:val="24"/>
              </w:rPr>
              <w:t>A</w:t>
            </w:r>
          </w:p>
        </w:tc>
      </w:tr>
      <w:tr w:rsidTr="008B5C4D">
        <w:tblPrEx>
          <w:tblW w:w="5382" w:type="dxa"/>
          <w:tblLook w:val="04A0"/>
        </w:tblPrEx>
        <w:trPr>
          <w:trHeight w:val="20"/>
        </w:trPr>
        <w:tc>
          <w:tcPr>
            <w:tcW w:w="3898" w:type="dxa"/>
            <w:tcBorders>
              <w:top w:val="single" w:sz="4" w:space="0" w:color="44B3E1"/>
              <w:left w:val="single" w:sz="4" w:space="0" w:color="44B3E1"/>
              <w:bottom w:val="single" w:sz="4" w:space="0" w:color="44B3E1"/>
              <w:right w:val="nil"/>
            </w:tcBorders>
            <w:noWrap/>
            <w:hideMark/>
          </w:tcPr>
          <w:p w:rsidR="008B5C4D" w:rsidRPr="00570EC0" w:rsidP="008B5C4D">
            <w:pPr>
              <w:ind w:left="0"/>
              <w:rPr>
                <w:rFonts w:cs="Poppins"/>
                <w:color w:val="000000"/>
                <w:sz w:val="24"/>
                <w:szCs w:val="24"/>
              </w:rPr>
            </w:pPr>
            <w:r w:rsidRPr="00570EC0">
              <w:rPr>
                <w:rFonts w:cs="Poppins"/>
                <w:color w:val="000000"/>
                <w:sz w:val="24"/>
                <w:szCs w:val="24"/>
              </w:rPr>
              <w:t>Fuel Finder</w:t>
            </w:r>
          </w:p>
        </w:tc>
        <w:tc>
          <w:tcPr>
            <w:tcW w:w="1484" w:type="dxa"/>
            <w:tcBorders>
              <w:top w:val="single" w:sz="4" w:space="0" w:color="44B3E1"/>
              <w:left w:val="nil"/>
              <w:bottom w:val="single" w:sz="4" w:space="0" w:color="44B3E1"/>
              <w:right w:val="nil"/>
            </w:tcBorders>
            <w:shd w:val="clear" w:color="000000" w:fill="FFEB9C"/>
            <w:noWrap/>
            <w:vAlign w:val="center"/>
            <w:hideMark/>
          </w:tcPr>
          <w:p w:rsidR="008B5C4D" w:rsidRPr="00570EC0" w:rsidP="008B5C4D">
            <w:pPr>
              <w:ind w:left="0"/>
              <w:jc w:val="center"/>
              <w:rPr>
                <w:rFonts w:cs="Poppins"/>
                <w:color w:val="9C5700"/>
                <w:sz w:val="24"/>
                <w:szCs w:val="24"/>
              </w:rPr>
            </w:pPr>
            <w:r w:rsidRPr="00570EC0">
              <w:rPr>
                <w:rFonts w:cs="Poppins"/>
                <w:color w:val="9C5700"/>
                <w:sz w:val="24"/>
                <w:szCs w:val="24"/>
              </w:rPr>
              <w:t>A</w:t>
            </w:r>
          </w:p>
        </w:tc>
      </w:tr>
    </w:tbl>
    <w:p w:rsidR="008B5C4D" w:rsidRPr="00570EC0" w:rsidP="00210069">
      <w:pPr>
        <w:ind w:left="0"/>
        <w:rPr>
          <w:sz w:val="24"/>
          <w:szCs w:val="24"/>
        </w:rPr>
      </w:pPr>
    </w:p>
    <w:p w:rsidR="00036AFC" w:rsidRPr="00570EC0" w:rsidP="00570EC0">
      <w:pPr>
        <w:ind w:left="0"/>
        <w:rPr>
          <w:i/>
          <w:iCs/>
          <w:sz w:val="24"/>
          <w:szCs w:val="24"/>
        </w:rPr>
      </w:pPr>
      <w:r w:rsidRPr="00570EC0">
        <w:rPr>
          <w:i/>
          <w:iCs/>
          <w:sz w:val="24"/>
          <w:szCs w:val="24"/>
        </w:rPr>
        <w:t>July 2026</w:t>
      </w:r>
    </w:p>
    <w:sectPr w:rsidSect="00570EC0">
      <w:headerReference w:type="default" r:id="rId11"/>
      <w:footerReference w:type="even" r:id="rId12"/>
      <w:footerReference w:type="default" r:id="rId13"/>
      <w:headerReference w:type="first" r:id="rId14"/>
      <w:footerReference w:type="first" r:id="rId15"/>
      <w:pgSz w:w="11900" w:h="16840"/>
      <w:pgMar w:top="1440" w:right="1440" w:bottom="1440" w:left="1440" w:header="567" w:footer="288" w:gutter="0"/>
      <w:pgNumType w:fmt="numberInDash"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oppins">
    <w:altName w:val="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901" w:rsidP="00C73A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A50D7">
      <w:rPr>
        <w:rStyle w:val="PageNumber"/>
        <w:noProof/>
      </w:rPr>
      <w:t>- 2 -</w:t>
    </w:r>
    <w:r>
      <w:rPr>
        <w:rStyle w:val="PageNumber"/>
      </w:rPr>
      <w:fldChar w:fldCharType="end"/>
    </w:r>
  </w:p>
  <w:p w:rsidR="00E27901" w:rsidP="00E279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C83" w:rsidRPr="00752ABC" w:rsidP="00F30C83">
    <w:pPr>
      <w:pStyle w:val="Footer"/>
      <w:tabs>
        <w:tab w:val="left" w:pos="1416"/>
        <w:tab w:val="right" w:pos="9020"/>
        <w:tab w:val="clear" w:pos="9026"/>
      </w:tabs>
      <w:ind w:left="-426" w:firstLine="284"/>
      <w:rPr>
        <w:rFonts w:cs="Poppins"/>
        <w:sz w:val="18"/>
        <w:szCs w:val="18"/>
      </w:rPr>
    </w:pPr>
    <w:r w:rsidRPr="00752ABC">
      <w:rPr>
        <w:rFonts w:cs="Poppins"/>
        <w:sz w:val="18"/>
        <w:szCs w:val="18"/>
      </w:rPr>
      <w:t xml:space="preserve">Page </w:t>
    </w:r>
    <w:r w:rsidRPr="00752ABC">
      <w:rPr>
        <w:rFonts w:cs="Poppins"/>
        <w:sz w:val="18"/>
        <w:szCs w:val="18"/>
      </w:rPr>
      <w:fldChar w:fldCharType="begin"/>
    </w:r>
    <w:r w:rsidRPr="00752ABC">
      <w:rPr>
        <w:rFonts w:cs="Poppins"/>
        <w:sz w:val="18"/>
        <w:szCs w:val="18"/>
      </w:rPr>
      <w:instrText xml:space="preserve"> PAGE  \* Arabic  \* MERGEFORMAT </w:instrText>
    </w:r>
    <w:r w:rsidRPr="00752ABC">
      <w:rPr>
        <w:rFonts w:cs="Poppins"/>
        <w:sz w:val="18"/>
        <w:szCs w:val="18"/>
      </w:rPr>
      <w:fldChar w:fldCharType="separate"/>
    </w:r>
    <w:r>
      <w:rPr>
        <w:rFonts w:cs="Poppins"/>
        <w:sz w:val="18"/>
        <w:szCs w:val="18"/>
      </w:rPr>
      <w:t>1</w:t>
    </w:r>
    <w:r w:rsidRPr="00752ABC">
      <w:rPr>
        <w:rFonts w:cs="Poppins"/>
        <w:sz w:val="18"/>
        <w:szCs w:val="18"/>
      </w:rPr>
      <w:fldChar w:fldCharType="end"/>
    </w:r>
    <w:r w:rsidRPr="00752ABC">
      <w:rPr>
        <w:rFonts w:cs="Poppins"/>
        <w:sz w:val="18"/>
        <w:szCs w:val="18"/>
      </w:rPr>
      <w:t xml:space="preserve"> of </w:t>
    </w:r>
    <w:r w:rsidRPr="00752ABC">
      <w:rPr>
        <w:rFonts w:cs="Poppins"/>
        <w:sz w:val="18"/>
        <w:szCs w:val="18"/>
      </w:rPr>
      <w:fldChar w:fldCharType="begin"/>
    </w:r>
    <w:r w:rsidRPr="00752ABC">
      <w:rPr>
        <w:rFonts w:cs="Poppins"/>
        <w:sz w:val="18"/>
        <w:szCs w:val="18"/>
      </w:rPr>
      <w:instrText xml:space="preserve"> NUMPAGES  \* Arabic  \* MERGEFORMAT </w:instrText>
    </w:r>
    <w:r w:rsidRPr="00752ABC">
      <w:rPr>
        <w:rFonts w:cs="Poppins"/>
        <w:sz w:val="18"/>
        <w:szCs w:val="18"/>
      </w:rPr>
      <w:fldChar w:fldCharType="separate"/>
    </w:r>
    <w:r>
      <w:rPr>
        <w:rFonts w:cs="Poppins"/>
        <w:sz w:val="18"/>
        <w:szCs w:val="18"/>
      </w:rPr>
      <w:t>3</w:t>
    </w:r>
    <w:r w:rsidRPr="00752ABC">
      <w:rPr>
        <w:rFonts w:cs="Poppins"/>
        <w:sz w:val="18"/>
        <w:szCs w:val="18"/>
      </w:rPr>
      <w:fldChar w:fldCharType="end"/>
    </w:r>
  </w:p>
  <w:p w:rsidR="00D2095A" w:rsidRPr="00752ABC" w:rsidP="00F30C83">
    <w:pPr>
      <w:pStyle w:val="Footer"/>
      <w:ind w:left="0"/>
      <w:rPr>
        <w:rFonts w:cs="Poppin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11B" w:rsidRPr="00752ABC" w:rsidP="00CB6F13">
    <w:pPr>
      <w:pStyle w:val="Footer"/>
      <w:tabs>
        <w:tab w:val="left" w:pos="1416"/>
        <w:tab w:val="right" w:pos="9020"/>
        <w:tab w:val="clear" w:pos="9026"/>
      </w:tabs>
      <w:ind w:left="-426" w:firstLine="284"/>
      <w:rPr>
        <w:rFonts w:cs="Poppins"/>
        <w:sz w:val="18"/>
        <w:szCs w:val="18"/>
      </w:rPr>
    </w:pPr>
    <w:r w:rsidRPr="00752ABC">
      <w:rPr>
        <w:rFonts w:cs="Poppins"/>
        <w:sz w:val="18"/>
        <w:szCs w:val="18"/>
      </w:rPr>
      <w:t xml:space="preserve">Page </w:t>
    </w:r>
    <w:r w:rsidRPr="00752ABC">
      <w:rPr>
        <w:rFonts w:cs="Poppins"/>
        <w:sz w:val="18"/>
        <w:szCs w:val="18"/>
      </w:rPr>
      <w:fldChar w:fldCharType="begin"/>
    </w:r>
    <w:r w:rsidRPr="00752ABC">
      <w:rPr>
        <w:rFonts w:cs="Poppins"/>
        <w:sz w:val="18"/>
        <w:szCs w:val="18"/>
      </w:rPr>
      <w:instrText xml:space="preserve"> PAGE  \* Arabic  \* MERGEFORMAT </w:instrText>
    </w:r>
    <w:r w:rsidRPr="00752ABC">
      <w:rPr>
        <w:rFonts w:cs="Poppins"/>
        <w:sz w:val="18"/>
        <w:szCs w:val="18"/>
      </w:rPr>
      <w:fldChar w:fldCharType="separate"/>
    </w:r>
    <w:r w:rsidRPr="00752ABC">
      <w:rPr>
        <w:rFonts w:cs="Poppins"/>
        <w:noProof/>
        <w:sz w:val="18"/>
        <w:szCs w:val="18"/>
      </w:rPr>
      <w:t>2</w:t>
    </w:r>
    <w:r w:rsidRPr="00752ABC">
      <w:rPr>
        <w:rFonts w:cs="Poppins"/>
        <w:sz w:val="18"/>
        <w:szCs w:val="18"/>
      </w:rPr>
      <w:fldChar w:fldCharType="end"/>
    </w:r>
    <w:r w:rsidRPr="00752ABC">
      <w:rPr>
        <w:rFonts w:cs="Poppins"/>
        <w:sz w:val="18"/>
        <w:szCs w:val="18"/>
      </w:rPr>
      <w:t xml:space="preserve"> of </w:t>
    </w:r>
    <w:r w:rsidRPr="00752ABC">
      <w:rPr>
        <w:rFonts w:cs="Poppins"/>
        <w:sz w:val="18"/>
        <w:szCs w:val="18"/>
      </w:rPr>
      <w:fldChar w:fldCharType="begin"/>
    </w:r>
    <w:r w:rsidRPr="00752ABC">
      <w:rPr>
        <w:rFonts w:cs="Poppins"/>
        <w:sz w:val="18"/>
        <w:szCs w:val="18"/>
      </w:rPr>
      <w:instrText xml:space="preserve"> NUMPAGES  \* Arabic  \* MERGEFORMAT </w:instrText>
    </w:r>
    <w:r w:rsidRPr="00752ABC">
      <w:rPr>
        <w:rFonts w:cs="Poppins"/>
        <w:sz w:val="18"/>
        <w:szCs w:val="18"/>
      </w:rPr>
      <w:fldChar w:fldCharType="separate"/>
    </w:r>
    <w:r w:rsidRPr="00752ABC">
      <w:rPr>
        <w:rFonts w:cs="Poppins"/>
        <w:noProof/>
        <w:sz w:val="18"/>
        <w:szCs w:val="18"/>
      </w:rPr>
      <w:t>2</w:t>
    </w:r>
    <w:r w:rsidRPr="00752ABC">
      <w:rPr>
        <w:rFonts w:cs="Poppins"/>
        <w:sz w:val="18"/>
        <w:szCs w:val="18"/>
      </w:rPr>
      <w:fldChar w:fldCharType="end"/>
    </w:r>
  </w:p>
  <w:p w:rsidR="007277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6BC1" w:rsidP="009427DC">
    <w:pPr>
      <w:pStyle w:val="Header"/>
      <w:ind w:left="0"/>
    </w:pPr>
  </w:p>
  <w:p w:rsidR="00F45A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0DB6" w:rsidP="00B051B9">
    <w:pPr>
      <w:pStyle w:val="Header"/>
      <w:ind w:left="0"/>
    </w:pPr>
  </w:p>
  <w:p w:rsidR="00C70DB6">
    <w:pPr>
      <w:pStyle w:val="Header"/>
    </w:pPr>
  </w:p>
  <w:p w:rsidR="00B93FDF">
    <w:pPr>
      <w:pStyle w:val="Header"/>
    </w:pPr>
  </w:p>
  <w:p w:rsidR="000872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F712D"/>
    <w:multiLevelType w:val="multilevel"/>
    <w:tmpl w:val="0E1EF936"/>
    <w:styleLink w:val="CurrentList2"/>
    <w:lvl w:ilvl="0">
      <w:start w:val="1"/>
      <w:numFmt w:val="decimal"/>
      <w:lvlText w:val="%1."/>
      <w:lvlJc w:val="left"/>
      <w:pPr>
        <w:ind w:left="198" w:firstLine="57"/>
      </w:pPr>
      <w:rPr>
        <w:rFonts w:ascii="Poppins" w:hAnsi="Poppins" w:hint="default"/>
        <w:b/>
        <w:i w:val="0"/>
        <w:sz w:val="28"/>
      </w:rPr>
    </w:lvl>
    <w:lvl w:ilvl="1">
      <w:start w:val="1"/>
      <w:numFmt w:val="decimal"/>
      <w:lvlText w:val="%1.%2."/>
      <w:lvlJc w:val="left"/>
      <w:pPr>
        <w:ind w:left="652" w:hanging="207"/>
      </w:pPr>
      <w:rPr>
        <w:rFonts w:ascii="Poppins" w:hAnsi="Poppins" w:hint="default"/>
        <w:b w:val="0"/>
        <w:i w:val="0"/>
        <w:sz w:val="22"/>
        <w:u w:val="none"/>
      </w:rPr>
    </w:lvl>
    <w:lvl w:ilvl="2">
      <w:start w:val="1"/>
      <w:numFmt w:val="decimal"/>
      <w:lvlText w:val="%1.%2.%3"/>
      <w:lvlJc w:val="left"/>
      <w:pPr>
        <w:ind w:left="936" w:firstLine="283"/>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1">
    <w:nsid w:val="056E7374"/>
    <w:multiLevelType w:val="multilevel"/>
    <w:tmpl w:val="4FC252C6"/>
    <w:styleLink w:val="CurrentList1"/>
    <w:lvl w:ilvl="0">
      <w:start w:val="1"/>
      <w:numFmt w:val="decimal"/>
      <w:lvlText w:val="%1."/>
      <w:lvlJc w:val="left"/>
      <w:pPr>
        <w:ind w:left="198" w:firstLine="57"/>
      </w:pPr>
      <w:rPr>
        <w:rFonts w:ascii="Poppins" w:hAnsi="Poppins" w:hint="default"/>
        <w:b/>
        <w:i w:val="0"/>
        <w:sz w:val="28"/>
      </w:rPr>
    </w:lvl>
    <w:lvl w:ilvl="1">
      <w:start w:val="1"/>
      <w:numFmt w:val="decimal"/>
      <w:lvlText w:val="%1.%2."/>
      <w:lvlJc w:val="left"/>
      <w:pPr>
        <w:ind w:left="652" w:hanging="207"/>
      </w:pPr>
      <w:rPr>
        <w:rFonts w:ascii="Poppins" w:hAnsi="Poppins" w:hint="default"/>
        <w:b w:val="0"/>
        <w:i w:val="0"/>
        <w:sz w:val="22"/>
        <w:u w:val="none"/>
      </w:rPr>
    </w:lvl>
    <w:lvl w:ilvl="2">
      <w:start w:val="1"/>
      <w:numFmt w:val="lowerLetter"/>
      <w:lvlText w:val="%3."/>
      <w:lvlJc w:val="left"/>
      <w:pPr>
        <w:ind w:left="936" w:firstLine="283"/>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2">
    <w:nsid w:val="05A65EFA"/>
    <w:multiLevelType w:val="hybridMultilevel"/>
    <w:tmpl w:val="C4B4D7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203168"/>
    <w:multiLevelType w:val="multilevel"/>
    <w:tmpl w:val="128E26C6"/>
    <w:lvl w:ilvl="0">
      <w:start w:val="1"/>
      <w:numFmt w:val="decimal"/>
      <w:pStyle w:val="FIUKTitleHeading"/>
      <w:lvlText w:val="%1."/>
      <w:lvlJc w:val="left"/>
      <w:pPr>
        <w:tabs>
          <w:tab w:val="num" w:pos="709"/>
        </w:tabs>
        <w:ind w:left="709" w:hanging="454"/>
      </w:pPr>
      <w:rPr>
        <w:rFonts w:ascii="Poppins" w:hAnsi="Poppins" w:hint="default"/>
        <w:b/>
        <w:i w:val="0"/>
        <w:sz w:val="24"/>
        <w:szCs w:val="24"/>
      </w:rPr>
    </w:lvl>
    <w:lvl w:ilvl="1">
      <w:start w:val="1"/>
      <w:numFmt w:val="decimal"/>
      <w:pStyle w:val="FIUKHeading"/>
      <w:lvlText w:val="%1.%2."/>
      <w:lvlJc w:val="left"/>
      <w:pPr>
        <w:tabs>
          <w:tab w:val="num" w:pos="709"/>
        </w:tabs>
        <w:ind w:left="709" w:hanging="454"/>
      </w:pPr>
      <w:rPr>
        <w:rFonts w:ascii="Poppins" w:hAnsi="Poppins" w:hint="default"/>
        <w:b w:val="0"/>
        <w:i w:val="0"/>
        <w:sz w:val="22"/>
        <w:u w:val="none"/>
      </w:rPr>
    </w:lvl>
    <w:lvl w:ilvl="2">
      <w:start w:val="1"/>
      <w:numFmt w:val="decimal"/>
      <w:pStyle w:val="FIUKSubbulletfirstline"/>
      <w:lvlText w:val="%1.%2.%3"/>
      <w:lvlJc w:val="left"/>
      <w:pPr>
        <w:tabs>
          <w:tab w:val="num" w:pos="1559"/>
        </w:tabs>
        <w:ind w:left="1559" w:hanging="482"/>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4">
    <w:nsid w:val="121B53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E57470"/>
    <w:multiLevelType w:val="hybridMultilevel"/>
    <w:tmpl w:val="CC2A13D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9D944CA"/>
    <w:multiLevelType w:val="hybridMultilevel"/>
    <w:tmpl w:val="8CB460F4"/>
    <w:lvl w:ilvl="0">
      <w:start w:val="1"/>
      <w:numFmt w:val="bullet"/>
      <w:lvlText w:val=""/>
      <w:lvlJc w:val="left"/>
      <w:pPr>
        <w:ind w:left="862" w:hanging="360"/>
      </w:pPr>
      <w:rPr>
        <w:rFonts w:ascii="Symbol" w:hAnsi="Symbol" w:hint="default"/>
      </w:rPr>
    </w:lvl>
    <w:lvl w:ilvl="1" w:tentative="1">
      <w:start w:val="1"/>
      <w:numFmt w:val="bullet"/>
      <w:lvlText w:val="o"/>
      <w:lvlJc w:val="left"/>
      <w:pPr>
        <w:ind w:left="1582" w:hanging="360"/>
      </w:pPr>
      <w:rPr>
        <w:rFonts w:ascii="Courier New" w:hAnsi="Courier New" w:cs="Courier New"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abstractNum w:abstractNumId="7">
    <w:nsid w:val="1CDD795A"/>
    <w:multiLevelType w:val="hybridMultilevel"/>
    <w:tmpl w:val="81D4393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205A5C17"/>
    <w:multiLevelType w:val="hybridMultilevel"/>
    <w:tmpl w:val="56DA5876"/>
    <w:lvl w:ilvl="0">
      <w:start w:val="1"/>
      <w:numFmt w:val="bullet"/>
      <w:lvlText w:val=""/>
      <w:lvlJc w:val="left"/>
      <w:pPr>
        <w:ind w:left="862" w:hanging="360"/>
      </w:pPr>
      <w:rPr>
        <w:rFonts w:ascii="Symbol" w:hAnsi="Symbol" w:hint="default"/>
      </w:rPr>
    </w:lvl>
    <w:lvl w:ilvl="1" w:tentative="1">
      <w:start w:val="1"/>
      <w:numFmt w:val="bullet"/>
      <w:lvlText w:val="o"/>
      <w:lvlJc w:val="left"/>
      <w:pPr>
        <w:ind w:left="1582" w:hanging="360"/>
      </w:pPr>
      <w:rPr>
        <w:rFonts w:ascii="Courier New" w:hAnsi="Courier New" w:cs="Courier New" w:hint="default"/>
      </w:rPr>
    </w:lvl>
    <w:lvl w:ilvl="2" w:tentative="1">
      <w:start w:val="1"/>
      <w:numFmt w:val="bullet"/>
      <w:lvlText w:val=""/>
      <w:lvlJc w:val="left"/>
      <w:pPr>
        <w:ind w:left="2302" w:hanging="360"/>
      </w:pPr>
      <w:rPr>
        <w:rFonts w:ascii="Wingdings" w:hAnsi="Wingdings" w:hint="default"/>
      </w:rPr>
    </w:lvl>
    <w:lvl w:ilvl="3" w:tentative="1">
      <w:start w:val="1"/>
      <w:numFmt w:val="bullet"/>
      <w:lvlText w:val=""/>
      <w:lvlJc w:val="left"/>
      <w:pPr>
        <w:ind w:left="3022" w:hanging="360"/>
      </w:pPr>
      <w:rPr>
        <w:rFonts w:ascii="Symbol" w:hAnsi="Symbol" w:hint="default"/>
      </w:rPr>
    </w:lvl>
    <w:lvl w:ilvl="4" w:tentative="1">
      <w:start w:val="1"/>
      <w:numFmt w:val="bullet"/>
      <w:lvlText w:val="o"/>
      <w:lvlJc w:val="left"/>
      <w:pPr>
        <w:ind w:left="3742" w:hanging="360"/>
      </w:pPr>
      <w:rPr>
        <w:rFonts w:ascii="Courier New" w:hAnsi="Courier New" w:cs="Courier New" w:hint="default"/>
      </w:rPr>
    </w:lvl>
    <w:lvl w:ilvl="5" w:tentative="1">
      <w:start w:val="1"/>
      <w:numFmt w:val="bullet"/>
      <w:lvlText w:val=""/>
      <w:lvlJc w:val="left"/>
      <w:pPr>
        <w:ind w:left="4462" w:hanging="360"/>
      </w:pPr>
      <w:rPr>
        <w:rFonts w:ascii="Wingdings" w:hAnsi="Wingdings" w:hint="default"/>
      </w:rPr>
    </w:lvl>
    <w:lvl w:ilvl="6" w:tentative="1">
      <w:start w:val="1"/>
      <w:numFmt w:val="bullet"/>
      <w:lvlText w:val=""/>
      <w:lvlJc w:val="left"/>
      <w:pPr>
        <w:ind w:left="5182" w:hanging="360"/>
      </w:pPr>
      <w:rPr>
        <w:rFonts w:ascii="Symbol" w:hAnsi="Symbol" w:hint="default"/>
      </w:rPr>
    </w:lvl>
    <w:lvl w:ilvl="7" w:tentative="1">
      <w:start w:val="1"/>
      <w:numFmt w:val="bullet"/>
      <w:lvlText w:val="o"/>
      <w:lvlJc w:val="left"/>
      <w:pPr>
        <w:ind w:left="5902" w:hanging="360"/>
      </w:pPr>
      <w:rPr>
        <w:rFonts w:ascii="Courier New" w:hAnsi="Courier New" w:cs="Courier New" w:hint="default"/>
      </w:rPr>
    </w:lvl>
    <w:lvl w:ilvl="8" w:tentative="1">
      <w:start w:val="1"/>
      <w:numFmt w:val="bullet"/>
      <w:lvlText w:val=""/>
      <w:lvlJc w:val="left"/>
      <w:pPr>
        <w:ind w:left="6622" w:hanging="360"/>
      </w:pPr>
      <w:rPr>
        <w:rFonts w:ascii="Wingdings" w:hAnsi="Wingdings" w:hint="default"/>
      </w:rPr>
    </w:lvl>
  </w:abstractNum>
  <w:abstractNum w:abstractNumId="9">
    <w:nsid w:val="27B50912"/>
    <w:multiLevelType w:val="hybridMultilevel"/>
    <w:tmpl w:val="3E467D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8905E1F"/>
    <w:multiLevelType w:val="multilevel"/>
    <w:tmpl w:val="F7E2305E"/>
    <w:lvl w:ilvl="0">
      <w:start w:val="1"/>
      <w:numFmt w:val="decimal"/>
      <w:lvlText w:val="%1."/>
      <w:lvlJc w:val="left"/>
      <w:pPr>
        <w:ind w:left="113" w:firstLine="57"/>
      </w:pPr>
      <w:rPr>
        <w:rFonts w:ascii="Poppins" w:hAnsi="Poppins" w:hint="default"/>
        <w:b/>
        <w:i w:val="0"/>
        <w:sz w:val="28"/>
      </w:rPr>
    </w:lvl>
    <w:lvl w:ilvl="1">
      <w:start w:val="1"/>
      <w:numFmt w:val="bullet"/>
      <w:lvlText w:val=""/>
      <w:lvlJc w:val="left"/>
      <w:pPr>
        <w:ind w:left="720" w:hanging="360"/>
      </w:pPr>
      <w:rPr>
        <w:rFonts w:ascii="Symbol" w:hAnsi="Symbol" w:hint="default"/>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8E8194E"/>
    <w:multiLevelType w:val="hybridMultilevel"/>
    <w:tmpl w:val="DCDEC2A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2">
    <w:nsid w:val="2E9245DF"/>
    <w:multiLevelType w:val="multilevel"/>
    <w:tmpl w:val="E3503126"/>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2412F7A"/>
    <w:multiLevelType w:val="hybridMultilevel"/>
    <w:tmpl w:val="51CEAF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2954655"/>
    <w:multiLevelType w:val="multilevel"/>
    <w:tmpl w:val="2544094A"/>
    <w:lvl w:ilvl="0">
      <w:start w:val="1"/>
      <w:numFmt w:val="decimal"/>
      <w:lvlText w:val="%1."/>
      <w:lvlJc w:val="left"/>
      <w:pPr>
        <w:tabs>
          <w:tab w:val="num" w:pos="709"/>
        </w:tabs>
        <w:ind w:left="709" w:hanging="454"/>
      </w:pPr>
      <w:rPr>
        <w:rFonts w:ascii="Poppins" w:hAnsi="Poppins" w:hint="default"/>
        <w:b/>
        <w:i w:val="0"/>
        <w:sz w:val="28"/>
      </w:rPr>
    </w:lvl>
    <w:lvl w:ilvl="1">
      <w:start w:val="1"/>
      <w:numFmt w:val="decimal"/>
      <w:lvlText w:val="%1.%2."/>
      <w:lvlJc w:val="left"/>
      <w:pPr>
        <w:tabs>
          <w:tab w:val="num" w:pos="709"/>
        </w:tabs>
        <w:ind w:left="709" w:hanging="454"/>
      </w:pPr>
      <w:rPr>
        <w:rFonts w:ascii="Poppins" w:hAnsi="Poppins" w:hint="default"/>
        <w:b w:val="0"/>
        <w:i w:val="0"/>
        <w:sz w:val="22"/>
        <w:u w:val="none"/>
      </w:rPr>
    </w:lvl>
    <w:lvl w:ilvl="2">
      <w:start w:val="1"/>
      <w:numFmt w:val="decimal"/>
      <w:lvlText w:val="%1.%2.%3"/>
      <w:lvlJc w:val="left"/>
      <w:pPr>
        <w:ind w:left="936" w:firstLine="283"/>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15">
    <w:nsid w:val="35C627F4"/>
    <w:multiLevelType w:val="hybridMultilevel"/>
    <w:tmpl w:val="8970021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B090058"/>
    <w:multiLevelType w:val="hybridMultilevel"/>
    <w:tmpl w:val="D6947414"/>
    <w:lvl w:ilvl="0">
      <w:start w:val="7"/>
      <w:numFmt w:val="bullet"/>
      <w:lvlText w:val="-"/>
      <w:lvlJc w:val="left"/>
      <w:pPr>
        <w:ind w:left="502" w:hanging="360"/>
      </w:pPr>
      <w:rPr>
        <w:rFonts w:ascii="Poppins" w:eastAsia="Times New Roman" w:hAnsi="Poppins" w:cs="Poppins" w:hint="default"/>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17">
    <w:nsid w:val="3E2C672E"/>
    <w:multiLevelType w:val="hybridMultilevel"/>
    <w:tmpl w:val="F460C2B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11C0217"/>
    <w:multiLevelType w:val="multilevel"/>
    <w:tmpl w:val="0AC222BA"/>
    <w:lvl w:ilvl="0">
      <w:start w:val="1"/>
      <w:numFmt w:val="decimal"/>
      <w:lvlText w:val="%1."/>
      <w:lvlJc w:val="left"/>
      <w:pPr>
        <w:ind w:left="113" w:firstLine="57"/>
      </w:pPr>
      <w:rPr>
        <w:rFonts w:ascii="Poppins" w:hAnsi="Poppins" w:hint="default"/>
        <w:b/>
        <w:i w:val="0"/>
        <w:sz w:val="28"/>
      </w:rPr>
    </w:lvl>
    <w:lvl w:ilvl="1">
      <w:start w:val="1"/>
      <w:numFmt w:val="decimal"/>
      <w:pStyle w:val="FAUKStyle2"/>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2003B20"/>
    <w:multiLevelType w:val="hybridMultilevel"/>
    <w:tmpl w:val="6F988A0A"/>
    <w:lvl w:ilvl="0">
      <w:start w:val="1"/>
      <w:numFmt w:val="low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0">
    <w:nsid w:val="47A24DC0"/>
    <w:multiLevelType w:val="hybridMultilevel"/>
    <w:tmpl w:val="E2B87094"/>
    <w:lvl w:ilvl="0">
      <w:start w:val="1"/>
      <w:numFmt w:val="lowerLetter"/>
      <w:lvlText w:val="%1."/>
      <w:lvlJc w:val="left"/>
      <w:pPr>
        <w:ind w:left="1152" w:hanging="360"/>
      </w:pPr>
      <w:rPr>
        <w:rFonts w:hint="default"/>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1">
    <w:nsid w:val="57522756"/>
    <w:multiLevelType w:val="multilevel"/>
    <w:tmpl w:val="E3503126"/>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B4A00D4"/>
    <w:multiLevelType w:val="hybridMultilevel"/>
    <w:tmpl w:val="E2B87094"/>
    <w:lvl w:ilvl="0">
      <w:start w:val="1"/>
      <w:numFmt w:val="lowerLetter"/>
      <w:lvlText w:val="%1."/>
      <w:lvlJc w:val="left"/>
      <w:pPr>
        <w:ind w:left="1152" w:hanging="360"/>
      </w:pPr>
      <w:rPr>
        <w:rFonts w:hint="default"/>
      </w:r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3">
    <w:nsid w:val="5BE70293"/>
    <w:multiLevelType w:val="multilevel"/>
    <w:tmpl w:val="6A803004"/>
    <w:lvl w:ilvl="0">
      <w:start w:val="1"/>
      <w:numFmt w:val="decimal"/>
      <w:lvlText w:val="%1."/>
      <w:lvlJc w:val="left"/>
      <w:pPr>
        <w:tabs>
          <w:tab w:val="num" w:pos="709"/>
        </w:tabs>
        <w:ind w:left="709" w:hanging="454"/>
      </w:pPr>
      <w:rPr>
        <w:rFonts w:ascii="Poppins" w:hAnsi="Poppins" w:hint="default"/>
        <w:b/>
        <w:i w:val="0"/>
        <w:sz w:val="28"/>
      </w:rPr>
    </w:lvl>
    <w:lvl w:ilvl="1">
      <w:start w:val="1"/>
      <w:numFmt w:val="decimal"/>
      <w:lvlText w:val="%1.%2."/>
      <w:lvlJc w:val="left"/>
      <w:pPr>
        <w:tabs>
          <w:tab w:val="num" w:pos="709"/>
        </w:tabs>
        <w:ind w:left="709" w:hanging="454"/>
      </w:pPr>
      <w:rPr>
        <w:rFonts w:ascii="Poppins" w:hAnsi="Poppins" w:hint="default"/>
        <w:b w:val="0"/>
        <w:i w:val="0"/>
        <w:sz w:val="22"/>
        <w:u w:val="none"/>
      </w:rPr>
    </w:lvl>
    <w:lvl w:ilvl="2">
      <w:start w:val="1"/>
      <w:numFmt w:val="decimal"/>
      <w:lvlText w:val="%1.%2.%3"/>
      <w:lvlJc w:val="left"/>
      <w:pPr>
        <w:tabs>
          <w:tab w:val="num" w:pos="1559"/>
        </w:tabs>
        <w:ind w:left="1559" w:hanging="482"/>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24">
    <w:nsid w:val="5D5F61C9"/>
    <w:multiLevelType w:val="hybridMultilevel"/>
    <w:tmpl w:val="C82CB4E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BD47F77"/>
    <w:multiLevelType w:val="multilevel"/>
    <w:tmpl w:val="B51A133C"/>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DC15E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F420176"/>
    <w:multiLevelType w:val="multilevel"/>
    <w:tmpl w:val="E3503126"/>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22E2AA6"/>
    <w:multiLevelType w:val="multilevel"/>
    <w:tmpl w:val="E3503126"/>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2515C85"/>
    <w:multiLevelType w:val="hybridMultilevel"/>
    <w:tmpl w:val="E2B87094"/>
    <w:lvl w:ilvl="0">
      <w:start w:val="1"/>
      <w:numFmt w:val="lowerLetter"/>
      <w:lvlText w:val="%1."/>
      <w:lvlJc w:val="left"/>
      <w:pPr>
        <w:ind w:left="1152" w:hanging="360"/>
      </w:pPr>
      <w:rPr>
        <w:rFonts w:hint="default"/>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0">
    <w:nsid w:val="72945E4E"/>
    <w:multiLevelType w:val="multilevel"/>
    <w:tmpl w:val="D47C4916"/>
    <w:lvl w:ilvl="0">
      <w:start w:val="1"/>
      <w:numFmt w:val="decimal"/>
      <w:lvlText w:val="%1."/>
      <w:lvlJc w:val="left"/>
      <w:pPr>
        <w:ind w:left="198" w:firstLine="57"/>
      </w:pPr>
      <w:rPr>
        <w:rFonts w:ascii="Poppins" w:hAnsi="Poppins" w:hint="default"/>
        <w:b/>
        <w:i w:val="0"/>
        <w:sz w:val="28"/>
      </w:rPr>
    </w:lvl>
    <w:lvl w:ilvl="1">
      <w:start w:val="1"/>
      <w:numFmt w:val="decimal"/>
      <w:lvlText w:val="%1.%2."/>
      <w:lvlJc w:val="left"/>
      <w:pPr>
        <w:ind w:left="652" w:hanging="207"/>
      </w:pPr>
      <w:rPr>
        <w:rFonts w:ascii="Poppins" w:hAnsi="Poppins" w:hint="default"/>
        <w:b w:val="0"/>
        <w:i w:val="0"/>
        <w:sz w:val="22"/>
        <w:u w:val="none"/>
      </w:rPr>
    </w:lvl>
    <w:lvl w:ilvl="2">
      <w:start w:val="1"/>
      <w:numFmt w:val="decimal"/>
      <w:lvlText w:val="%1.%2.%3"/>
      <w:lvlJc w:val="left"/>
      <w:pPr>
        <w:ind w:left="936" w:firstLine="283"/>
      </w:pPr>
      <w:rPr>
        <w:rFonts w:ascii="Poppins" w:hAnsi="Poppins" w:hint="default"/>
        <w:b w:val="0"/>
        <w:i/>
      </w:rPr>
    </w:lvl>
    <w:lvl w:ilvl="3">
      <w:start w:val="1"/>
      <w:numFmt w:val="none"/>
      <w:lvlJc w:val="left"/>
      <w:pPr>
        <w:ind w:left="936" w:hanging="284"/>
      </w:pPr>
      <w:rPr>
        <w:rFonts w:ascii="Poppins" w:hAnsi="Poppins" w:hint="default"/>
        <w:b w:val="0"/>
        <w:i w:val="0"/>
        <w:sz w:val="22"/>
      </w:rPr>
    </w:lvl>
    <w:lvl w:ilvl="4">
      <w:start w:val="1"/>
      <w:numFmt w:val="decimal"/>
      <w:lvlText w:val="%1.%2.%3.%4.%5."/>
      <w:lvlJc w:val="left"/>
      <w:pPr>
        <w:ind w:left="2317" w:hanging="792"/>
      </w:pPr>
      <w:rPr>
        <w:rFonts w:hint="default"/>
      </w:rPr>
    </w:lvl>
    <w:lvl w:ilvl="5">
      <w:start w:val="1"/>
      <w:numFmt w:val="decimal"/>
      <w:lvlText w:val="%1.%2.%3.%4.%5.%6."/>
      <w:lvlJc w:val="left"/>
      <w:pPr>
        <w:ind w:left="2821" w:hanging="936"/>
      </w:pPr>
      <w:rPr>
        <w:rFonts w:hint="default"/>
      </w:rPr>
    </w:lvl>
    <w:lvl w:ilvl="6">
      <w:start w:val="1"/>
      <w:numFmt w:val="decimal"/>
      <w:lvlText w:val="%1.%2.%3.%4.%5.%6.%7."/>
      <w:lvlJc w:val="left"/>
      <w:pPr>
        <w:ind w:left="3325" w:hanging="1080"/>
      </w:pPr>
      <w:rPr>
        <w:rFonts w:hint="default"/>
      </w:rPr>
    </w:lvl>
    <w:lvl w:ilvl="7">
      <w:start w:val="1"/>
      <w:numFmt w:val="decimal"/>
      <w:lvlText w:val="%1.%2.%3.%4.%5.%6.%7.%8."/>
      <w:lvlJc w:val="left"/>
      <w:pPr>
        <w:ind w:left="3829" w:hanging="1224"/>
      </w:pPr>
      <w:rPr>
        <w:rFonts w:hint="default"/>
      </w:rPr>
    </w:lvl>
    <w:lvl w:ilvl="8">
      <w:start w:val="1"/>
      <w:numFmt w:val="decimal"/>
      <w:lvlText w:val="%1.%2.%3.%4.%5.%6.%7.%8.%9."/>
      <w:lvlJc w:val="left"/>
      <w:pPr>
        <w:ind w:left="4405" w:hanging="1440"/>
      </w:pPr>
      <w:rPr>
        <w:rFonts w:hint="default"/>
      </w:rPr>
    </w:lvl>
  </w:abstractNum>
  <w:abstractNum w:abstractNumId="31">
    <w:nsid w:val="77B703A4"/>
    <w:multiLevelType w:val="multilevel"/>
    <w:tmpl w:val="C8B2D8EA"/>
    <w:lvl w:ilvl="0">
      <w:start w:val="1"/>
      <w:numFmt w:val="decimal"/>
      <w:lvlText w:val="%1."/>
      <w:lvlJc w:val="left"/>
      <w:pPr>
        <w:ind w:left="360" w:hanging="360"/>
      </w:pPr>
      <w:rPr>
        <w:rFonts w:ascii="Helvetica Neue" w:hAnsi="Helvetica Neue" w:hint="default"/>
      </w:rPr>
    </w:lvl>
    <w:lvl w:ilvl="1">
      <w:start w:val="1"/>
      <w:numFmt w:val="decimal"/>
      <w:lvlText w:val="%1.%2."/>
      <w:lvlJc w:val="left"/>
      <w:pPr>
        <w:ind w:left="720" w:hanging="72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7ADE5DBE"/>
    <w:multiLevelType w:val="multilevel"/>
    <w:tmpl w:val="E3503126"/>
    <w:lvl w:ilvl="0">
      <w:start w:val="1"/>
      <w:numFmt w:val="decimal"/>
      <w:lvlText w:val="%1."/>
      <w:lvlJc w:val="left"/>
      <w:pPr>
        <w:ind w:left="113" w:firstLine="57"/>
      </w:pPr>
      <w:rPr>
        <w:rFonts w:ascii="Poppins" w:hAnsi="Poppins" w:hint="default"/>
        <w:b/>
        <w:i w:val="0"/>
        <w:sz w:val="28"/>
      </w:rPr>
    </w:lvl>
    <w:lvl w:ilvl="1">
      <w:start w:val="1"/>
      <w:numFmt w:val="decimal"/>
      <w:lvlText w:val="%1.%2."/>
      <w:lvlJc w:val="left"/>
      <w:pPr>
        <w:ind w:left="567" w:hanging="207"/>
      </w:pPr>
      <w:rPr>
        <w:rFonts w:ascii="Poppins" w:hAnsi="Poppins" w:hint="default"/>
        <w:b w:val="0"/>
        <w:i w:val="0"/>
        <w:sz w:val="22"/>
        <w:u w:val="none"/>
      </w:rPr>
    </w:lvl>
    <w:lvl w:ilvl="2">
      <w:start w:val="1"/>
      <w:numFmt w:val="lowerLetter"/>
      <w:lvlText w:val="%3."/>
      <w:lvlJc w:val="left"/>
      <w:pPr>
        <w:ind w:left="851" w:firstLine="283"/>
      </w:pPr>
      <w:rPr>
        <w:rFonts w:ascii="Poppins" w:hAnsi="Poppins" w:hint="default"/>
        <w:b w:val="0"/>
        <w:i/>
      </w:rPr>
    </w:lvl>
    <w:lvl w:ilvl="3">
      <w:start w:val="1"/>
      <w:numFmt w:val="none"/>
      <w:lvlJc w:val="left"/>
      <w:pPr>
        <w:ind w:left="851" w:hanging="284"/>
      </w:pPr>
      <w:rPr>
        <w:rFonts w:ascii="Poppins" w:hAnsi="Poppin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9"/>
  </w:num>
  <w:num w:numId="3">
    <w:abstractNumId w:val="2"/>
  </w:num>
  <w:num w:numId="4">
    <w:abstractNumId w:val="4"/>
  </w:num>
  <w:num w:numId="5">
    <w:abstractNumId w:val="5"/>
  </w:num>
  <w:num w:numId="6">
    <w:abstractNumId w:val="24"/>
  </w:num>
  <w:num w:numId="7">
    <w:abstractNumId w:val="17"/>
  </w:num>
  <w:num w:numId="8">
    <w:abstractNumId w:val="15"/>
  </w:num>
  <w:num w:numId="9">
    <w:abstractNumId w:val="32"/>
  </w:num>
  <w:num w:numId="10">
    <w:abstractNumId w:val="27"/>
  </w:num>
  <w:num w:numId="11">
    <w:abstractNumId w:val="18"/>
  </w:num>
  <w:num w:numId="12">
    <w:abstractNumId w:val="26"/>
  </w:num>
  <w:num w:numId="13">
    <w:abstractNumId w:val="20"/>
  </w:num>
  <w:num w:numId="14">
    <w:abstractNumId w:val="29"/>
  </w:num>
  <w:num w:numId="15">
    <w:abstractNumId w:val="22"/>
  </w:num>
  <w:num w:numId="16">
    <w:abstractNumId w:val="12"/>
  </w:num>
  <w:num w:numId="17">
    <w:abstractNumId w:val="25"/>
  </w:num>
  <w:num w:numId="18">
    <w:abstractNumId w:val="3"/>
  </w:num>
  <w:num w:numId="19">
    <w:abstractNumId w:val="10"/>
  </w:num>
  <w:num w:numId="20">
    <w:abstractNumId w:val="28"/>
  </w:num>
  <w:num w:numId="21">
    <w:abstractNumId w:val="21"/>
  </w:num>
  <w:num w:numId="22">
    <w:abstractNumId w:val="1"/>
  </w:num>
  <w:num w:numId="23">
    <w:abstractNumId w:val="30"/>
  </w:num>
  <w:num w:numId="24">
    <w:abstractNumId w:val="0"/>
  </w:num>
  <w:num w:numId="25">
    <w:abstractNumId w:val="14"/>
  </w:num>
  <w:num w:numId="26">
    <w:abstractNumId w:val="3"/>
  </w:num>
  <w:num w:numId="27">
    <w:abstractNumId w:val="23"/>
  </w:num>
  <w:num w:numId="28">
    <w:abstractNumId w:val="8"/>
  </w:num>
  <w:num w:numId="29">
    <w:abstractNumId w:val="7"/>
  </w:num>
  <w:num w:numId="30">
    <w:abstractNumId w:val="13"/>
  </w:num>
  <w:num w:numId="31">
    <w:abstractNumId w:val="3"/>
  </w:num>
  <w:num w:numId="32">
    <w:abstractNumId w:val="19"/>
  </w:num>
  <w:num w:numId="33">
    <w:abstractNumId w:val="3"/>
  </w:num>
  <w:num w:numId="34">
    <w:abstractNumId w:val="6"/>
  </w:num>
  <w:num w:numId="35">
    <w:abstractNumId w:val="16"/>
  </w:num>
  <w:num w:numId="36">
    <w:abstractNumId w:val="11"/>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ind w:left="709" w:hanging="567"/>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FIUK heading no underline"/>
    <w:rsid w:val="005B0160"/>
    <w:pPr>
      <w:ind w:firstLine="0"/>
    </w:pPr>
    <w:rPr>
      <w:rFonts w:ascii="Poppins" w:eastAsia="Times New Roman" w:hAnsi="Poppins" w:cs="Times New Roman"/>
      <w:color w:val="000000" w:themeColor="text1"/>
      <w:sz w:val="21"/>
      <w:szCs w:val="20"/>
      <w:lang w:eastAsia="en-GB"/>
    </w:rPr>
  </w:style>
  <w:style w:type="paragraph" w:styleId="Heading1">
    <w:name w:val="heading 1"/>
    <w:basedOn w:val="Normal"/>
    <w:next w:val="Normal"/>
    <w:link w:val="Heading1Char"/>
    <w:uiPriority w:val="9"/>
    <w:qFormat/>
    <w:rsid w:val="00E27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79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2790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27901"/>
    <w:pPr>
      <w:contextualSpacing/>
    </w:pPr>
  </w:style>
  <w:style w:type="paragraph" w:styleId="Footer">
    <w:name w:val="footer"/>
    <w:basedOn w:val="Normal"/>
    <w:link w:val="FooterChar"/>
    <w:uiPriority w:val="99"/>
    <w:unhideWhenUsed/>
    <w:rsid w:val="00E27901"/>
    <w:pPr>
      <w:tabs>
        <w:tab w:val="center" w:pos="4513"/>
        <w:tab w:val="right" w:pos="9026"/>
      </w:tabs>
    </w:pPr>
  </w:style>
  <w:style w:type="character" w:customStyle="1" w:styleId="FooterChar">
    <w:name w:val="Footer Char"/>
    <w:basedOn w:val="DefaultParagraphFont"/>
    <w:link w:val="Footer"/>
    <w:uiPriority w:val="99"/>
    <w:rsid w:val="00E27901"/>
  </w:style>
  <w:style w:type="character" w:styleId="PageNumber">
    <w:name w:val="page number"/>
    <w:basedOn w:val="DefaultParagraphFont"/>
    <w:uiPriority w:val="99"/>
    <w:semiHidden/>
    <w:unhideWhenUsed/>
    <w:rsid w:val="00E27901"/>
  </w:style>
  <w:style w:type="paragraph" w:styleId="Header">
    <w:name w:val="header"/>
    <w:basedOn w:val="Normal"/>
    <w:link w:val="HeaderChar"/>
    <w:uiPriority w:val="99"/>
    <w:unhideWhenUsed/>
    <w:rsid w:val="00E27901"/>
    <w:pPr>
      <w:tabs>
        <w:tab w:val="center" w:pos="4513"/>
        <w:tab w:val="right" w:pos="9026"/>
      </w:tabs>
    </w:pPr>
  </w:style>
  <w:style w:type="character" w:customStyle="1" w:styleId="HeaderChar">
    <w:name w:val="Header Char"/>
    <w:basedOn w:val="DefaultParagraphFont"/>
    <w:link w:val="Header"/>
    <w:uiPriority w:val="99"/>
    <w:rsid w:val="00E27901"/>
  </w:style>
  <w:style w:type="paragraph" w:styleId="BalloonText">
    <w:name w:val="Balloon Text"/>
    <w:basedOn w:val="Normal"/>
    <w:link w:val="BalloonTextChar"/>
    <w:uiPriority w:val="99"/>
    <w:semiHidden/>
    <w:unhideWhenUsed/>
    <w:rsid w:val="0069537E"/>
    <w:rPr>
      <w:sz w:val="18"/>
      <w:szCs w:val="18"/>
    </w:rPr>
  </w:style>
  <w:style w:type="character" w:customStyle="1" w:styleId="BalloonTextChar">
    <w:name w:val="Balloon Text Char"/>
    <w:basedOn w:val="DefaultParagraphFont"/>
    <w:link w:val="BalloonText"/>
    <w:uiPriority w:val="99"/>
    <w:semiHidden/>
    <w:rsid w:val="0069537E"/>
    <w:rPr>
      <w:rFonts w:ascii="Times New Roman" w:hAnsi="Times New Roman" w:cs="Times New Roman"/>
      <w:sz w:val="18"/>
      <w:szCs w:val="18"/>
    </w:rPr>
  </w:style>
  <w:style w:type="paragraph" w:customStyle="1" w:styleId="FIUKTitleHeading">
    <w:name w:val="FIUK Title Heading"/>
    <w:basedOn w:val="Normal"/>
    <w:next w:val="FIUKgeneraltext"/>
    <w:qFormat/>
    <w:rsid w:val="005B0160"/>
    <w:pPr>
      <w:numPr>
        <w:numId w:val="18"/>
      </w:numPr>
    </w:pPr>
    <w:rPr>
      <w:b/>
      <w:sz w:val="28"/>
    </w:rPr>
  </w:style>
  <w:style w:type="paragraph" w:customStyle="1" w:styleId="FIUKHeading">
    <w:name w:val="FIUK Heading"/>
    <w:basedOn w:val="Normal"/>
    <w:next w:val="FIUKgeneraltext"/>
    <w:qFormat/>
    <w:rsid w:val="00491E14"/>
    <w:pPr>
      <w:numPr>
        <w:ilvl w:val="1"/>
        <w:numId w:val="18"/>
      </w:numPr>
    </w:pPr>
    <w:rPr>
      <w:u w:val="single"/>
    </w:rPr>
  </w:style>
  <w:style w:type="paragraph" w:customStyle="1" w:styleId="Style1">
    <w:name w:val="Style1"/>
    <w:basedOn w:val="Normal"/>
    <w:next w:val="Normal"/>
    <w:qFormat/>
    <w:rsid w:val="00480C47"/>
    <w:pPr>
      <w:ind w:left="1440"/>
    </w:pPr>
    <w:rPr>
      <w:i/>
    </w:rPr>
  </w:style>
  <w:style w:type="paragraph" w:customStyle="1" w:styleId="FIUKSubbulletfirstline">
    <w:name w:val="FIUK Sub bullet first line"/>
    <w:basedOn w:val="Normal"/>
    <w:next w:val="FIUKSubbullettext"/>
    <w:qFormat/>
    <w:rsid w:val="005B0160"/>
    <w:pPr>
      <w:numPr>
        <w:ilvl w:val="2"/>
        <w:numId w:val="18"/>
      </w:numPr>
      <w:ind w:left="1560" w:hanging="483"/>
      <w:contextualSpacing/>
    </w:pPr>
    <w:rPr>
      <w:i/>
    </w:rPr>
  </w:style>
  <w:style w:type="paragraph" w:customStyle="1" w:styleId="FIUKgeneraltext">
    <w:name w:val="FIUK general text"/>
    <w:basedOn w:val="Normal"/>
    <w:qFormat/>
    <w:rsid w:val="005B0160"/>
  </w:style>
  <w:style w:type="paragraph" w:customStyle="1" w:styleId="FIUKSubbullettext">
    <w:name w:val="FIUK Sub bullet text"/>
    <w:basedOn w:val="FIUKHeading"/>
    <w:next w:val="NoSpacing"/>
    <w:rsid w:val="00092358"/>
    <w:pPr>
      <w:numPr>
        <w:ilvl w:val="0"/>
        <w:numId w:val="0"/>
      </w:numPr>
      <w:ind w:left="1418"/>
    </w:pPr>
    <w:rPr>
      <w:u w:val="none"/>
    </w:rPr>
  </w:style>
  <w:style w:type="paragraph" w:customStyle="1" w:styleId="FAUKStyle1">
    <w:name w:val="FAUKStyle1"/>
    <w:basedOn w:val="Normal"/>
    <w:next w:val="Normal"/>
    <w:autoRedefine/>
    <w:rsid w:val="00045226"/>
    <w:pPr>
      <w:spacing w:before="240"/>
      <w:ind w:left="113" w:firstLine="57"/>
    </w:pPr>
    <w:rPr>
      <w:b/>
      <w:sz w:val="28"/>
    </w:rPr>
  </w:style>
  <w:style w:type="paragraph" w:styleId="NoSpacing">
    <w:name w:val="No Spacing"/>
    <w:uiPriority w:val="1"/>
    <w:qFormat/>
    <w:rsid w:val="00AF6AE6"/>
    <w:pPr>
      <w:overflowPunct w:val="0"/>
      <w:autoSpaceDE w:val="0"/>
      <w:autoSpaceDN w:val="0"/>
      <w:adjustRightInd w:val="0"/>
      <w:ind w:left="720"/>
      <w:textAlignment w:val="baseline"/>
    </w:pPr>
    <w:rPr>
      <w:rFonts w:ascii="Poppins" w:eastAsia="Times New Roman" w:hAnsi="Poppins" w:cs="Times New Roman"/>
      <w:color w:val="000000" w:themeColor="text1"/>
      <w:sz w:val="22"/>
      <w:szCs w:val="20"/>
      <w:lang w:eastAsia="en-GB"/>
    </w:rPr>
  </w:style>
  <w:style w:type="paragraph" w:customStyle="1" w:styleId="FAUKStyle2">
    <w:name w:val="FAUKStyle2"/>
    <w:basedOn w:val="Normal"/>
    <w:next w:val="Normal"/>
    <w:autoRedefine/>
    <w:rsid w:val="00F963FE"/>
    <w:pPr>
      <w:numPr>
        <w:ilvl w:val="1"/>
        <w:numId w:val="11"/>
      </w:numPr>
      <w:spacing w:before="240"/>
      <w:ind w:left="426" w:hanging="284"/>
    </w:pPr>
    <w:rPr>
      <w:u w:val="single"/>
    </w:rPr>
  </w:style>
  <w:style w:type="paragraph" w:customStyle="1" w:styleId="FAUKStyle3">
    <w:name w:val="FAUKStyle3"/>
    <w:basedOn w:val="Normal"/>
    <w:next w:val="Normal"/>
    <w:autoRedefine/>
    <w:rsid w:val="00045226"/>
    <w:pPr>
      <w:spacing w:line="360" w:lineRule="auto"/>
      <w:ind w:firstLine="283"/>
    </w:pPr>
    <w:rPr>
      <w:i/>
    </w:rPr>
  </w:style>
  <w:style w:type="numbering" w:customStyle="1" w:styleId="CurrentList1">
    <w:name w:val="Current List1"/>
    <w:uiPriority w:val="99"/>
    <w:rsid w:val="000031B2"/>
    <w:pPr>
      <w:numPr>
        <w:numId w:val="22"/>
      </w:numPr>
    </w:pPr>
  </w:style>
  <w:style w:type="numbering" w:customStyle="1" w:styleId="CurrentList2">
    <w:name w:val="Current List2"/>
    <w:uiPriority w:val="99"/>
    <w:rsid w:val="000031B2"/>
    <w:pPr>
      <w:numPr>
        <w:numId w:val="24"/>
      </w:numPr>
    </w:pPr>
  </w:style>
  <w:style w:type="paragraph" w:customStyle="1" w:styleId="FIUKheadingnotunderlined">
    <w:name w:val="FIUK heading not underlined"/>
    <w:basedOn w:val="FIUKHeading"/>
    <w:qFormat/>
    <w:rsid w:val="000B0864"/>
    <w:rPr>
      <w:u w:val="none"/>
    </w:rPr>
  </w:style>
  <w:style w:type="paragraph" w:styleId="CommentText">
    <w:name w:val="annotation text"/>
    <w:basedOn w:val="Normal"/>
    <w:link w:val="CommentTextChar"/>
    <w:uiPriority w:val="99"/>
    <w:semiHidden/>
    <w:unhideWhenUsed/>
    <w:rsid w:val="00C237F4"/>
    <w:rPr>
      <w:sz w:val="20"/>
    </w:rPr>
  </w:style>
  <w:style w:type="character" w:customStyle="1" w:styleId="CommentTextChar">
    <w:name w:val="Comment Text Char"/>
    <w:basedOn w:val="DefaultParagraphFont"/>
    <w:link w:val="CommentText"/>
    <w:uiPriority w:val="99"/>
    <w:semiHidden/>
    <w:rsid w:val="00C237F4"/>
    <w:rPr>
      <w:rFonts w:ascii="Poppins" w:eastAsia="Times New Roman" w:hAnsi="Poppins" w:cs="Times New Roman"/>
      <w:color w:val="000000" w:themeColor="text1"/>
      <w:sz w:val="20"/>
      <w:szCs w:val="20"/>
      <w:lang w:eastAsia="en-GB"/>
    </w:rPr>
  </w:style>
  <w:style w:type="character" w:styleId="CommentReference">
    <w:name w:val="annotation reference"/>
    <w:basedOn w:val="DefaultParagraphFont"/>
    <w:uiPriority w:val="99"/>
    <w:semiHidden/>
    <w:unhideWhenUsed/>
    <w:rsid w:val="00C237F4"/>
    <w:rPr>
      <w:sz w:val="16"/>
      <w:szCs w:val="16"/>
    </w:rPr>
  </w:style>
  <w:style w:type="paragraph" w:styleId="Revision">
    <w:name w:val="Revision"/>
    <w:hidden/>
    <w:uiPriority w:val="99"/>
    <w:semiHidden/>
    <w:rsid w:val="00EF11AC"/>
    <w:pPr>
      <w:ind w:left="0" w:firstLine="0"/>
    </w:pPr>
    <w:rPr>
      <w:rFonts w:ascii="Poppins" w:eastAsia="Times New Roman" w:hAnsi="Poppins" w:cs="Times New Roman"/>
      <w:color w:val="000000" w:themeColor="text1"/>
      <w:sz w:val="21"/>
      <w:szCs w:val="20"/>
      <w:lang w:eastAsia="en-GB"/>
    </w:rPr>
  </w:style>
  <w:style w:type="paragraph" w:styleId="CommentSubject">
    <w:name w:val="annotation subject"/>
    <w:basedOn w:val="CommentText"/>
    <w:next w:val="CommentText"/>
    <w:link w:val="CommentSubjectChar"/>
    <w:uiPriority w:val="99"/>
    <w:semiHidden/>
    <w:unhideWhenUsed/>
    <w:rsid w:val="00EF11AC"/>
    <w:rPr>
      <w:b/>
      <w:bCs/>
    </w:rPr>
  </w:style>
  <w:style w:type="character" w:customStyle="1" w:styleId="CommentSubjectChar">
    <w:name w:val="Comment Subject Char"/>
    <w:basedOn w:val="CommentTextChar"/>
    <w:link w:val="CommentSubject"/>
    <w:uiPriority w:val="99"/>
    <w:semiHidden/>
    <w:rsid w:val="00EF11AC"/>
    <w:rPr>
      <w:rFonts w:ascii="Poppins" w:eastAsia="Times New Roman" w:hAnsi="Poppins" w:cs="Times New Roman"/>
      <w:b/>
      <w:bCs/>
      <w:color w:val="000000" w:themeColor="text1"/>
      <w:sz w:val="20"/>
      <w:szCs w:val="20"/>
      <w:lang w:eastAsia="en-GB"/>
    </w:rPr>
  </w:style>
  <w:style w:type="character" w:customStyle="1" w:styleId="Mention">
    <w:name w:val="Mention"/>
    <w:basedOn w:val="DefaultParagraphFont"/>
    <w:uiPriority w:val="99"/>
    <w:unhideWhenUsed/>
    <w:rsid w:val="00E736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emf"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2E312550B3144247B326AD92924C0F82" ma:contentTypeVersion="162" ma:contentTypeDescription="Create a new document." ma:contentTypeScope="" ma:versionID="04296cff2b31d490a553fd0614691289">
  <xsd:schema xmlns:xsd="http://www.w3.org/2001/XMLSchema" xmlns:xs="http://www.w3.org/2001/XMLSchema" xmlns:p="http://schemas.microsoft.com/office/2006/metadata/properties" xmlns:ns2="5ce1c4f0-0394-4cca-b829-34bff9279afc" xmlns:ns3="4600776d-0a3c-44b4-bff2-0ceaafb13046" xmlns:ns4="f539f2df-4f05-45ee-94ae-115352d6540f" targetNamespace="http://schemas.microsoft.com/office/2006/metadata/properties" ma:root="true" ma:fieldsID="f65f2dd708be4349deb3eca716b5607b" ns2:_="" ns3:_="" ns4:_="">
    <xsd:import namespace="5ce1c4f0-0394-4cca-b829-34bff9279afc"/>
    <xsd:import namespace="4600776d-0a3c-44b4-bff2-0ceaafb13046"/>
    <xsd:import namespace="f539f2df-4f05-45ee-94ae-115352d6540f"/>
    <xsd:element name="properties">
      <xsd:complexType>
        <xsd:sequence>
          <xsd:element name="documentManagement">
            <xsd:complexType>
              <xsd:all>
                <xsd:element ref="ns2:Additional_x0020_category" minOccurs="0"/>
                <xsd:element ref="ns2:Meeting_x0020_Date" minOccurs="0"/>
                <xsd:element ref="ns3:TransfertoArchives" minOccurs="0"/>
                <xsd:element ref="ns2:Document_x0020_Status" minOccurs="0"/>
                <xsd:element ref="ns3:TaxCatchAll" minOccurs="0"/>
                <xsd:element ref="ns4:_dlc_DocId" minOccurs="0"/>
                <xsd:element ref="ns4:_dlc_DocIdUrl" minOccurs="0"/>
                <xsd:element ref="ns4:_dlc_DocIdPersistId" minOccurs="0"/>
                <xsd:element ref="ns3:c4838c65c76546ae93d5703426802f7f" minOccurs="0"/>
                <xsd:element ref="ns3:j6c5b17cd04246da82e5604daf08bc68" minOccurs="0"/>
                <xsd:element ref="ns3:cd0fc526a5c840319a97fd94028e9904" minOccurs="0"/>
                <xsd:element ref="ns3:k5b153ee974a4a57a7568e533217f2cb" minOccurs="0"/>
                <xsd:element ref="ns3:g3ef09377e3444258679b6035a1ff93a" minOccurs="0"/>
                <xsd:element ref="ns2:p08cee96ced840fcb4556ba8962c53fb" minOccurs="0"/>
                <xsd:element ref="ns2:n634878934ab4ea4b24a27c205468c50" minOccurs="0"/>
                <xsd:element ref="ns2:a765d009da804bce912190bc95d6c9e6" minOccurs="0"/>
                <xsd:element ref="ns2:mc51d1a24a234f1087cd7964a2103120" minOccurs="0"/>
                <xsd:element ref="ns3:RecordNumber" minOccurs="0"/>
                <xsd:element ref="ns2:MediaServiceMetadata" minOccurs="0"/>
                <xsd:element ref="ns2:MediaServiceFastMetadata" minOccurs="0"/>
                <xsd:element ref="ns4:SharedWithUsers" minOccurs="0"/>
                <xsd:element ref="ns4:SharedWithDetails"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Location" minOccurs="0"/>
                <xsd:element ref="ns4: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1c4f0-0394-4cca-b829-34bff9279af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ma:readOnly="false">
      <xsd:simpleType>
        <xsd:restriction base="dms:Text">
          <xsd:maxLength value="255"/>
        </xsd:restriction>
      </xsd:simpleType>
    </xsd:element>
    <xsd:element name="Meeting_x0020_Date" ma:index="5" nillable="true" ma:displayName="Meeting Date" ma:format="DateOnly" ma:indexed="true" ma:internalName="Meeting_x0020_Date">
      <xsd:simpleType>
        <xsd:restriction base="dms:DateTime"/>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08cee96ced840fcb4556ba8962c53fb" ma:index="25" nillable="true" ma:taxonomy="true" ma:internalName="p08cee96ced840fcb4556ba8962c53fb" ma:taxonomyFieldName="Category" ma:displayName="Category" ma:indexed="true" ma:readOnly="false" ma:default="" ma:fieldId="{908cee96-ced8-40fc-b455-6ba8962c53fb}"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n634878934ab4ea4b24a27c205468c50" ma:index="27" nillable="true" ma:taxonomy="true" ma:internalName="n634878934ab4ea4b24a27c205468c50" ma:taxonomyFieldName="Circulation" ma:displayName="Circulation" ma:default="" ma:fieldId="{76348789-34ab-4ea4-b24a-27c205468c50}"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a765d009da804bce912190bc95d6c9e6" ma:index="29" nillable="true" ma:taxonomy="true" ma:internalName="a765d009da804bce912190bc95d6c9e6" ma:taxonomyFieldName="Inquiry" ma:displayName="Inquiry" ma:indexed="true" ma:default="" ma:fieldId="{a765d009-da80-4bce-9121-90bc95d6c9e6}" ma:sspId="eb37f91c-4bb8-4ab3-bc5a-cd8753815459" ma:termSetId="e92b6cb5-89aa-4b85-8d83-b805cf84055d" ma:anchorId="8ac83233-b844-4af9-afd9-ab3c73475b06" ma:open="false" ma:isKeyword="false">
      <xsd:complexType>
        <xsd:sequence>
          <xsd:element ref="pc:Terms" minOccurs="0" maxOccurs="1"/>
        </xsd:sequence>
      </xsd:complexType>
    </xsd:element>
    <xsd:element name="mc51d1a24a234f1087cd7964a2103120" ma:index="33" nillable="true" ma:taxonomy="true" ma:internalName="mc51d1a24a234f1087cd7964a2103120" ma:taxonomyFieldName="Session" ma:displayName="Session" ma:indexed="true" ma:default="" ma:fieldId="{6c51d1a2-4a23-4f10-87cd-7964a2103120}"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Location" ma:index="4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7" nillable="true" ma:displayName="Transfer to Archives" ma:default="0" ma:internalName="TransfertoArchives" ma:readOnly="false">
      <xsd:simpleType>
        <xsd:restriction base="dms:Boolean"/>
      </xsd:simpleType>
    </xsd:element>
    <xsd:element name="TaxCatchAll" ma:index="15" nillable="true" ma:displayName="Taxonomy Catch All Column" ma:hidden="true" ma:list="{6f0ff21d-54d5-43e9-8ff5-c5882b44d39e}" ma:internalName="TaxCatchAll" ma:showField="CatchAllData" ma:web="f539f2df-4f05-45ee-94ae-115352d6540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9"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indexed="true" ma:readOnly="false" ma:default="5;#Unrestricted|ae6bc852-fecb-4b6b-95a3-8d1301f0fcb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g3ef09377e3444258679b6035a1ff93a" ma:index="2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cordNumber" ma:index="34" nillable="true" ma:displayName="Record Number" ma:hidden="true" ma:indexed="true" ma:internalName="Record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9f2df-4f05-45ee-94ae-115352d6540f"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RetentionTriggerDate" ma:index="48" nillable="true" ma:displayName="Retention Trigger Date" ma:format="DateOnly" ma:hidden="true" ma:internalName="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ce1c4f0-0394-4cca-b829-34bff9279afc">
      <Terms xmlns="http://schemas.microsoft.com/office/infopath/2007/PartnerControls"/>
    </lcf76f155ced4ddcb4097134ff3c332f>
    <TaxCatchAll xmlns="4600776d-0a3c-44b4-bff2-0ceaafb13046">
      <Value>83</Value>
      <Value>5</Value>
      <Value>4</Value>
    </TaxCatchAll>
    <RecordNumber xmlns="4600776d-0a3c-44b4-bff2-0ceaafb13046" xsi:nil="true"/>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g3ef09377e3444258679b6035a1ff93a xmlns="4600776d-0a3c-44b4-bff2-0ceaafb13046">
      <Terms xmlns="http://schemas.microsoft.com/office/infopath/2007/PartnerControls"/>
    </g3ef09377e3444258679b6035a1ff93a>
    <p08cee96ced840fcb4556ba8962c53fb xmlns="5ce1c4f0-0394-4cca-b829-34bff9279afc">
      <Terms xmlns="http://schemas.microsoft.com/office/infopath/2007/PartnerControls"/>
    </p08cee96ced840fcb4556ba8962c53fb>
    <Meeting_x0020_Date xmlns="5ce1c4f0-0394-4cca-b829-34bff9279afc" xsi:nil="true"/>
    <Document_x0020_Status xmlns="5ce1c4f0-0394-4cca-b829-34bff9279afc" xsi:nil="true"/>
    <j6c5b17cd04246da82e5604daf08bc68 xmlns="4600776d-0a3c-44b4-bff2-0ceaafb13046">
      <Terms xmlns="http://schemas.microsoft.com/office/infopath/2007/PartnerControls"/>
    </j6c5b17cd04246da82e5604daf08bc68>
    <n634878934ab4ea4b24a27c205468c50 xmlns="5ce1c4f0-0394-4cca-b829-34bff9279afc">
      <Terms xmlns="http://schemas.microsoft.com/office/infopath/2007/PartnerControls"/>
    </n634878934ab4ea4b24a27c205468c50>
    <Additional_x0020_category xmlns="5ce1c4f0-0394-4cca-b829-34bff9279afc" xsi:nil="true"/>
    <TransfertoArchives xmlns="4600776d-0a3c-44b4-bff2-0ceaafb13046">false</TransfertoArchives>
    <a765d009da804bce912190bc95d6c9e6 xmlns="5ce1c4f0-0394-4cca-b829-34bff9279afc">
      <Terms xmlns="http://schemas.microsoft.com/office/infopath/2007/PartnerControls"/>
    </a765d009da804bce912190bc95d6c9e6>
    <mc51d1a24a234f1087cd7964a2103120 xmlns="5ce1c4f0-0394-4cca-b829-34bff9279afc">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mc51d1a24a234f1087cd7964a2103120>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f539f2df-4f05-45ee-94ae-115352d6540f" xsi:nil="true"/>
    <_dlc_DocId xmlns="f539f2df-4f05-45ee-94ae-115352d6540f">NDSF5EDUHJ47-127007870-12602</_dlc_DocId>
    <_dlc_DocIdUrl xmlns="f539f2df-4f05-45ee-94ae-115352d6540f">
      <Url>https://hopuk.sharepoint.com/sites/hcc-ESNZC/_layouts/15/DocIdRedir.aspx?ID=NDSF5EDUHJ47-127007870-12602</Url>
      <Description>NDSF5EDUHJ47-127007870-12602</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35266-3448-4BC6-AAEC-9DEEFD5A7E05}">
  <ds:schemaRefs>
    <ds:schemaRef ds:uri="http://schemas.microsoft.com/office/2006/metadata/customXsn"/>
  </ds:schemaRefs>
</ds:datastoreItem>
</file>

<file path=customXml/itemProps2.xml><?xml version="1.0" encoding="utf-8"?>
<ds:datastoreItem xmlns:ds="http://schemas.openxmlformats.org/officeDocument/2006/customXml" ds:itemID="{8D1F01FB-B0B7-4ECE-A62A-EC2E6550C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1c4f0-0394-4cca-b829-34bff9279afc"/>
    <ds:schemaRef ds:uri="4600776d-0a3c-44b4-bff2-0ceaafb13046"/>
    <ds:schemaRef ds:uri="f539f2df-4f05-45ee-94ae-115352d65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DC288-6DED-4EEB-975A-95B73D3563BC}">
  <ds:schemaRefs>
    <ds:schemaRef ds:uri="http://schemas.microsoft.com/sharepoint/v3/contenttype/forms"/>
  </ds:schemaRefs>
</ds:datastoreItem>
</file>

<file path=customXml/itemProps4.xml><?xml version="1.0" encoding="utf-8"?>
<ds:datastoreItem xmlns:ds="http://schemas.openxmlformats.org/officeDocument/2006/customXml" ds:itemID="{C1C9ACEE-9E56-4A58-87D0-701394FAF890}">
  <ds:schemaRefs>
    <ds:schemaRef ds:uri="http://schemas.microsoft.com/sharepoint/events"/>
  </ds:schemaRefs>
</ds:datastoreItem>
</file>

<file path=customXml/itemProps5.xml><?xml version="1.0" encoding="utf-8"?>
<ds:datastoreItem xmlns:ds="http://schemas.openxmlformats.org/officeDocument/2006/customXml" ds:itemID="{52B3AB6B-7862-43C0-890C-25F26228730B}">
  <ds:schemaRefs>
    <ds:schemaRef ds:uri="http://schemas.microsoft.com/office/2006/metadata/properties"/>
    <ds:schemaRef ds:uri="http://schemas.microsoft.com/office/infopath/2007/PartnerControls"/>
    <ds:schemaRef ds:uri="5ce1c4f0-0394-4cca-b829-34bff9279afc"/>
    <ds:schemaRef ds:uri="4600776d-0a3c-44b4-bff2-0ceaafb13046"/>
    <ds:schemaRef ds:uri="f539f2df-4f05-45ee-94ae-115352d6540f"/>
  </ds:schemaRefs>
</ds:datastoreItem>
</file>

<file path=customXml/itemProps6.xml><?xml version="1.0" encoding="utf-8"?>
<ds:datastoreItem xmlns:ds="http://schemas.openxmlformats.org/officeDocument/2006/customXml" ds:itemID="{F1E49E12-2452-874E-B0D7-3858B39C3205}">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MAN0064</dc:title>
  <cp:revision>0</cp:revision>
</cp:coreProperties>
</file>