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5465D" w:rsidRPr="00A5465D" w:rsidP="00A5465D">
      <w:pPr>
        <w:spacing w:after="100"/>
        <w:jc w:val="center"/>
        <w:rPr>
          <w:rFonts w:ascii="Calibri" w:eastAsia="Calibri" w:hAnsi="Calibri" w:cs="Calibri"/>
          <w:b/>
          <w:bCs/>
          <w:sz w:val="28"/>
          <w:szCs w:val="28"/>
        </w:rPr>
      </w:pPr>
      <w:r w:rsidRPr="00A5465D">
        <w:rPr>
          <w:rFonts w:ascii="Calibri" w:eastAsia="Calibri" w:hAnsi="Calibri" w:cs="Calibri"/>
          <w:b/>
          <w:bCs/>
          <w:sz w:val="28"/>
          <w:szCs w:val="28"/>
        </w:rPr>
        <w:t xml:space="preserve">Written evidence by </w:t>
      </w:r>
      <w:r w:rsidRPr="00A5465D">
        <w:rPr>
          <w:rFonts w:ascii="Calibri" w:eastAsia="Calibri" w:hAnsi="Calibri" w:cs="Calibri"/>
          <w:b/>
          <w:bCs/>
          <w:sz w:val="28"/>
          <w:szCs w:val="28"/>
        </w:rPr>
        <w:t xml:space="preserve">Dr </w:t>
      </w:r>
      <w:r w:rsidRPr="00A5465D">
        <w:rPr>
          <w:rFonts w:ascii="Calibri" w:eastAsia="Calibri" w:hAnsi="Calibri" w:cs="Calibri"/>
          <w:b/>
          <w:bCs/>
          <w:sz w:val="28"/>
          <w:szCs w:val="28"/>
        </w:rPr>
        <w:t>Veruska</w:t>
      </w:r>
      <w:r w:rsidRPr="00A5465D">
        <w:rPr>
          <w:rFonts w:ascii="Calibri" w:eastAsia="Calibri" w:hAnsi="Calibri" w:cs="Calibri"/>
          <w:b/>
          <w:bCs/>
          <w:sz w:val="28"/>
          <w:szCs w:val="28"/>
        </w:rPr>
        <w:t xml:space="preserve"> Oppedisano (Reader in </w:t>
      </w:r>
      <w:r w:rsidRPr="00A5465D">
        <w:rPr>
          <w:rFonts w:ascii="Calibri" w:eastAsia="Calibri" w:hAnsi="Calibri" w:cs="Calibri"/>
          <w:b/>
          <w:bCs/>
          <w:sz w:val="28"/>
          <w:szCs w:val="28"/>
        </w:rPr>
        <w:t>Economcis</w:t>
      </w:r>
      <w:r w:rsidRPr="00A5465D">
        <w:rPr>
          <w:rFonts w:ascii="Calibri" w:eastAsia="Calibri" w:hAnsi="Calibri" w:cs="Calibri"/>
          <w:b/>
          <w:bCs/>
          <w:sz w:val="28"/>
          <w:szCs w:val="28"/>
        </w:rPr>
        <w:t xml:space="preserve"> at University of Westminster); Prof Richard Dorsett</w:t>
      </w:r>
      <w:r w:rsidRPr="00A5465D">
        <w:rPr>
          <w:rFonts w:ascii="Calibri" w:eastAsia="Calibri" w:hAnsi="Calibri" w:cs="Calibri"/>
          <w:b/>
          <w:bCs/>
          <w:sz w:val="28"/>
          <w:szCs w:val="28"/>
        </w:rPr>
        <w:t xml:space="preserve">, </w:t>
      </w:r>
      <w:r w:rsidRPr="00A5465D">
        <w:rPr>
          <w:rFonts w:ascii="Calibri" w:eastAsia="Calibri" w:hAnsi="Calibri" w:cs="Calibri"/>
          <w:b/>
          <w:bCs/>
          <w:sz w:val="28"/>
          <w:szCs w:val="28"/>
        </w:rPr>
        <w:t>Dr Min Zhang</w:t>
      </w:r>
      <w:r w:rsidRPr="00A5465D">
        <w:rPr>
          <w:rFonts w:ascii="Calibri" w:eastAsia="Calibri" w:hAnsi="Calibri" w:cs="Calibri"/>
          <w:b/>
          <w:bCs/>
          <w:sz w:val="28"/>
          <w:szCs w:val="28"/>
        </w:rPr>
        <w:t xml:space="preserve"> &amp; </w:t>
      </w:r>
      <w:r w:rsidRPr="00A5465D">
        <w:rPr>
          <w:rFonts w:ascii="Calibri" w:eastAsia="Calibri" w:hAnsi="Calibri" w:cs="Calibri"/>
          <w:b/>
          <w:bCs/>
          <w:sz w:val="28"/>
          <w:szCs w:val="28"/>
        </w:rPr>
        <w:t xml:space="preserve">Mr Dave Thomson </w:t>
      </w:r>
      <w:r w:rsidRPr="00A5465D">
        <w:rPr>
          <w:rFonts w:ascii="Calibri" w:eastAsia="Calibri" w:hAnsi="Calibri" w:cs="Calibri"/>
          <w:b/>
          <w:bCs/>
          <w:sz w:val="28"/>
          <w:szCs w:val="28"/>
        </w:rPr>
        <w:t>(ECA0009)</w:t>
      </w:r>
    </w:p>
    <w:p w:rsidR="00A5465D" w:rsidRPr="00A5465D" w:rsidP="00A5465D">
      <w:pPr>
        <w:spacing w:after="100"/>
        <w:jc w:val="center"/>
        <w:rPr>
          <w:rFonts w:ascii="Calibri" w:eastAsia="Calibri" w:hAnsi="Calibri" w:cs="Calibri"/>
          <w:b/>
          <w:bCs/>
          <w:sz w:val="22"/>
          <w:szCs w:val="22"/>
        </w:rPr>
      </w:pPr>
    </w:p>
    <w:p w:rsidR="005D25DD" w:rsidP="00A5465D">
      <w:pPr>
        <w:spacing w:after="100"/>
      </w:pPr>
      <w:r>
        <w:rPr>
          <w:rFonts w:ascii="Calibri" w:eastAsia="Calibri" w:hAnsi="Calibri" w:cs="Calibri"/>
          <w:sz w:val="22"/>
          <w:szCs w:val="22"/>
        </w:rPr>
        <w:t>Written evidence submitted to the Education Committee inquiry into the</w:t>
      </w:r>
    </w:p>
    <w:p w:rsidR="005D25DD" w:rsidP="00A5465D">
      <w:pPr>
        <w:spacing w:after="300"/>
      </w:pPr>
      <w:r>
        <w:rPr>
          <w:rFonts w:ascii="Calibri" w:eastAsia="Calibri" w:hAnsi="Calibri" w:cs="Calibri"/>
          <w:b/>
          <w:bCs/>
          <w:sz w:val="28"/>
          <w:szCs w:val="28"/>
        </w:rPr>
        <w:t>'Every Child Achieving and Thriving' White Paper</w:t>
      </w:r>
    </w:p>
    <w:p w:rsidR="005D25DD">
      <w:pPr>
        <w:spacing w:after="400"/>
        <w:jc w:val="center"/>
      </w:pPr>
      <w:r>
        <w:rPr>
          <w:rFonts w:ascii="Calibri" w:eastAsia="Calibri" w:hAnsi="Calibri" w:cs="Calibri"/>
          <w:i/>
          <w:iCs/>
        </w:rPr>
        <w:t>Submitted by Richard Dorsett and Veruska Oppedisano (University of Westminster), Dave Thomson (FFT Education Datalab) and Min Zhang (University of Westminster)</w:t>
      </w:r>
    </w:p>
    <w:p w:rsidR="005D25DD">
      <w:pPr>
        <w:pStyle w:val="Heading2"/>
        <w:spacing w:before="300" w:after="150"/>
      </w:pPr>
      <w:r>
        <w:rPr>
          <w:rFonts w:ascii="Calibri" w:eastAsia="Calibri" w:hAnsi="Calibri" w:cs="Calibri"/>
          <w:b/>
          <w:bCs/>
          <w:sz w:val="24"/>
          <w:szCs w:val="24"/>
        </w:rPr>
        <w:t>About us</w:t>
      </w:r>
    </w:p>
    <w:p w:rsidR="005D25DD">
      <w:pPr>
        <w:spacing w:after="200" w:line="276" w:lineRule="auto"/>
      </w:pPr>
      <w:r>
        <w:rPr>
          <w:rFonts w:ascii="Calibri" w:eastAsia="Calibri" w:hAnsi="Calibri" w:cs="Calibri"/>
          <w:b/>
          <w:bCs/>
          <w:sz w:val="22"/>
          <w:szCs w:val="22"/>
        </w:rPr>
        <w:t xml:space="preserve">1. </w:t>
      </w:r>
      <w:r>
        <w:rPr>
          <w:rFonts w:ascii="Calibri" w:eastAsia="Calibri" w:hAnsi="Calibri" w:cs="Calibri"/>
          <w:sz w:val="22"/>
          <w:szCs w:val="22"/>
        </w:rPr>
        <w:t>We are a team of academic and applied researchers based at the University of Westminster and FFT Education Datalab. We submit this evidence on the basis of</w:t>
      </w:r>
      <w:r>
        <w:rPr>
          <w:rFonts w:ascii="Calibri" w:eastAsia="Calibri" w:hAnsi="Calibri" w:cs="Calibri"/>
          <w:sz w:val="22"/>
          <w:szCs w:val="22"/>
        </w:rPr>
        <w:t xml:space="preserve"> our recent research using national administrative data (the Longitudinal Education Outcomes dataset, linked to the National Pupil Database) to estimate the causal effects of permanent school exclusions, and of reintegration following exclusion, on the outcomes of non-excluded classmates. This submission draws on, and summarises in our own words, the findings of our published study: Dorsett, R., Oppedisano, V., Thomson, D. and Zhang, M. (2026) "The Timing of School Exclusions and Its Consequences for Peers'</w:t>
      </w:r>
      <w:r>
        <w:rPr>
          <w:rFonts w:ascii="Calibri" w:eastAsia="Calibri" w:hAnsi="Calibri" w:cs="Calibri"/>
          <w:sz w:val="22"/>
          <w:szCs w:val="22"/>
        </w:rPr>
        <w:t xml:space="preserve"> Outcomes", IZA Discussion Paper No. 18599 (full reference below), together with our reintegration findings, an accessible summary of which is available on the FFT Education </w:t>
      </w:r>
      <w:r>
        <w:rPr>
          <w:rFonts w:ascii="Calibri" w:eastAsia="Calibri" w:hAnsi="Calibri" w:cs="Calibri"/>
          <w:sz w:val="22"/>
          <w:szCs w:val="22"/>
        </w:rPr>
        <w:t>Datalab blog (Oppedisano and Thomson, 2026), also cited in full below; the accompanying full report covering both exclusion timing and reintegration is due to be published in summer 2026. The text of this submission itself has not been published elsewhere.</w:t>
      </w:r>
    </w:p>
    <w:p w:rsidR="005D25DD">
      <w:pPr>
        <w:pStyle w:val="Heading2"/>
        <w:spacing w:before="300" w:after="150"/>
      </w:pPr>
      <w:r>
        <w:rPr>
          <w:rFonts w:ascii="Calibri" w:eastAsia="Calibri" w:hAnsi="Calibri" w:cs="Calibri"/>
          <w:b/>
          <w:bCs/>
          <w:sz w:val="24"/>
          <w:szCs w:val="24"/>
        </w:rPr>
        <w:t>Summary</w:t>
      </w:r>
    </w:p>
    <w:p w:rsidR="005D25DD">
      <w:pPr>
        <w:spacing w:after="200" w:line="276" w:lineRule="auto"/>
      </w:pPr>
      <w:r>
        <w:rPr>
          <w:rFonts w:ascii="Calibri" w:eastAsia="Calibri" w:hAnsi="Calibri" w:cs="Calibri"/>
          <w:b/>
          <w:bCs/>
          <w:sz w:val="22"/>
          <w:szCs w:val="22"/>
        </w:rPr>
        <w:t xml:space="preserve">2. </w:t>
      </w:r>
      <w:r>
        <w:rPr>
          <w:rFonts w:ascii="Calibri" w:eastAsia="Calibri" w:hAnsi="Calibri" w:cs="Calibri"/>
          <w:sz w:val="22"/>
          <w:szCs w:val="22"/>
        </w:rPr>
        <w:t>Our research provides new, robust evidence on how the timing of permanent school exclusions affects the pupils who stay behind in mainstream classrooms after a disruptive pupil leaves. We compare exclusions that happen in Year 8, Year 9 and Year 10, and find that Year 9 exclusions have the biggest negative effect on classmates, Year 10 exclusions have a smaller negative effect, and Year 8 exclusions tend to be associated with small positive effects on classmates' longer-term prospects.</w:t>
      </w:r>
    </w:p>
    <w:p w:rsidR="005D25DD">
      <w:pPr>
        <w:spacing w:after="200" w:line="276" w:lineRule="auto"/>
      </w:pPr>
      <w:r>
        <w:rPr>
          <w:rFonts w:ascii="Calibri" w:eastAsia="Calibri" w:hAnsi="Calibri" w:cs="Calibri"/>
          <w:b/>
          <w:bCs/>
          <w:sz w:val="22"/>
          <w:szCs w:val="22"/>
        </w:rPr>
        <w:t xml:space="preserve">3. </w:t>
      </w:r>
      <w:r>
        <w:rPr>
          <w:rFonts w:ascii="Calibri" w:eastAsia="Calibri" w:hAnsi="Calibri" w:cs="Calibri"/>
          <w:sz w:val="22"/>
          <w:szCs w:val="22"/>
        </w:rPr>
        <w:t>To put this in practical terms: a modest rise in Year 9 exclusions, equivalent to just one extra pupil excluded per 1,000, is enough to measurably lower classmates' GCSE Maths and English results (roughly equivalent to a month's less learning in each subject), reduce their chances of gaining good qualifications by age 21, and increase their chances of not being in education, employment or training (NEET) at 21. These effects are largest for pupils who were already struggling academically or who are disadvan</w:t>
      </w:r>
      <w:r>
        <w:rPr>
          <w:rFonts w:ascii="Calibri" w:eastAsia="Calibri" w:hAnsi="Calibri" w:cs="Calibri"/>
          <w:sz w:val="22"/>
          <w:szCs w:val="22"/>
        </w:rPr>
        <w:t>taged.</w:t>
      </w:r>
    </w:p>
    <w:p w:rsidR="005D25DD">
      <w:pPr>
        <w:spacing w:after="200" w:line="276" w:lineRule="auto"/>
      </w:pPr>
      <w:r>
        <w:rPr>
          <w:rFonts w:ascii="Calibri" w:eastAsia="Calibri" w:hAnsi="Calibri" w:cs="Calibri"/>
          <w:b/>
          <w:bCs/>
          <w:sz w:val="22"/>
          <w:szCs w:val="22"/>
        </w:rPr>
        <w:t xml:space="preserve">4. </w:t>
      </w:r>
      <w:r>
        <w:rPr>
          <w:rFonts w:ascii="Calibri" w:eastAsia="Calibri" w:hAnsi="Calibri" w:cs="Calibri"/>
          <w:sz w:val="22"/>
          <w:szCs w:val="22"/>
        </w:rPr>
        <w:t>We show that these effects operate through the accumulated duration and severity of disruptive behaviour peers are exposed to prior to a pupil's removal, rather than through exclusion status per se: pupils excluded in Year 9 have accumulated substantially more suspension days and unauthorised absences beforehand than those excluded in neighbouring year groups, and the magnitude of peer spillovers rises with this prior suspension history.</w:t>
      </w:r>
    </w:p>
    <w:p w:rsidR="005D25DD">
      <w:pPr>
        <w:spacing w:after="200" w:line="276" w:lineRule="auto"/>
      </w:pPr>
      <w:r>
        <w:rPr>
          <w:rFonts w:ascii="Calibri" w:eastAsia="Calibri" w:hAnsi="Calibri" w:cs="Calibri"/>
          <w:b/>
          <w:bCs/>
          <w:sz w:val="22"/>
          <w:szCs w:val="22"/>
        </w:rPr>
        <w:t xml:space="preserve">5. </w:t>
      </w:r>
      <w:r>
        <w:rPr>
          <w:rFonts w:ascii="Calibri" w:eastAsia="Calibri" w:hAnsi="Calibri" w:cs="Calibri"/>
          <w:sz w:val="22"/>
          <w:szCs w:val="22"/>
        </w:rPr>
        <w:t>These findings are directly relevant to the White Paper's proposals on behaviour, attendance and inclusion (in particular the ambition to move schools from 'withdrawn to engaging' through calm, safe classrooms with consistently high standards for behaviour). They indicate that delays in resolving persistent disruptive behaviour have measurable negative effects for the wider pupil body, and that policy which affects how quickly and at what stage schools are able to</w:t>
      </w:r>
      <w:r>
        <w:rPr>
          <w:rFonts w:ascii="Calibri" w:eastAsia="Calibri" w:hAnsi="Calibri" w:cs="Calibri"/>
          <w:sz w:val="22"/>
          <w:szCs w:val="22"/>
        </w:rPr>
        <w:t xml:space="preserve"> act on entrenched behavioural difficulty will have consequences for peers as well as for the excluded pupil.</w:t>
      </w:r>
    </w:p>
    <w:p w:rsidR="005D25DD">
      <w:pPr>
        <w:pStyle w:val="Heading2"/>
        <w:spacing w:before="300" w:after="150"/>
      </w:pPr>
      <w:r>
        <w:rPr>
          <w:rFonts w:ascii="Calibri" w:eastAsia="Calibri" w:hAnsi="Calibri" w:cs="Calibri"/>
          <w:b/>
          <w:bCs/>
          <w:sz w:val="24"/>
          <w:szCs w:val="24"/>
        </w:rPr>
        <w:t>Relevance to the inquiry</w:t>
      </w:r>
    </w:p>
    <w:p w:rsidR="005D25DD">
      <w:pPr>
        <w:spacing w:after="200" w:line="276" w:lineRule="auto"/>
      </w:pPr>
      <w:r>
        <w:rPr>
          <w:rFonts w:ascii="Calibri" w:eastAsia="Calibri" w:hAnsi="Calibri" w:cs="Calibri"/>
          <w:b/>
          <w:bCs/>
          <w:sz w:val="22"/>
          <w:szCs w:val="22"/>
        </w:rPr>
        <w:t xml:space="preserve">6. </w:t>
      </w:r>
      <w:r>
        <w:rPr>
          <w:rFonts w:ascii="Calibri" w:eastAsia="Calibri" w:hAnsi="Calibri" w:cs="Calibri"/>
          <w:sz w:val="22"/>
          <w:szCs w:val="22"/>
        </w:rPr>
        <w:t>The White Paper sets out an ambition to build calm, inclusive classrooms with consistently high standards for behaviour, while also seeking to reduce reliance on exclusionary practice and strengthen mainstream inclusion for children with additional needs. Our research speaks to the trade-off that sits at the heart of this ambition: the costs of permanent exclusion for excluded pupils themselves are well documented and substantial, but the consequences for their classmates of delaying removal, or of the cond</w:t>
      </w:r>
      <w:r>
        <w:rPr>
          <w:rFonts w:ascii="Calibri" w:eastAsia="Calibri" w:hAnsi="Calibri" w:cs="Calibri"/>
          <w:sz w:val="22"/>
          <w:szCs w:val="22"/>
        </w:rPr>
        <w:t xml:space="preserve">itions under which removal becomes possible, have received very little attention. Our evidence fills this gap and offers the Committee a causal, nationally representative estimate of the scale of these effects on peers and of how they vary with the stage of secondary school at which exclusion occurs. Related work by members of our team provides further evidence on the costs of exclusionary practice for the excluded pupil: using a separate national dataset and a different source of causal variation, </w:t>
      </w:r>
      <w:r>
        <w:rPr>
          <w:rFonts w:ascii="Calibri" w:eastAsia="Calibri" w:hAnsi="Calibri" w:cs="Calibri"/>
          <w:sz w:val="22"/>
          <w:szCs w:val="22"/>
        </w:rPr>
        <w:t>Buchmueller</w:t>
      </w:r>
      <w:r>
        <w:rPr>
          <w:rFonts w:ascii="Calibri" w:eastAsia="Calibri" w:hAnsi="Calibri" w:cs="Calibri"/>
          <w:sz w:val="22"/>
          <w:szCs w:val="22"/>
        </w:rPr>
        <w:t xml:space="preserve"> et al.,</w:t>
      </w:r>
      <w:r>
        <w:rPr>
          <w:rFonts w:ascii="Calibri" w:eastAsia="Calibri" w:hAnsi="Calibri" w:cs="Calibri"/>
          <w:sz w:val="22"/>
          <w:szCs w:val="22"/>
        </w:rPr>
        <w:t xml:space="preserve"> (2026) show that fixed-term exclusion causally increases the probability of a pupil entering youth custody by age 18 by around 2.6 percentage points, with the largest effects found in more disadvantaged schools. A further unpublished study by members of our team, Dorsett</w:t>
      </w:r>
      <w:r>
        <w:rPr>
          <w:rFonts w:ascii="Calibri" w:eastAsia="Calibri" w:hAnsi="Calibri" w:cs="Calibri"/>
          <w:sz w:val="22"/>
          <w:szCs w:val="22"/>
        </w:rPr>
        <w:t xml:space="preserve"> et al.,</w:t>
      </w:r>
      <w:r>
        <w:rPr>
          <w:rFonts w:ascii="Calibri" w:eastAsia="Calibri" w:hAnsi="Calibri" w:cs="Calibri"/>
          <w:sz w:val="22"/>
          <w:szCs w:val="22"/>
        </w:rPr>
        <w:t xml:space="preserve"> (2026), provides complementary evidence on how peer environments feed into these same long-run risks: a one-percentage-point increase in the share of a pupil's secondary school peers with low prior attainment raises that pupil's own probability of youth custody by around 2-5%, with the largest effects for disadvantaged pupils and those with lower prior attainment themselves. This study also shows that exposure to lower-achieving peers increases both unauthorised absence and the pupil's own likelihood of pe</w:t>
      </w:r>
      <w:r>
        <w:rPr>
          <w:rFonts w:ascii="Calibri" w:eastAsia="Calibri" w:hAnsi="Calibri" w:cs="Calibri"/>
          <w:sz w:val="22"/>
          <w:szCs w:val="22"/>
        </w:rPr>
        <w:t xml:space="preserve">rmanent exclusion, indicating that disruptive or disengaged peer environments can set in motion the same behavioural pathway, rising absence and exclusion, that our own research shows </w:t>
      </w:r>
      <w:r>
        <w:rPr>
          <w:rFonts w:ascii="Calibri" w:eastAsia="Calibri" w:hAnsi="Calibri" w:cs="Calibri"/>
          <w:sz w:val="22"/>
          <w:szCs w:val="22"/>
        </w:rPr>
        <w:t>carries consequences for classmates. Read together, this body of evidence indicates that both the pupils who are excluded and their classmates can be harmed by how, and how quickly, exclusion is used, reinforcing the case for early, effective intervention rather than reliance on exclusion once behavioural difficulties have escalated.</w:t>
      </w:r>
    </w:p>
    <w:p w:rsidR="005D25DD">
      <w:pPr>
        <w:spacing w:after="200" w:line="276" w:lineRule="auto"/>
      </w:pPr>
      <w:r>
        <w:rPr>
          <w:rFonts w:ascii="Calibri" w:eastAsia="Calibri" w:hAnsi="Calibri" w:cs="Calibri"/>
          <w:b/>
          <w:bCs/>
          <w:sz w:val="22"/>
          <w:szCs w:val="22"/>
        </w:rPr>
        <w:t xml:space="preserve">7. </w:t>
      </w:r>
      <w:r>
        <w:rPr>
          <w:rFonts w:ascii="Calibri" w:eastAsia="Calibri" w:hAnsi="Calibri" w:cs="Calibri"/>
          <w:sz w:val="22"/>
          <w:szCs w:val="22"/>
        </w:rPr>
        <w:t>We believe this evidence is relevant to the Committee's consideration of: (a) behaviour and attendance policy; (b) the adequacy and local distribution of Alternative Provision capacity, which we show materially constrains schools' ability to act on exclusion decisions; and (c) the broader question of how the system balances inclusion for the excluded pupil against the interests of their peers.</w:t>
      </w:r>
    </w:p>
    <w:p w:rsidR="005D25DD">
      <w:pPr>
        <w:pStyle w:val="Heading2"/>
        <w:spacing w:before="300" w:after="150"/>
      </w:pPr>
      <w:r>
        <w:rPr>
          <w:rFonts w:ascii="Calibri" w:eastAsia="Calibri" w:hAnsi="Calibri" w:cs="Calibri"/>
          <w:b/>
          <w:bCs/>
          <w:sz w:val="24"/>
          <w:szCs w:val="24"/>
        </w:rPr>
        <w:t>Key findings</w:t>
      </w:r>
    </w:p>
    <w:p w:rsidR="005D25DD">
      <w:pPr>
        <w:spacing w:after="200" w:line="276" w:lineRule="auto"/>
      </w:pPr>
      <w:r>
        <w:rPr>
          <w:rFonts w:ascii="Calibri" w:eastAsia="Calibri" w:hAnsi="Calibri" w:cs="Calibri"/>
          <w:b/>
          <w:bCs/>
          <w:sz w:val="22"/>
          <w:szCs w:val="22"/>
        </w:rPr>
        <w:t xml:space="preserve">8. </w:t>
      </w:r>
      <w:r>
        <w:rPr>
          <w:rFonts w:ascii="Calibri" w:eastAsia="Calibri" w:hAnsi="Calibri" w:cs="Calibri"/>
          <w:sz w:val="22"/>
          <w:szCs w:val="22"/>
        </w:rPr>
        <w:t>The effect of exclusion differs across year groups, and</w:t>
      </w:r>
      <w:r>
        <w:rPr>
          <w:rFonts w:ascii="Calibri" w:eastAsia="Calibri" w:hAnsi="Calibri" w:cs="Calibri"/>
          <w:sz w:val="22"/>
          <w:szCs w:val="22"/>
        </w:rPr>
        <w:t xml:space="preserve"> appears to depend on how long disruptive behaviour has been going on before a pupil is removed, rather than on the fact of removal itself. Year 9 exclusions have by far the largest negative effects on classmates, Year 10 exclusions have </w:t>
      </w:r>
      <w:r>
        <w:rPr>
          <w:rFonts w:ascii="Calibri" w:eastAsia="Calibri" w:hAnsi="Calibri" w:cs="Calibri"/>
          <w:sz w:val="22"/>
          <w:szCs w:val="22"/>
        </w:rPr>
        <w:t>smaller but still negative effects on attainment and later outcomes, and Year 8 exclusions tend to be linked with small positive effects on classmates' longer-run job prospects. This pattern matches how much prior disruption has typically already taken place: pupils exclude</w:t>
      </w:r>
      <w:r>
        <w:rPr>
          <w:rFonts w:ascii="Calibri" w:eastAsia="Calibri" w:hAnsi="Calibri" w:cs="Calibri"/>
          <w:sz w:val="22"/>
          <w:szCs w:val="22"/>
        </w:rPr>
        <w:t xml:space="preserve">d in Year 9 have much longer histories of suspension and unauthorised absence beforehand than those excluded in Year 8 or Year </w:t>
      </w:r>
      <w:r>
        <w:rPr>
          <w:rFonts w:ascii="Calibri" w:eastAsia="Calibri" w:hAnsi="Calibri" w:cs="Calibri"/>
          <w:sz w:val="22"/>
          <w:szCs w:val="22"/>
        </w:rPr>
        <w:t>10, and the negative effects on classmates are larger the longer this history of disruption. Looking at why pupils were excluded tells the same story: the negative effects on classmates come almost entirely from exclusions for persistent disruptive behaviour and physical assault, particularly in Year 9, while exclusions for verbal abuse have smaller and less consistent effects. In short, it is prolonged and serious disruptive behaviour that drives the effects on peers.</w:t>
      </w:r>
    </w:p>
    <w:p w:rsidR="005D25DD">
      <w:pPr>
        <w:spacing w:after="200" w:line="276" w:lineRule="auto"/>
      </w:pPr>
      <w:r>
        <w:rPr>
          <w:rFonts w:ascii="Calibri" w:eastAsia="Calibri" w:hAnsi="Calibri" w:cs="Calibri"/>
          <w:b/>
          <w:bCs/>
          <w:sz w:val="22"/>
          <w:szCs w:val="22"/>
        </w:rPr>
        <w:t xml:space="preserve">9. </w:t>
      </w:r>
      <w:r>
        <w:rPr>
          <w:rFonts w:ascii="Calibri" w:eastAsia="Calibri" w:hAnsi="Calibri" w:cs="Calibri"/>
          <w:sz w:val="22"/>
          <w:szCs w:val="22"/>
        </w:rPr>
        <w:t>Local capacity in the Alternative Provision system shapes exclusion decisions. Our approach makes use of the fact that the number of AP places filled locally limits how many pupils a school can permanently exclude. We find that when neighbouring schools fill more AP places, a focal school excludes fewer pupils, and that the resulting delays in access to AP placements are most binding in Year 10, when exclusion numbers are highest.</w:t>
      </w:r>
    </w:p>
    <w:p w:rsidR="005D25DD">
      <w:pPr>
        <w:spacing w:after="200" w:line="276" w:lineRule="auto"/>
      </w:pPr>
      <w:r>
        <w:rPr>
          <w:rFonts w:ascii="Calibri" w:eastAsia="Calibri" w:hAnsi="Calibri" w:cs="Calibri"/>
          <w:b/>
          <w:bCs/>
          <w:sz w:val="22"/>
          <w:szCs w:val="22"/>
        </w:rPr>
        <w:t xml:space="preserve">10. </w:t>
      </w:r>
      <w:r>
        <w:rPr>
          <w:rFonts w:ascii="Calibri" w:eastAsia="Calibri" w:hAnsi="Calibri" w:cs="Calibri"/>
          <w:sz w:val="22"/>
          <w:szCs w:val="22"/>
        </w:rPr>
        <w:t>Disadvantaged and low-attaining pupils are particularly affected. Low-attaining pupils experience the largest and most persistent adverse effects from peer exclusions, particularly when these occur in Year 9. Pupils eligible for free school meals and those with special educational needs show more mixed responses, with some gains in attainment offset by weaker labour-market attachment in early adulthood.</w:t>
      </w:r>
    </w:p>
    <w:p w:rsidR="005D25DD">
      <w:pPr>
        <w:spacing w:after="200" w:line="276" w:lineRule="auto"/>
      </w:pPr>
      <w:r>
        <w:rPr>
          <w:rFonts w:ascii="Calibri" w:eastAsia="Calibri" w:hAnsi="Calibri" w:cs="Calibri"/>
          <w:b/>
          <w:bCs/>
          <w:sz w:val="22"/>
          <w:szCs w:val="22"/>
        </w:rPr>
        <w:t xml:space="preserve">11. </w:t>
      </w:r>
      <w:r>
        <w:rPr>
          <w:rFonts w:ascii="Calibri" w:eastAsia="Calibri" w:hAnsi="Calibri" w:cs="Calibri"/>
          <w:sz w:val="22"/>
          <w:szCs w:val="22"/>
        </w:rPr>
        <w:t>We also find no evidence that exclusions, or the level of disruptive behaviour in a school, affect teacher turnover. This is a useful additional finding in its own right: it suggests that schools experiencing more disruptive behaviour are not simply losing staff as a result.</w:t>
      </w:r>
    </w:p>
    <w:p w:rsidR="005D25DD">
      <w:pPr>
        <w:spacing w:after="200" w:line="276" w:lineRule="auto"/>
      </w:pPr>
      <w:r>
        <w:rPr>
          <w:rFonts w:ascii="Calibri" w:eastAsia="Calibri" w:hAnsi="Calibri" w:cs="Calibri"/>
          <w:b/>
          <w:bCs/>
          <w:sz w:val="22"/>
          <w:szCs w:val="22"/>
        </w:rPr>
        <w:t xml:space="preserve">12. </w:t>
      </w:r>
      <w:r>
        <w:rPr>
          <w:rFonts w:ascii="Calibri" w:eastAsia="Calibri" w:hAnsi="Calibri" w:cs="Calibri"/>
          <w:sz w:val="22"/>
          <w:szCs w:val="22"/>
        </w:rPr>
        <w:t>Reintegration of previously excluded pupils does not harm classmates. A common concern is that bringing pupils back into mainstream schools after a period in Alternative Provision might create renewed negative effects for peers. Across the attainment, employment and NEET outcomes we examine, we find no evidence that reintegration negatively affects classmates: the estimated effects are essentially zero. This holds despite reintegrated pupils being positively selected from the pool of excluded pupils, that i</w:t>
      </w:r>
      <w:r>
        <w:rPr>
          <w:rFonts w:ascii="Calibri" w:eastAsia="Calibri" w:hAnsi="Calibri" w:cs="Calibri"/>
          <w:sz w:val="22"/>
          <w:szCs w:val="22"/>
        </w:rPr>
        <w:t>s, they tend to have somewhat higher prior attainment and are less likely to be highly disadvantaged than excluded pupils as a whole, and despite reintegration typically taking place in schools that themselves serve more disadvantaged intakes than schools that never reintegrate. This is an important and reassuring finding for policy, since it suggests that inclusive pathways back into mainstream education are feasible without imposing measurable harm on peers.</w:t>
      </w:r>
    </w:p>
    <w:p w:rsidR="005D25DD">
      <w:pPr>
        <w:pStyle w:val="Heading2"/>
        <w:spacing w:before="300" w:after="150"/>
      </w:pPr>
      <w:r>
        <w:rPr>
          <w:rFonts w:ascii="Calibri" w:eastAsia="Calibri" w:hAnsi="Calibri" w:cs="Calibri"/>
          <w:b/>
          <w:bCs/>
          <w:sz w:val="24"/>
          <w:szCs w:val="24"/>
        </w:rPr>
        <w:t>Implications for the White Paper's proposals</w:t>
      </w:r>
    </w:p>
    <w:p w:rsidR="005D25DD">
      <w:pPr>
        <w:spacing w:after="200" w:line="276" w:lineRule="auto"/>
      </w:pPr>
      <w:r>
        <w:rPr>
          <w:rFonts w:ascii="Calibri" w:eastAsia="Calibri" w:hAnsi="Calibri" w:cs="Calibri"/>
          <w:b/>
          <w:bCs/>
          <w:sz w:val="22"/>
          <w:szCs w:val="22"/>
        </w:rPr>
        <w:t xml:space="preserve">13. </w:t>
      </w:r>
      <w:r>
        <w:rPr>
          <w:rFonts w:ascii="Calibri" w:eastAsia="Calibri" w:hAnsi="Calibri" w:cs="Calibri"/>
          <w:sz w:val="22"/>
          <w:szCs w:val="22"/>
        </w:rPr>
        <w:t>Alternative Provision capacity is a practical lever, not just a destination. Because local AP capacity constrains how quickly a school can act once it has decided a pupil should be permanently excluded, any policy that changes the supply, funding or commissioning of AP places (including the White Paper's wider inclusion and specialist-provision reforms) will have knock-on consequences for how long peers remain exposed to disruptive behaviour before a resolution is reached. We would encourage the Committee t</w:t>
      </w:r>
      <w:r>
        <w:rPr>
          <w:rFonts w:ascii="Calibri" w:eastAsia="Calibri" w:hAnsi="Calibri" w:cs="Calibri"/>
          <w:sz w:val="22"/>
          <w:szCs w:val="22"/>
        </w:rPr>
        <w:t>o consider how proposed reforms to specialist and alternative provision capacity might affect the speed, rather than only the incidence, of behavioural interventions.</w:t>
      </w:r>
    </w:p>
    <w:p w:rsidR="005D25DD">
      <w:pPr>
        <w:spacing w:after="200" w:line="276" w:lineRule="auto"/>
      </w:pPr>
      <w:r>
        <w:rPr>
          <w:rFonts w:ascii="Calibri" w:eastAsia="Calibri" w:hAnsi="Calibri" w:cs="Calibri"/>
          <w:b/>
          <w:bCs/>
          <w:sz w:val="22"/>
          <w:szCs w:val="22"/>
        </w:rPr>
        <w:t xml:space="preserve">14. </w:t>
      </w:r>
      <w:r>
        <w:rPr>
          <w:rFonts w:ascii="Calibri" w:eastAsia="Calibri" w:hAnsi="Calibri" w:cs="Calibri"/>
          <w:sz w:val="22"/>
          <w:szCs w:val="22"/>
        </w:rPr>
        <w:t>Earlier identification and intervention ha</w:t>
      </w:r>
      <w:r>
        <w:rPr>
          <w:rFonts w:ascii="Calibri" w:eastAsia="Calibri" w:hAnsi="Calibri" w:cs="Calibri"/>
          <w:sz w:val="22"/>
          <w:szCs w:val="22"/>
        </w:rPr>
        <w:t>ve</w:t>
      </w:r>
      <w:r>
        <w:rPr>
          <w:rFonts w:ascii="Calibri" w:eastAsia="Calibri" w:hAnsi="Calibri" w:cs="Calibri"/>
          <w:sz w:val="22"/>
          <w:szCs w:val="22"/>
        </w:rPr>
        <w:t xml:space="preserve"> a measurable peer benefit. Our finding that the negative effects on peers rise sharply with the length of time disruptive behaviour has been allowed to persist supports the White Paper's emphasis on early identification and support for behavioural difficulty, since it suggests that the wider pupil body, not only the individual child, stands to benefit from earlier and more effective intervention.</w:t>
      </w:r>
    </w:p>
    <w:p w:rsidR="005D25DD">
      <w:pPr>
        <w:spacing w:after="200" w:line="276" w:lineRule="auto"/>
      </w:pPr>
      <w:r>
        <w:rPr>
          <w:rFonts w:ascii="Calibri" w:eastAsia="Calibri" w:hAnsi="Calibri" w:cs="Calibri"/>
          <w:b/>
          <w:bCs/>
          <w:sz w:val="22"/>
          <w:szCs w:val="22"/>
        </w:rPr>
        <w:t xml:space="preserve">15. </w:t>
      </w:r>
      <w:r>
        <w:rPr>
          <w:rFonts w:ascii="Calibri" w:eastAsia="Calibri" w:hAnsi="Calibri" w:cs="Calibri"/>
          <w:sz w:val="22"/>
          <w:szCs w:val="22"/>
        </w:rPr>
        <w:t>Our evidence speaks directly to the likely effectiveness of the White Paper's planned Attendance and Behaviour Hubs and Reintegration Support Partnerships. On reintegration, our findings are encouraging:</w:t>
      </w:r>
      <w:r>
        <w:rPr>
          <w:rFonts w:ascii="Calibri" w:eastAsia="Calibri" w:hAnsi="Calibri" w:cs="Calibri"/>
          <w:sz w:val="22"/>
          <w:szCs w:val="22"/>
        </w:rPr>
        <w:t xml:space="preserve"> under current practice, bringing previously excluded pupils back into a new mainstream school does not generate detectable negative spillovers for incumbent classmates' attainment, qualification completion, employment or NEET outcomes, even though reintegrated pupils tend to be placed in schools serving more disadvantaged intakes. This suggests that formalising reintegration through structured partnerships need not create new negative effects for peers, provided current practice, in which reintegration typ</w:t>
      </w:r>
      <w:r>
        <w:rPr>
          <w:rFonts w:ascii="Calibri" w:eastAsia="Calibri" w:hAnsi="Calibri" w:cs="Calibri"/>
          <w:sz w:val="22"/>
          <w:szCs w:val="22"/>
        </w:rPr>
        <w:t>ically follows some assessment of a pupil's readiness to return, is maintained. We would caution, however, that reintegration currently falls disproportionately on schools that already serve more disadvantaged pupils; the design of Reintegration Support Partnerships should therefore address the equity of how reintegration responsibilities are distributed across schools, not only the support provided once a pupil returns. On behaviour, our finding that the negative effects on peers accumulate the longer disr</w:t>
      </w:r>
      <w:r>
        <w:rPr>
          <w:rFonts w:ascii="Calibri" w:eastAsia="Calibri" w:hAnsi="Calibri" w:cs="Calibri"/>
          <w:sz w:val="22"/>
          <w:szCs w:val="22"/>
        </w:rPr>
        <w:t>uptive behaviour goes unresolved is consistent with the rationale for Attendance and Behaviour Hubs: sharing effective practice so that schools can act earlier is likely to reduce the negative effects on peers that we document, which arise predominantly from prolonged, unaddressed disruption rather than from the point of removal itself.</w:t>
      </w:r>
    </w:p>
    <w:p w:rsidR="005D25DD">
      <w:pPr>
        <w:spacing w:after="200" w:line="276" w:lineRule="auto"/>
      </w:pPr>
      <w:r>
        <w:rPr>
          <w:rFonts w:ascii="Calibri" w:eastAsia="Calibri" w:hAnsi="Calibri" w:cs="Calibri"/>
          <w:b/>
          <w:bCs/>
          <w:sz w:val="22"/>
          <w:szCs w:val="22"/>
        </w:rPr>
        <w:t xml:space="preserve">16. </w:t>
      </w:r>
      <w:r>
        <w:rPr>
          <w:rFonts w:ascii="Calibri" w:eastAsia="Calibri" w:hAnsi="Calibri" w:cs="Calibri"/>
          <w:sz w:val="22"/>
          <w:szCs w:val="22"/>
        </w:rPr>
        <w:t>Exclusion policy involves a genuine trade-off that should be made explicit. Our results should not be read as an argument for greater use of permanent exclusion. Excluded pupils themselves bear substantial and well-established long-term costs. Rather, our findings show that the negative consequences of inaction or delay are also real and fall on classmates, particularly disadvantaged ones. We would encourage the Committee to weigh both sides of this trade-off explicitly when assessing the balance</w:t>
      </w:r>
      <w:r>
        <w:rPr>
          <w:rFonts w:ascii="Calibri" w:eastAsia="Calibri" w:hAnsi="Calibri" w:cs="Calibri"/>
          <w:sz w:val="22"/>
          <w:szCs w:val="22"/>
        </w:rPr>
        <w:t xml:space="preserve"> the White Paper strikes between inclusion and classroom stability, and to consider whether the White Paper's proposed reforms (for example, to funding for inclusion and to specialist provision commissioning) are likely to shorten or lengthen the periods of exposure that drive the peer effects we identify.</w:t>
      </w:r>
    </w:p>
    <w:p w:rsidR="005D25DD">
      <w:pPr>
        <w:spacing w:after="200" w:line="276" w:lineRule="auto"/>
      </w:pPr>
      <w:r>
        <w:rPr>
          <w:rFonts w:ascii="Calibri" w:eastAsia="Calibri" w:hAnsi="Calibri" w:cs="Calibri"/>
          <w:b/>
          <w:bCs/>
          <w:sz w:val="22"/>
          <w:szCs w:val="22"/>
        </w:rPr>
        <w:t xml:space="preserve">17. </w:t>
      </w:r>
      <w:r>
        <w:rPr>
          <w:rFonts w:ascii="Calibri" w:eastAsia="Calibri" w:hAnsi="Calibri" w:cs="Calibri"/>
          <w:sz w:val="22"/>
          <w:szCs w:val="22"/>
        </w:rPr>
        <w:t>Better data on disruptive behaviour, not just exclusion counts, would aid policy design. Our analysis relies on suspension days and unauthorised absences as proxies for the severity of disruptive behaviour ahead of exclusion. More systematic national recording of behavioural incidents prior to exclusion</w:t>
      </w:r>
      <w:r>
        <w:rPr>
          <w:rFonts w:ascii="Calibri" w:eastAsia="Calibri" w:hAnsi="Calibri" w:cs="Calibri"/>
          <w:sz w:val="22"/>
          <w:szCs w:val="22"/>
        </w:rPr>
        <w:t xml:space="preserve"> </w:t>
      </w:r>
      <w:r>
        <w:rPr>
          <w:rFonts w:ascii="Calibri" w:eastAsia="Calibri" w:hAnsi="Calibri" w:cs="Calibri"/>
          <w:sz w:val="22"/>
          <w:szCs w:val="22"/>
        </w:rPr>
        <w:t>would strengthen the evidence base available to schools and policymakers seeking to judge when intervention is most needed.</w:t>
      </w:r>
    </w:p>
    <w:p w:rsidR="005D25DD">
      <w:pPr>
        <w:pStyle w:val="Heading2"/>
        <w:spacing w:before="300" w:after="150"/>
      </w:pPr>
      <w:r>
        <w:rPr>
          <w:rFonts w:ascii="Calibri" w:eastAsia="Calibri" w:hAnsi="Calibri" w:cs="Calibri"/>
          <w:b/>
          <w:bCs/>
          <w:sz w:val="24"/>
          <w:szCs w:val="24"/>
        </w:rPr>
        <w:t>Methodological note</w:t>
      </w:r>
    </w:p>
    <w:p w:rsidR="005D25DD">
      <w:pPr>
        <w:spacing w:after="200" w:line="276" w:lineRule="auto"/>
      </w:pPr>
      <w:r>
        <w:rPr>
          <w:rFonts w:ascii="Calibri" w:eastAsia="Calibri" w:hAnsi="Calibri" w:cs="Calibri"/>
          <w:b/>
          <w:bCs/>
          <w:sz w:val="22"/>
          <w:szCs w:val="22"/>
        </w:rPr>
        <w:t xml:space="preserve">18. </w:t>
      </w:r>
      <w:r>
        <w:rPr>
          <w:rFonts w:ascii="Calibri" w:eastAsia="Calibri" w:hAnsi="Calibri" w:cs="Calibri"/>
          <w:sz w:val="22"/>
          <w:szCs w:val="22"/>
        </w:rPr>
        <w:t xml:space="preserve">Our exclusion-timing estimates are based on data covering over two million pupils across four cohorts of English secondary school leavers completing Key Stage 4 between 2014 and 2017, linked through to outcomes at age 21. We address the endogeneity of exclusion decisions using an instrumental-variables strategy based on exogenous, leave-one-out changes in local AP filled </w:t>
      </w:r>
      <w:r>
        <w:rPr>
          <w:rFonts w:ascii="Calibri" w:eastAsia="Calibri" w:hAnsi="Calibri" w:cs="Calibri"/>
          <w:sz w:val="22"/>
          <w:szCs w:val="22"/>
        </w:rPr>
        <w:t>capacity, which we show to be a strong predictor of school-level exclusion rates (first-stage F-statistics of 30-70 across year groups) wh</w:t>
      </w:r>
      <w:r>
        <w:rPr>
          <w:rFonts w:ascii="Calibri" w:eastAsia="Calibri" w:hAnsi="Calibri" w:cs="Calibri"/>
          <w:sz w:val="22"/>
          <w:szCs w:val="22"/>
        </w:rPr>
        <w:t xml:space="preserve">ile satisfying a plausible exclusion restriction, since non-excluded pupils do not themselves attend AP settings. The results are robust to an alternative spatial </w:t>
      </w:r>
      <w:r>
        <w:rPr>
          <w:rFonts w:ascii="Calibri" w:eastAsia="Calibri" w:hAnsi="Calibri" w:cs="Calibri"/>
          <w:sz w:val="22"/>
          <w:szCs w:val="22"/>
        </w:rPr>
        <w:t>definition of the instrument, to restricting the sample to smaller schools, to restricting the sample to cohorts with evidence of behavioural difficulty, and to a joint specification across year groups, and pass a series of placebo tests using future instrument values, cross-cohort exclusions and predetermined pupil characteristics. Our reintegration analysis uses a separate, wider set of cohorts, covering pupils completing Key Stage 4 between 2011 and 2017, and instruments reintegration exposure using leav</w:t>
      </w:r>
      <w:r>
        <w:rPr>
          <w:rFonts w:ascii="Calibri" w:eastAsia="Calibri" w:hAnsi="Calibri" w:cs="Calibri"/>
          <w:sz w:val="22"/>
          <w:szCs w:val="22"/>
        </w:rPr>
        <w:t>e-one-out changes in exclusion activity among nearby schools, since England's Fair Access Protocol makes local reintegration pressure a function of exclusion decisions elsewhere in the area rather than of the receiving school's own characteristics. One limitation worth noting is that, because the National Pupil Database does not identify which pupils share a classroom, our analysis defines peers at the level of the whole school-year cohort rather than the individual class. Pupils in a large secondary school</w:t>
      </w:r>
      <w:r>
        <w:rPr>
          <w:rFonts w:ascii="Calibri" w:eastAsia="Calibri" w:hAnsi="Calibri" w:cs="Calibri"/>
          <w:sz w:val="22"/>
          <w:szCs w:val="22"/>
        </w:rPr>
        <w:t xml:space="preserve"> year group will typically share some, but not all, classes with an excluded pupil, so our estimates likely understate the effect on the classmates who interact with them most </w:t>
      </w:r>
      <w:r>
        <w:rPr>
          <w:rFonts w:ascii="Calibri" w:eastAsia="Calibri" w:hAnsi="Calibri" w:cs="Calibri"/>
          <w:sz w:val="22"/>
          <w:szCs w:val="22"/>
        </w:rPr>
        <w:t>closely, and should be regarded as a lower-bound estimate of the true classroom-level effect.</w:t>
      </w:r>
    </w:p>
    <w:p w:rsidR="005D25DD">
      <w:pPr>
        <w:pStyle w:val="Heading2"/>
        <w:spacing w:before="300" w:after="150"/>
      </w:pPr>
      <w:r>
        <w:rPr>
          <w:rFonts w:ascii="Calibri" w:eastAsia="Calibri" w:hAnsi="Calibri" w:cs="Calibri"/>
          <w:b/>
          <w:bCs/>
          <w:sz w:val="24"/>
          <w:szCs w:val="24"/>
        </w:rPr>
        <w:t>Conclusion</w:t>
      </w:r>
    </w:p>
    <w:p w:rsidR="005D25DD">
      <w:pPr>
        <w:spacing w:after="200" w:line="276" w:lineRule="auto"/>
      </w:pPr>
      <w:r>
        <w:rPr>
          <w:rFonts w:ascii="Calibri" w:eastAsia="Calibri" w:hAnsi="Calibri" w:cs="Calibri"/>
          <w:b/>
          <w:bCs/>
          <w:sz w:val="22"/>
          <w:szCs w:val="22"/>
        </w:rPr>
        <w:t xml:space="preserve">19. </w:t>
      </w:r>
      <w:r>
        <w:rPr>
          <w:rFonts w:ascii="Calibri" w:eastAsia="Calibri" w:hAnsi="Calibri" w:cs="Calibri"/>
          <w:sz w:val="22"/>
          <w:szCs w:val="22"/>
        </w:rPr>
        <w:t>We would be glad to provide the Committee with further detail on our methodology and results, including our forthcoming full report on exclusion timing and reintegration (due for publication in summer 2026), should this be helpful to the inquiry.</w:t>
      </w:r>
    </w:p>
    <w:p w:rsidR="005D25DD">
      <w:pPr>
        <w:spacing w:before="400"/>
      </w:pPr>
    </w:p>
    <w:p w:rsidR="005D25DD">
      <w:pPr>
        <w:pStyle w:val="Heading2"/>
        <w:spacing w:before="300" w:after="150"/>
      </w:pPr>
      <w:r>
        <w:rPr>
          <w:rFonts w:ascii="Calibri" w:eastAsia="Calibri" w:hAnsi="Calibri" w:cs="Calibri"/>
          <w:b/>
          <w:bCs/>
          <w:sz w:val="24"/>
          <w:szCs w:val="24"/>
        </w:rPr>
        <w:t>References</w:t>
      </w:r>
    </w:p>
    <w:p w:rsidR="005D25DD">
      <w:pPr>
        <w:spacing w:after="200" w:line="276" w:lineRule="auto"/>
      </w:pPr>
      <w:r>
        <w:rPr>
          <w:rFonts w:ascii="Calibri" w:eastAsia="Calibri" w:hAnsi="Calibri" w:cs="Calibri"/>
          <w:sz w:val="22"/>
          <w:szCs w:val="22"/>
        </w:rPr>
        <w:t>Dorsett, R., Oppedisano, V., Thomson, D. and Zhang, M. (2026). "The Timing of School Exclusions and Its Consequences for Peers' Outcomes." IZA Discussion Paper No. 18599.</w:t>
      </w:r>
    </w:p>
    <w:p w:rsidR="005D25DD">
      <w:pPr>
        <w:spacing w:after="200" w:line="276" w:lineRule="auto"/>
      </w:pPr>
      <w:r>
        <w:rPr>
          <w:rFonts w:ascii="Calibri" w:eastAsia="Calibri" w:hAnsi="Calibri" w:cs="Calibri"/>
          <w:sz w:val="22"/>
          <w:szCs w:val="22"/>
        </w:rPr>
        <w:t>Available at: https://www.iza.org/publications/dp/18599/the-timing-of-school-exclusions-and-its-consequences-for-peers-outcomes</w:t>
      </w:r>
    </w:p>
    <w:p w:rsidR="005D25DD">
      <w:pPr>
        <w:spacing w:after="200" w:line="276" w:lineRule="auto"/>
      </w:pPr>
      <w:r>
        <w:rPr>
          <w:rFonts w:ascii="Calibri" w:eastAsia="Calibri" w:hAnsi="Calibri" w:cs="Calibri"/>
          <w:sz w:val="22"/>
          <w:szCs w:val="22"/>
        </w:rPr>
        <w:t>Oppedisano, V. and Thomson, D. (2026). "When is it too late? What exclusions tell us about classroom disruption." FFT Education Datalab blog, 19 May 2026.</w:t>
      </w:r>
    </w:p>
    <w:p w:rsidR="005D25DD">
      <w:pPr>
        <w:spacing w:after="200" w:line="276" w:lineRule="auto"/>
      </w:pPr>
      <w:r>
        <w:rPr>
          <w:rFonts w:ascii="Calibri" w:eastAsia="Calibri" w:hAnsi="Calibri" w:cs="Calibri"/>
          <w:sz w:val="22"/>
          <w:szCs w:val="22"/>
        </w:rPr>
        <w:t>Available at: https://ffteducationdatalab.org.uk/2026/05/when-is-it-too-late-what-exclusions-tell-us-about-classroom-disruption/</w:t>
      </w:r>
    </w:p>
    <w:p w:rsidR="005D25DD">
      <w:pPr>
        <w:spacing w:after="200" w:line="276" w:lineRule="auto"/>
      </w:pPr>
      <w:r>
        <w:rPr>
          <w:rFonts w:ascii="Calibri" w:eastAsia="Calibri" w:hAnsi="Calibri" w:cs="Calibri"/>
          <w:sz w:val="22"/>
          <w:szCs w:val="22"/>
        </w:rPr>
        <w:t>Buchmueller, G., Cathro, C., Dorsett, R., Oppedisano, V., Sutherland, A. and Tagliaferri, G. (2026). "School Exclusion and Youth Custody." Journal of Quantitative Criminology, 42(2), 335-362.</w:t>
      </w:r>
    </w:p>
    <w:p w:rsidR="005D25DD">
      <w:pPr>
        <w:spacing w:after="200" w:line="276" w:lineRule="auto"/>
      </w:pPr>
      <w:r>
        <w:rPr>
          <w:rFonts w:ascii="Calibri" w:eastAsia="Calibri" w:hAnsi="Calibri" w:cs="Calibri"/>
          <w:sz w:val="22"/>
          <w:szCs w:val="22"/>
        </w:rPr>
        <w:t>Available at: https://doi.org/10.1007/s10940-025-09626-6</w:t>
      </w:r>
    </w:p>
    <w:p w:rsidR="005D25DD">
      <w:pPr>
        <w:spacing w:after="200" w:line="276" w:lineRule="auto"/>
      </w:pPr>
      <w:r>
        <w:rPr>
          <w:rFonts w:ascii="Calibri" w:eastAsia="Calibri" w:hAnsi="Calibri" w:cs="Calibri"/>
          <w:sz w:val="22"/>
          <w:szCs w:val="22"/>
        </w:rPr>
        <w:t>Dorsett, R., Gorman, E., Morando, G., Oppedisano, V., Thomson, D. and Zhang, M. (2026). "Peer Quality and Youth Custody." University of Westminster. Unpublished working paper</w:t>
      </w:r>
      <w:r>
        <w:rPr>
          <w:rFonts w:ascii="Calibri" w:eastAsia="Calibri" w:hAnsi="Calibri" w:cs="Calibri"/>
          <w:sz w:val="22"/>
          <w:szCs w:val="22"/>
        </w:rPr>
        <w:t xml:space="preserve"> under revision.</w:t>
      </w:r>
    </w:p>
    <w:p w:rsidR="005D25DD">
      <w:pPr>
        <w:pStyle w:val="Heading2"/>
        <w:spacing w:before="300" w:after="150"/>
      </w:pPr>
      <w:r>
        <w:rPr>
          <w:rFonts w:ascii="Calibri" w:eastAsia="Calibri" w:hAnsi="Calibri" w:cs="Calibri"/>
          <w:b/>
          <w:bCs/>
          <w:sz w:val="24"/>
          <w:szCs w:val="24"/>
        </w:rPr>
        <w:t>Acknowledgements</w:t>
      </w:r>
    </w:p>
    <w:p w:rsidR="005D25DD">
      <w:pPr>
        <w:spacing w:after="200" w:line="276" w:lineRule="auto"/>
        <w:rPr>
          <w:rFonts w:ascii="Calibri" w:eastAsia="Calibri" w:hAnsi="Calibri" w:cs="Calibri"/>
          <w:sz w:val="22"/>
          <w:szCs w:val="22"/>
        </w:rPr>
      </w:pPr>
      <w:r>
        <w:rPr>
          <w:rFonts w:ascii="Calibri" w:eastAsia="Calibri" w:hAnsi="Calibri" w:cs="Calibri"/>
          <w:sz w:val="22"/>
          <w:szCs w:val="22"/>
        </w:rPr>
        <w:t xml:space="preserve">This research has been funded by the Nuffield Foundation, but the views expressed are those of the authors and not necessarily the Foundation. Visit www.nuffieldfoundation.org. The underlying </w:t>
      </w:r>
      <w:r>
        <w:rPr>
          <w:rFonts w:ascii="Calibri" w:eastAsia="Calibri" w:hAnsi="Calibri" w:cs="Calibri"/>
          <w:sz w:val="22"/>
          <w:szCs w:val="22"/>
        </w:rPr>
        <w:t>analysis was produced using statistical data from the Office for National Statistics (ONS) and administrative data from the Department for Education (National Pupil Database and Longitudinal Education Outcomes dataset); this does not imply the endorsement of the ONS or the Department for Education in relation to the interpretation or analysis of the data.</w:t>
      </w:r>
    </w:p>
    <w:p w:rsidR="00A5465D" w:rsidRPr="00A5465D">
      <w:pPr>
        <w:spacing w:after="200" w:line="276" w:lineRule="auto"/>
        <w:rPr>
          <w:i/>
          <w:iCs/>
        </w:rPr>
      </w:pPr>
      <w:r w:rsidRPr="00A5465D">
        <w:rPr>
          <w:rFonts w:ascii="Calibri" w:eastAsia="Calibri" w:hAnsi="Calibri" w:cs="Calibri"/>
          <w:i/>
          <w:iCs/>
          <w:sz w:val="22"/>
          <w:szCs w:val="22"/>
        </w:rPr>
        <w:t>August 2026</w:t>
      </w:r>
    </w:p>
    <w:sectPr>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B2050C6"/>
    <w:multiLevelType w:val="hybridMultilevel"/>
    <w:tmpl w:val="F3B4D758"/>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ECA0009</dc:title>
  <cp:revision>0</cp:revision>
</cp:coreProperties>
</file>