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42CA" w:rsidRPr="00E95B2E" w:rsidP="00B4187B">
      <w:pPr>
        <w:spacing w:after="0" w:line="288" w:lineRule="auto"/>
        <w:rPr>
          <w:rFonts w:ascii="Verdana" w:hAnsi="Verdana" w:cs="Arial"/>
          <w:b/>
          <w:bCs/>
          <w:sz w:val="28"/>
          <w:szCs w:val="28"/>
        </w:rPr>
      </w:pPr>
      <w:r w:rsidRPr="00E95B2E">
        <w:rPr>
          <w:rFonts w:ascii="Verdana" w:hAnsi="Verdana" w:cs="Arial"/>
          <w:b/>
          <w:bCs/>
          <w:sz w:val="28"/>
          <w:szCs w:val="28"/>
        </w:rPr>
        <w:t>Written evidence from the Department of Health and Social Care (PMA0123)</w:t>
      </w:r>
    </w:p>
    <w:p w:rsidR="00814FAD" w:rsidRPr="00B4187B" w:rsidP="005969D0">
      <w:pPr>
        <w:spacing w:after="0" w:line="288" w:lineRule="auto"/>
        <w:rPr>
          <w:rFonts w:ascii="Verdana" w:hAnsi="Verdana" w:cs="Arial"/>
          <w:i/>
          <w:iCs/>
        </w:rPr>
      </w:pPr>
    </w:p>
    <w:p w:rsidR="00E86E16" w:rsidRPr="00B4187B" w:rsidP="005969D0">
      <w:pPr>
        <w:spacing w:after="0" w:line="288" w:lineRule="auto"/>
        <w:rPr>
          <w:rFonts w:ascii="Verdana" w:hAnsi="Verdana" w:cs="Arial"/>
          <w:i/>
          <w:iCs/>
        </w:rPr>
      </w:pPr>
      <w:r w:rsidRPr="00B4187B">
        <w:rPr>
          <w:rFonts w:ascii="Verdana" w:hAnsi="Verdana" w:cs="Arial"/>
          <w:i/>
          <w:iCs/>
        </w:rPr>
        <w:t>This submission of evidence amalgamates input from the Office for Life Sciences (OLS) and NHS England</w:t>
      </w:r>
      <w:r w:rsidRPr="00B4187B" w:rsidR="002018A4">
        <w:rPr>
          <w:rFonts w:ascii="Verdana" w:hAnsi="Verdana" w:cs="Arial"/>
          <w:i/>
          <w:iCs/>
        </w:rPr>
        <w:t xml:space="preserve">’s Genomics Unit, Specialised Commissioning, Data &amp; Analytics, </w:t>
      </w:r>
      <w:r w:rsidRPr="00B4187B" w:rsidR="005B28D5">
        <w:rPr>
          <w:rFonts w:ascii="Verdana" w:hAnsi="Verdana" w:cs="Arial"/>
          <w:i/>
          <w:iCs/>
        </w:rPr>
        <w:t xml:space="preserve">Chief Technology Officer </w:t>
      </w:r>
      <w:r w:rsidRPr="00B4187B" w:rsidR="006731C3">
        <w:rPr>
          <w:rFonts w:ascii="Verdana" w:hAnsi="Verdana" w:cs="Arial"/>
          <w:i/>
          <w:iCs/>
        </w:rPr>
        <w:t xml:space="preserve">(CTO) </w:t>
      </w:r>
      <w:r w:rsidRPr="00B4187B" w:rsidR="005B28D5">
        <w:rPr>
          <w:rFonts w:ascii="Verdana" w:hAnsi="Verdana" w:cs="Arial"/>
          <w:i/>
          <w:iCs/>
        </w:rPr>
        <w:t>and Innovation, Research, Life Sciences</w:t>
      </w:r>
      <w:r w:rsidRPr="00B4187B" w:rsidR="006731C3">
        <w:rPr>
          <w:rFonts w:ascii="Verdana" w:hAnsi="Verdana" w:cs="Arial"/>
          <w:i/>
          <w:iCs/>
        </w:rPr>
        <w:t xml:space="preserve"> &amp; Strategy (IRLSS) teams.</w:t>
      </w:r>
    </w:p>
    <w:p w:rsidR="00871588" w:rsidRPr="00B4187B" w:rsidP="005969D0">
      <w:pPr>
        <w:spacing w:after="0" w:line="288" w:lineRule="auto"/>
        <w:rPr>
          <w:rFonts w:ascii="Verdana" w:hAnsi="Verdana" w:cs="Arial"/>
          <w:i/>
          <w:iCs/>
        </w:rPr>
      </w:pPr>
    </w:p>
    <w:p w:rsidR="009106F3" w:rsidRPr="00B4187B" w:rsidP="005969D0">
      <w:pPr>
        <w:spacing w:after="0" w:line="288" w:lineRule="auto"/>
        <w:rPr>
          <w:rFonts w:ascii="Verdana" w:hAnsi="Verdana" w:cs="Arial"/>
          <w:i/>
          <w:iCs/>
        </w:rPr>
      </w:pPr>
      <w:r w:rsidRPr="00B4187B">
        <w:rPr>
          <w:rFonts w:ascii="Verdana" w:hAnsi="Verdana" w:cs="Arial"/>
          <w:i/>
          <w:iCs/>
        </w:rPr>
        <w:t>In response to the long-standing barriers to adoption and deployment of innovation in the NHS, the 10 Y</w:t>
      </w:r>
      <w:r w:rsidRPr="00B4187B" w:rsidR="0048174D">
        <w:rPr>
          <w:rFonts w:ascii="Verdana" w:hAnsi="Verdana" w:cs="Arial"/>
          <w:i/>
          <w:iCs/>
        </w:rPr>
        <w:t xml:space="preserve">ear </w:t>
      </w:r>
      <w:r w:rsidRPr="00B4187B">
        <w:rPr>
          <w:rFonts w:ascii="Verdana" w:hAnsi="Verdana" w:cs="Arial"/>
          <w:i/>
          <w:iCs/>
        </w:rPr>
        <w:t>H</w:t>
      </w:r>
      <w:r w:rsidRPr="00B4187B" w:rsidR="0048174D">
        <w:rPr>
          <w:rFonts w:ascii="Verdana" w:hAnsi="Verdana" w:cs="Arial"/>
          <w:i/>
          <w:iCs/>
        </w:rPr>
        <w:t xml:space="preserve">ealth </w:t>
      </w:r>
      <w:r w:rsidRPr="00B4187B">
        <w:rPr>
          <w:rFonts w:ascii="Verdana" w:hAnsi="Verdana" w:cs="Arial"/>
          <w:i/>
          <w:iCs/>
        </w:rPr>
        <w:t>P</w:t>
      </w:r>
      <w:r w:rsidRPr="00B4187B" w:rsidR="0048174D">
        <w:rPr>
          <w:rFonts w:ascii="Verdana" w:hAnsi="Verdana" w:cs="Arial"/>
          <w:i/>
          <w:iCs/>
        </w:rPr>
        <w:t>lan</w:t>
      </w:r>
      <w:r w:rsidRPr="00B4187B">
        <w:rPr>
          <w:rFonts w:ascii="Verdana" w:hAnsi="Verdana" w:cs="Arial"/>
          <w:i/>
          <w:iCs/>
        </w:rPr>
        <w:t xml:space="preserve"> and the L</w:t>
      </w:r>
      <w:r w:rsidRPr="00B4187B" w:rsidR="0048174D">
        <w:rPr>
          <w:rFonts w:ascii="Verdana" w:hAnsi="Verdana" w:cs="Arial"/>
          <w:i/>
          <w:iCs/>
        </w:rPr>
        <w:t xml:space="preserve">ife </w:t>
      </w:r>
      <w:r w:rsidRPr="00B4187B">
        <w:rPr>
          <w:rFonts w:ascii="Verdana" w:hAnsi="Verdana" w:cs="Arial"/>
          <w:i/>
          <w:iCs/>
        </w:rPr>
        <w:t>S</w:t>
      </w:r>
      <w:r w:rsidRPr="00B4187B" w:rsidR="0048174D">
        <w:rPr>
          <w:rFonts w:ascii="Verdana" w:hAnsi="Verdana" w:cs="Arial"/>
          <w:i/>
          <w:iCs/>
        </w:rPr>
        <w:t xml:space="preserve">ciences </w:t>
      </w:r>
      <w:r w:rsidRPr="00B4187B">
        <w:rPr>
          <w:rFonts w:ascii="Verdana" w:hAnsi="Verdana" w:cs="Arial"/>
          <w:i/>
          <w:iCs/>
        </w:rPr>
        <w:t>S</w:t>
      </w:r>
      <w:r w:rsidRPr="00B4187B" w:rsidR="0048174D">
        <w:rPr>
          <w:rFonts w:ascii="Verdana" w:hAnsi="Verdana" w:cs="Arial"/>
          <w:i/>
          <w:iCs/>
        </w:rPr>
        <w:t xml:space="preserve">ector </w:t>
      </w:r>
      <w:r w:rsidRPr="00B4187B">
        <w:rPr>
          <w:rFonts w:ascii="Verdana" w:hAnsi="Verdana" w:cs="Arial"/>
          <w:i/>
          <w:iCs/>
        </w:rPr>
        <w:t>P</w:t>
      </w:r>
      <w:r w:rsidRPr="00B4187B" w:rsidR="0048174D">
        <w:rPr>
          <w:rFonts w:ascii="Verdana" w:hAnsi="Verdana" w:cs="Arial"/>
          <w:i/>
          <w:iCs/>
        </w:rPr>
        <w:t>lan (LSSP)</w:t>
      </w:r>
      <w:r w:rsidRPr="00B4187B">
        <w:rPr>
          <w:rFonts w:ascii="Verdana" w:hAnsi="Verdana" w:cs="Arial"/>
          <w:i/>
          <w:iCs/>
        </w:rPr>
        <w:t>, include important recommendations and actions:</w:t>
      </w:r>
    </w:p>
    <w:p w:rsidR="009106F3" w:rsidRPr="00B4187B" w:rsidP="005969D0">
      <w:pPr>
        <w:pStyle w:val="ListParagraph"/>
        <w:numPr>
          <w:ilvl w:val="1"/>
          <w:numId w:val="18"/>
        </w:numPr>
        <w:spacing w:after="0" w:line="288" w:lineRule="auto"/>
        <w:rPr>
          <w:rFonts w:ascii="Verdana" w:hAnsi="Verdana" w:cs="Arial"/>
          <w:i/>
          <w:iCs/>
        </w:rPr>
      </w:pPr>
      <w:r w:rsidRPr="00B4187B">
        <w:rPr>
          <w:rFonts w:ascii="Verdana" w:hAnsi="Verdana" w:cs="Arial"/>
          <w:i/>
          <w:iCs/>
        </w:rPr>
        <w:t xml:space="preserve">Clear national pathways and commissioning for medtech that will reduce duplication in assessment and provide clear routes to market through the National </w:t>
      </w:r>
      <w:r w:rsidRPr="00B4187B">
        <w:rPr>
          <w:rFonts w:ascii="Verdana" w:hAnsi="Verdana" w:cs="Arial"/>
          <w:i/>
          <w:iCs/>
        </w:rPr>
        <w:t>Healthtech</w:t>
      </w:r>
      <w:r w:rsidRPr="00B4187B">
        <w:rPr>
          <w:rFonts w:ascii="Verdana" w:hAnsi="Verdana" w:cs="Arial"/>
          <w:i/>
          <w:iCs/>
        </w:rPr>
        <w:t xml:space="preserve"> Access Pathway and the Innovator Passport</w:t>
      </w:r>
    </w:p>
    <w:p w:rsidR="009106F3" w:rsidRPr="00B4187B" w:rsidP="005969D0">
      <w:pPr>
        <w:pStyle w:val="ListParagraph"/>
        <w:numPr>
          <w:ilvl w:val="1"/>
          <w:numId w:val="18"/>
        </w:numPr>
        <w:spacing w:after="0" w:line="288" w:lineRule="auto"/>
        <w:rPr>
          <w:rFonts w:ascii="Verdana" w:hAnsi="Verdana" w:cs="Arial"/>
          <w:i/>
          <w:iCs/>
        </w:rPr>
      </w:pPr>
      <w:r w:rsidRPr="00B4187B">
        <w:rPr>
          <w:rFonts w:ascii="Verdana" w:hAnsi="Verdana" w:cs="Arial"/>
          <w:i/>
          <w:iCs/>
        </w:rPr>
        <w:t>Strengthened regional adoption infrastructure —through the Health Innovation Networks and clear roles and responsibilities for NHS regions, ICBs and Providers as set out in the Model Region and ICB documents.</w:t>
      </w:r>
    </w:p>
    <w:p w:rsidR="009106F3" w:rsidRPr="00B4187B" w:rsidP="005969D0">
      <w:pPr>
        <w:pStyle w:val="ListParagraph"/>
        <w:numPr>
          <w:ilvl w:val="1"/>
          <w:numId w:val="18"/>
        </w:numPr>
        <w:spacing w:after="0" w:line="288" w:lineRule="auto"/>
        <w:rPr>
          <w:rFonts w:ascii="Verdana" w:hAnsi="Verdana" w:cs="Arial"/>
          <w:i/>
          <w:iCs/>
        </w:rPr>
      </w:pPr>
      <w:r w:rsidRPr="00B4187B">
        <w:rPr>
          <w:rFonts w:ascii="Verdana" w:hAnsi="Verdana" w:cs="Arial"/>
          <w:i/>
          <w:iCs/>
        </w:rPr>
        <w:t xml:space="preserve">New </w:t>
      </w:r>
      <w:r w:rsidRPr="00B4187B" w:rsidR="0062395B">
        <w:rPr>
          <w:rFonts w:ascii="Verdana" w:hAnsi="Verdana" w:cs="Arial"/>
          <w:i/>
          <w:iCs/>
        </w:rPr>
        <w:t xml:space="preserve">procurement routes and </w:t>
      </w:r>
      <w:r w:rsidRPr="00B4187B">
        <w:rPr>
          <w:rFonts w:ascii="Verdana" w:hAnsi="Verdana" w:cs="Arial"/>
          <w:i/>
          <w:iCs/>
        </w:rPr>
        <w:t>commercial frameworks that better align financial incentives that reward adoption and share risk between industry, NHS, and government</w:t>
      </w:r>
    </w:p>
    <w:p w:rsidR="009106F3" w:rsidRPr="00B4187B" w:rsidP="005969D0">
      <w:pPr>
        <w:pStyle w:val="ListParagraph"/>
        <w:numPr>
          <w:ilvl w:val="1"/>
          <w:numId w:val="18"/>
        </w:numPr>
        <w:spacing w:after="0" w:line="288" w:lineRule="auto"/>
        <w:rPr>
          <w:rFonts w:ascii="Verdana" w:hAnsi="Verdana" w:cs="Arial"/>
          <w:i/>
          <w:iCs/>
        </w:rPr>
      </w:pPr>
      <w:r w:rsidRPr="00B4187B">
        <w:rPr>
          <w:rFonts w:ascii="Verdana" w:hAnsi="Verdana" w:cs="Arial"/>
          <w:i/>
          <w:iCs/>
        </w:rPr>
        <w:t>Improved NHS data access and real-world evidence frameworks, enabling faster post-market evaluation and spread through the</w:t>
      </w:r>
      <w:r w:rsidRPr="00B4187B" w:rsidR="00CD1C86">
        <w:rPr>
          <w:rFonts w:ascii="Verdana" w:hAnsi="Verdana" w:cs="Arial"/>
          <w:i/>
          <w:iCs/>
        </w:rPr>
        <w:t xml:space="preserve"> Health Data Research Service</w:t>
      </w:r>
      <w:r w:rsidRPr="00B4187B">
        <w:rPr>
          <w:rFonts w:ascii="Verdana" w:hAnsi="Verdana" w:cs="Arial"/>
          <w:i/>
          <w:iCs/>
        </w:rPr>
        <w:t xml:space="preserve"> </w:t>
      </w:r>
      <w:r w:rsidRPr="00B4187B" w:rsidR="00CD1C86">
        <w:rPr>
          <w:rFonts w:ascii="Verdana" w:hAnsi="Verdana" w:cs="Arial"/>
          <w:i/>
          <w:iCs/>
        </w:rPr>
        <w:t>(</w:t>
      </w:r>
      <w:r w:rsidRPr="00B4187B">
        <w:rPr>
          <w:rFonts w:ascii="Verdana" w:hAnsi="Verdana" w:cs="Arial"/>
          <w:i/>
          <w:iCs/>
        </w:rPr>
        <w:t>HDRS</w:t>
      </w:r>
      <w:r w:rsidRPr="00B4187B" w:rsidR="00CD1C86">
        <w:rPr>
          <w:rFonts w:ascii="Verdana" w:hAnsi="Verdana" w:cs="Arial"/>
          <w:i/>
          <w:iCs/>
        </w:rPr>
        <w:t>)</w:t>
      </w:r>
      <w:r w:rsidRPr="00B4187B">
        <w:rPr>
          <w:rFonts w:ascii="Verdana" w:hAnsi="Verdana" w:cs="Arial"/>
          <w:i/>
          <w:iCs/>
        </w:rPr>
        <w:t xml:space="preserve"> and the </w:t>
      </w:r>
      <w:r w:rsidRPr="00B4187B" w:rsidR="0025218F">
        <w:rPr>
          <w:rFonts w:ascii="Verdana" w:hAnsi="Verdana" w:cs="Arial"/>
          <w:i/>
          <w:iCs/>
        </w:rPr>
        <w:t>Secure Data Environment (SDE)</w:t>
      </w:r>
      <w:r w:rsidRPr="00B4187B">
        <w:rPr>
          <w:rFonts w:ascii="Verdana" w:hAnsi="Verdana" w:cs="Arial"/>
          <w:i/>
          <w:iCs/>
        </w:rPr>
        <w:t xml:space="preserve"> Network.</w:t>
      </w:r>
    </w:p>
    <w:p w:rsidR="009106F3" w:rsidRPr="00B4187B" w:rsidP="005969D0">
      <w:pPr>
        <w:pStyle w:val="ListParagraph"/>
        <w:numPr>
          <w:ilvl w:val="1"/>
          <w:numId w:val="18"/>
        </w:numPr>
        <w:spacing w:after="0" w:line="288" w:lineRule="auto"/>
        <w:rPr>
          <w:rFonts w:ascii="Verdana" w:hAnsi="Verdana" w:cs="Arial"/>
          <w:i/>
          <w:iCs/>
        </w:rPr>
      </w:pPr>
      <w:r w:rsidRPr="00B4187B">
        <w:rPr>
          <w:rFonts w:ascii="Verdana" w:hAnsi="Verdana" w:cs="Arial"/>
          <w:i/>
          <w:iCs/>
        </w:rPr>
        <w:t>Stable, multi-year innovation funding rather than short-term project-based investment through the most recent S</w:t>
      </w:r>
      <w:r w:rsidRPr="00B4187B" w:rsidR="00D22969">
        <w:rPr>
          <w:rFonts w:ascii="Verdana" w:hAnsi="Verdana" w:cs="Arial"/>
          <w:i/>
          <w:iCs/>
        </w:rPr>
        <w:t>pending Review (SR)</w:t>
      </w:r>
      <w:r w:rsidRPr="00B4187B">
        <w:rPr>
          <w:rFonts w:ascii="Verdana" w:hAnsi="Verdana" w:cs="Arial"/>
          <w:i/>
          <w:iCs/>
        </w:rPr>
        <w:t xml:space="preserve"> which provided multi</w:t>
      </w:r>
      <w:r w:rsidRPr="00B4187B" w:rsidR="0062395B">
        <w:rPr>
          <w:rFonts w:ascii="Verdana" w:hAnsi="Verdana" w:cs="Arial"/>
          <w:i/>
          <w:iCs/>
        </w:rPr>
        <w:t>-</w:t>
      </w:r>
      <w:r w:rsidRPr="00B4187B">
        <w:rPr>
          <w:rFonts w:ascii="Verdana" w:hAnsi="Verdana" w:cs="Arial"/>
          <w:i/>
          <w:iCs/>
        </w:rPr>
        <w:t>year budgets.</w:t>
      </w:r>
    </w:p>
    <w:p w:rsidR="00D22969" w:rsidRPr="00B4187B" w:rsidP="005969D0">
      <w:pPr>
        <w:pStyle w:val="ListParagraph"/>
        <w:numPr>
          <w:ilvl w:val="1"/>
          <w:numId w:val="18"/>
        </w:numPr>
        <w:spacing w:after="0" w:line="288" w:lineRule="auto"/>
        <w:rPr>
          <w:rFonts w:ascii="Verdana" w:hAnsi="Verdana" w:cs="Arial"/>
          <w:i/>
          <w:iCs/>
        </w:rPr>
      </w:pPr>
      <w:r w:rsidRPr="00B4187B">
        <w:rPr>
          <w:rFonts w:ascii="Verdana" w:hAnsi="Verdana" w:cs="Arial"/>
          <w:i/>
          <w:iCs/>
        </w:rPr>
        <w:t>The MHRA–NICE aligned pathway and wider medical devices reform are intended to provide a faster, more coherent route for innovative technologies, including AI.</w:t>
      </w:r>
    </w:p>
    <w:p w:rsidR="005969D0" w:rsidRPr="00B4187B" w:rsidP="005969D0">
      <w:pPr>
        <w:pStyle w:val="ListParagraph"/>
        <w:numPr>
          <w:ilvl w:val="1"/>
          <w:numId w:val="18"/>
        </w:numPr>
        <w:spacing w:after="0" w:line="288" w:lineRule="auto"/>
        <w:rPr>
          <w:rFonts w:ascii="Verdana" w:hAnsi="Verdana" w:cs="Arial"/>
          <w:i/>
          <w:iCs/>
        </w:rPr>
      </w:pPr>
      <w:r w:rsidRPr="00B4187B">
        <w:rPr>
          <w:rFonts w:ascii="Verdana" w:hAnsi="Verdana" w:cs="Arial"/>
          <w:i/>
          <w:iCs/>
        </w:rPr>
        <w:t xml:space="preserve">Experience across the delivery of adoption and spread programmes over the past decade has shown that it is </w:t>
      </w:r>
      <w:r w:rsidRPr="00B4187B">
        <w:rPr>
          <w:rFonts w:ascii="Verdana" w:hAnsi="Verdana" w:cs="Arial"/>
          <w:i/>
          <w:iCs/>
        </w:rPr>
        <w:t>absolutely essential</w:t>
      </w:r>
      <w:r w:rsidRPr="00B4187B">
        <w:rPr>
          <w:rFonts w:ascii="Verdana" w:hAnsi="Verdana" w:cs="Arial"/>
          <w:i/>
          <w:iCs/>
        </w:rPr>
        <w:t xml:space="preserve"> for innovation to be driven by local need and designed for local circumstances – and not a ‘top down’ instruction. This insight is borne out in the agenda of the 10YHP</w:t>
      </w:r>
      <w:r>
        <w:rPr>
          <w:rStyle w:val="EndnoteReference"/>
          <w:rFonts w:ascii="Verdana" w:hAnsi="Verdana" w:cs="Arial"/>
        </w:rPr>
        <w:endnoteReference w:id="2"/>
      </w:r>
      <w:r w:rsidRPr="00B4187B">
        <w:rPr>
          <w:rFonts w:ascii="Verdana" w:hAnsi="Verdana" w:cs="Arial"/>
          <w:i/>
          <w:iCs/>
        </w:rPr>
        <w:t xml:space="preserve"> and LSSP</w:t>
      </w:r>
      <w:r>
        <w:rPr>
          <w:rStyle w:val="EndnoteReference"/>
          <w:rFonts w:ascii="Verdana" w:hAnsi="Verdana" w:cs="Arial"/>
        </w:rPr>
        <w:endnoteReference w:id="3"/>
      </w:r>
      <w:r w:rsidRPr="00B4187B">
        <w:rPr>
          <w:rFonts w:ascii="Verdana" w:hAnsi="Verdana" w:cs="Arial"/>
          <w:i/>
          <w:iCs/>
        </w:rPr>
        <w:t xml:space="preserve">. </w:t>
      </w:r>
    </w:p>
    <w:p w:rsidR="005969D0" w:rsidRPr="00B4187B" w:rsidP="005969D0">
      <w:pPr>
        <w:pBdr>
          <w:bottom w:val="single" w:sz="6" w:space="1" w:color="auto"/>
        </w:pBdr>
        <w:spacing w:after="0" w:line="288" w:lineRule="auto"/>
        <w:rPr>
          <w:rFonts w:ascii="Verdana" w:hAnsi="Verdana" w:cs="Arial"/>
          <w:i/>
          <w:iCs/>
        </w:rPr>
      </w:pPr>
    </w:p>
    <w:p w:rsidR="005969D0" w:rsidRPr="00B4187B" w:rsidP="005969D0">
      <w:pPr>
        <w:tabs>
          <w:tab w:val="num" w:pos="0"/>
        </w:tabs>
        <w:spacing w:after="0" w:line="288" w:lineRule="auto"/>
        <w:rPr>
          <w:rFonts w:ascii="Verdana" w:hAnsi="Verdana" w:cs="Arial"/>
          <w:i/>
          <w:iCs/>
        </w:rPr>
      </w:pPr>
    </w:p>
    <w:p w:rsidR="00B4187B" w:rsidRPr="00B4187B" w:rsidP="005969D0">
      <w:pPr>
        <w:spacing w:after="0" w:line="288" w:lineRule="auto"/>
        <w:rPr>
          <w:rFonts w:ascii="Verdana" w:hAnsi="Verdana" w:cs="Arial"/>
          <w:b/>
          <w:bCs/>
        </w:rPr>
      </w:pPr>
    </w:p>
    <w:p w:rsidR="005969D0" w:rsidRPr="00B4187B" w:rsidP="005969D0">
      <w:pPr>
        <w:spacing w:after="0" w:line="288" w:lineRule="auto"/>
        <w:rPr>
          <w:rFonts w:ascii="Verdana" w:hAnsi="Verdana" w:cs="Arial"/>
          <w:b/>
          <w:bCs/>
        </w:rPr>
      </w:pPr>
      <w:r w:rsidRPr="00B4187B">
        <w:rPr>
          <w:rFonts w:ascii="Verdana" w:hAnsi="Verdana" w:cs="Arial"/>
          <w:b/>
          <w:bCs/>
        </w:rPr>
        <w:t>The Life Sciences Sector</w:t>
      </w:r>
    </w:p>
    <w:p w:rsidR="00B4187B" w:rsidRPr="00B4187B" w:rsidP="005969D0">
      <w:pPr>
        <w:spacing w:after="0" w:line="288" w:lineRule="auto"/>
        <w:rPr>
          <w:rFonts w:ascii="Verdana" w:hAnsi="Verdana" w:cs="Arial"/>
          <w:b/>
          <w:bCs/>
        </w:rPr>
      </w:pPr>
    </w:p>
    <w:p w:rsidR="005969D0" w:rsidRPr="00B4187B" w:rsidP="005969D0">
      <w:pPr>
        <w:pStyle w:val="ListParagraph"/>
        <w:numPr>
          <w:ilvl w:val="0"/>
          <w:numId w:val="8"/>
        </w:numPr>
        <w:spacing w:after="0" w:line="288" w:lineRule="auto"/>
        <w:rPr>
          <w:rFonts w:ascii="Verdana" w:hAnsi="Verdana" w:cs="Arial"/>
          <w:i/>
          <w:iCs/>
        </w:rPr>
      </w:pPr>
      <w:r w:rsidRPr="00B4187B">
        <w:rPr>
          <w:rFonts w:ascii="Verdana" w:hAnsi="Verdana" w:cs="Arial"/>
        </w:rPr>
        <w:t>The LSSP backs the ambitious UK Life Sciences sector with action to support UK scale-ups, manufacturing, R&amp;D investment, access to growth capital, and smoother NHS adoption routes.</w:t>
      </w:r>
    </w:p>
    <w:p w:rsidR="005969D0" w:rsidRPr="00B4187B" w:rsidP="005969D0">
      <w:pPr>
        <w:pStyle w:val="ListParagraph"/>
        <w:numPr>
          <w:ilvl w:val="0"/>
          <w:numId w:val="21"/>
        </w:numPr>
        <w:spacing w:after="0" w:line="288" w:lineRule="auto"/>
        <w:rPr>
          <w:rFonts w:ascii="Verdana" w:hAnsi="Verdana" w:cs="Arial"/>
          <w:kern w:val="2"/>
          <w:lang w:eastAsia="en-GB"/>
        </w:rPr>
      </w:pPr>
      <w:r w:rsidRPr="00B4187B">
        <w:rPr>
          <w:rFonts w:ascii="Verdana" w:hAnsi="Verdana" w:cs="Arial"/>
        </w:rPr>
        <w:t>Government has already announced up to £520 million through the Life Sciences Manufacturing Fund and a £50 million Transformational R&amp;D Investment Fund to attract globally mobile R&amp;D. The Office for Life Sciences (OLS) has also established a dedicated service to help high-potential UK life sciences companies scale, attract investment and remain headquartered in the UK.</w:t>
      </w:r>
    </w:p>
    <w:p w:rsidR="005969D0" w:rsidRPr="00B4187B" w:rsidP="005969D0">
      <w:pPr>
        <w:pStyle w:val="ListParagraph"/>
        <w:numPr>
          <w:ilvl w:val="0"/>
          <w:numId w:val="21"/>
        </w:numPr>
        <w:spacing w:after="0" w:line="288" w:lineRule="auto"/>
        <w:rPr>
          <w:rFonts w:ascii="Verdana" w:hAnsi="Verdana" w:cs="Arial"/>
          <w:kern w:val="2"/>
          <w:lang w:eastAsia="en-GB"/>
        </w:rPr>
      </w:pPr>
      <w:r w:rsidRPr="00B4187B">
        <w:rPr>
          <w:rFonts w:ascii="Verdana" w:hAnsi="Verdana" w:cs="Arial"/>
        </w:rPr>
        <w:t>The British Growth Partnership and the British Business Bank’s growth capital initiatives are also helping crowd in private investment for innovative UK businesses, including life sciences.</w:t>
      </w:r>
    </w:p>
    <w:p w:rsidR="005969D0" w:rsidRPr="00B4187B" w:rsidP="005969D0">
      <w:pPr>
        <w:pStyle w:val="ListParagraph"/>
        <w:numPr>
          <w:ilvl w:val="0"/>
          <w:numId w:val="8"/>
        </w:numPr>
        <w:spacing w:after="0" w:line="288" w:lineRule="auto"/>
        <w:rPr>
          <w:rFonts w:ascii="Verdana" w:hAnsi="Verdana" w:cs="Arial"/>
          <w:kern w:val="2"/>
          <w:lang w:eastAsia="en-GB"/>
        </w:rPr>
      </w:pPr>
      <w:r w:rsidRPr="00B4187B">
        <w:rPr>
          <w:rFonts w:ascii="Verdana" w:hAnsi="Verdana" w:cs="Arial"/>
          <w:kern w:val="2"/>
          <w:lang w:eastAsia="en-GB"/>
        </w:rPr>
        <w:t>As innovation accelerates, the Life Sciences workforce of the future will require advanced scientific expertise, data and AI capabilities, and interdisciplinary skills. This evolution underscores the need for a responsive skills and training ecosystem, and OLS is working closely with Skills England and sector stakeholders to identify and address skills gaps.</w:t>
      </w:r>
    </w:p>
    <w:p w:rsidR="005969D0" w:rsidRPr="00B4187B" w:rsidP="005969D0">
      <w:pPr>
        <w:pStyle w:val="ListParagraph"/>
        <w:numPr>
          <w:ilvl w:val="0"/>
          <w:numId w:val="6"/>
        </w:numPr>
        <w:spacing w:after="0" w:line="288" w:lineRule="auto"/>
        <w:rPr>
          <w:rFonts w:ascii="Verdana" w:hAnsi="Verdana" w:cs="Arial"/>
          <w:bCs/>
          <w:lang w:eastAsia="en-GB"/>
        </w:rPr>
      </w:pPr>
      <w:r w:rsidRPr="00B4187B">
        <w:rPr>
          <w:rFonts w:ascii="Verdana" w:hAnsi="Verdana" w:cs="Arial"/>
        </w:rPr>
        <w:t>Programmes such as RESILIENCE, the Industry Skills Accelerator, and Cell and Gene Therapy Catapult training initiatives are helping build capability in emerging areas including RNA and advanced therapies.</w:t>
      </w:r>
    </w:p>
    <w:p w:rsidR="005969D0" w:rsidRPr="00B4187B" w:rsidP="005969D0">
      <w:pPr>
        <w:pStyle w:val="ListParagraph"/>
        <w:numPr>
          <w:ilvl w:val="0"/>
          <w:numId w:val="6"/>
        </w:numPr>
        <w:spacing w:after="0" w:line="288" w:lineRule="auto"/>
        <w:rPr>
          <w:rFonts w:ascii="Verdana" w:hAnsi="Verdana" w:cs="Arial"/>
          <w:bCs/>
          <w:lang w:eastAsia="en-GB"/>
        </w:rPr>
      </w:pPr>
      <w:r w:rsidRPr="00B4187B">
        <w:rPr>
          <w:rFonts w:ascii="Verdana" w:hAnsi="Verdana" w:cs="Arial"/>
        </w:rPr>
        <w:t>Alongside domestic skills development, the UK continues to support international talent attraction through the Global Talent Taskforce and Global Talent Fund.</w:t>
      </w:r>
    </w:p>
    <w:p w:rsidR="005969D0" w:rsidRPr="00B4187B" w:rsidP="005969D0">
      <w:pPr>
        <w:pStyle w:val="ListParagraph"/>
        <w:numPr>
          <w:ilvl w:val="0"/>
          <w:numId w:val="5"/>
        </w:numPr>
        <w:spacing w:after="0" w:line="288" w:lineRule="auto"/>
        <w:rPr>
          <w:rFonts w:ascii="Verdana" w:hAnsi="Verdana" w:cs="Arial"/>
          <w:kern w:val="2"/>
          <w:lang w:eastAsia="en-GB"/>
        </w:rPr>
      </w:pPr>
      <w:r w:rsidRPr="00B4187B">
        <w:rPr>
          <w:rFonts w:ascii="Verdana" w:hAnsi="Verdana" w:cs="Arial"/>
        </w:rPr>
        <w:t>The forthcoming NHS Workforce Plan</w:t>
      </w:r>
      <w:r>
        <w:rPr>
          <w:rStyle w:val="EndnoteReference"/>
          <w:rFonts w:ascii="Verdana" w:hAnsi="Verdana" w:cs="Arial"/>
        </w:rPr>
        <w:endnoteReference w:id="4"/>
      </w:r>
      <w:r w:rsidRPr="00B4187B">
        <w:rPr>
          <w:rFonts w:ascii="Verdana" w:hAnsi="Verdana" w:cs="Arial"/>
        </w:rPr>
        <w:t>, NHS Research Workforce Plan and Life Sciences Jobs Plan will set out further action to address workforce needs and maintain UK competitiveness.</w:t>
      </w:r>
    </w:p>
    <w:p w:rsidR="005969D0" w:rsidRPr="00B4187B" w:rsidP="005969D0">
      <w:pPr>
        <w:pStyle w:val="ListParagraph"/>
        <w:numPr>
          <w:ilvl w:val="0"/>
          <w:numId w:val="5"/>
        </w:numPr>
        <w:spacing w:after="0" w:line="288" w:lineRule="auto"/>
        <w:rPr>
          <w:rFonts w:ascii="Verdana" w:hAnsi="Verdana" w:cs="Arial"/>
        </w:rPr>
      </w:pPr>
      <w:r w:rsidRPr="00B4187B">
        <w:rPr>
          <w:rFonts w:ascii="Verdana" w:hAnsi="Verdana" w:cs="Arial"/>
        </w:rPr>
        <w:t>While the UK is strong in early-stage innovation, companies frequently report that moving beyond pilots and trials into routine commissioning is slow, fragmented, and uncertain. This creates a “pilot trap,” where promising technologies demonstrate value locally but struggle to achieve system-wide adoption. This risks innovative start-ups, SMEs and industrial partners shifting activity overseas.</w:t>
      </w:r>
    </w:p>
    <w:p w:rsidR="005969D0" w:rsidP="005969D0">
      <w:pPr>
        <w:pStyle w:val="ListParagraph"/>
        <w:spacing w:after="0" w:line="288" w:lineRule="auto"/>
        <w:rPr>
          <w:rFonts w:ascii="Verdana" w:hAnsi="Verdana" w:cs="Arial"/>
        </w:rPr>
      </w:pPr>
    </w:p>
    <w:p w:rsidR="00B4187B" w:rsidP="005969D0">
      <w:pPr>
        <w:pStyle w:val="ListParagraph"/>
        <w:spacing w:after="0" w:line="288" w:lineRule="auto"/>
        <w:rPr>
          <w:rFonts w:ascii="Verdana" w:hAnsi="Verdana" w:cs="Arial"/>
        </w:rPr>
      </w:pPr>
    </w:p>
    <w:p w:rsidR="00B4187B" w:rsidP="005969D0">
      <w:pPr>
        <w:pStyle w:val="ListParagraph"/>
        <w:spacing w:after="0" w:line="288" w:lineRule="auto"/>
        <w:rPr>
          <w:rFonts w:ascii="Verdana" w:hAnsi="Verdana" w:cs="Arial"/>
        </w:rPr>
      </w:pPr>
    </w:p>
    <w:p w:rsidR="00B4187B" w:rsidRPr="00B4187B" w:rsidP="005969D0">
      <w:pPr>
        <w:pStyle w:val="ListParagraph"/>
        <w:spacing w:after="0" w:line="288" w:lineRule="auto"/>
        <w:rPr>
          <w:rFonts w:ascii="Verdana" w:hAnsi="Verdana" w:cs="Arial"/>
        </w:rPr>
      </w:pPr>
    </w:p>
    <w:p w:rsidR="005969D0" w:rsidRPr="00B4187B" w:rsidP="00B4187B">
      <w:pPr>
        <w:rPr>
          <w:rFonts w:ascii="Verdana" w:hAnsi="Verdana"/>
          <w:b/>
          <w:bCs/>
        </w:rPr>
      </w:pPr>
      <w:bookmarkStart w:id="0" w:name="_Toc230875902"/>
      <w:r w:rsidRPr="00B4187B">
        <w:rPr>
          <w:rFonts w:ascii="Verdana" w:hAnsi="Verdana"/>
          <w:b/>
          <w:bCs/>
        </w:rPr>
        <w:t>Deployment in practice</w:t>
      </w:r>
      <w:bookmarkEnd w:id="0"/>
    </w:p>
    <w:p w:rsidR="005969D0" w:rsidRPr="00B4187B" w:rsidP="005969D0">
      <w:pPr>
        <w:spacing w:after="0" w:line="288" w:lineRule="auto"/>
        <w:rPr>
          <w:rFonts w:ascii="Verdana" w:hAnsi="Verdana" w:cs="Arial"/>
          <w:b/>
          <w:bCs/>
          <w:i/>
          <w:iCs/>
        </w:rPr>
      </w:pPr>
      <w:r w:rsidRPr="00B4187B">
        <w:rPr>
          <w:rFonts w:ascii="Verdana" w:hAnsi="Verdana" w:cs="Arial"/>
          <w:b/>
          <w:bCs/>
          <w:i/>
          <w:iCs/>
        </w:rPr>
        <w:t>Genomics and data</w:t>
      </w:r>
    </w:p>
    <w:p w:rsidR="005969D0" w:rsidRPr="00B4187B" w:rsidP="005969D0">
      <w:pPr>
        <w:pStyle w:val="ListParagraph"/>
        <w:numPr>
          <w:ilvl w:val="0"/>
          <w:numId w:val="1"/>
        </w:numPr>
        <w:tabs>
          <w:tab w:val="num" w:pos="0"/>
          <w:tab w:val="clear" w:pos="720"/>
        </w:tabs>
        <w:spacing w:after="0" w:line="288" w:lineRule="auto"/>
        <w:ind w:left="360"/>
        <w:rPr>
          <w:rFonts w:ascii="Verdana" w:eastAsia="Aptos" w:hAnsi="Verdana" w:cs="Arial"/>
        </w:rPr>
      </w:pPr>
      <w:r w:rsidRPr="00B4187B">
        <w:rPr>
          <w:rFonts w:ascii="Verdana" w:hAnsi="Verdana" w:cs="Arial"/>
        </w:rPr>
        <w:t>By 2035, around half of healthcare interventions are expected to be informed by genomic insights and predictive analytics. Backed by the LSSP and 10 YHP, government is investing more than £650 million in Genomics England, up to £354 million in Our Future Health, and up to £20 million in UK Biobank.</w:t>
      </w:r>
    </w:p>
    <w:p w:rsidR="005969D0" w:rsidRPr="00B4187B" w:rsidP="005969D0">
      <w:pPr>
        <w:pStyle w:val="ListParagraph"/>
        <w:numPr>
          <w:ilvl w:val="0"/>
          <w:numId w:val="1"/>
        </w:numPr>
        <w:tabs>
          <w:tab w:val="num" w:pos="0"/>
          <w:tab w:val="clear" w:pos="720"/>
        </w:tabs>
        <w:spacing w:after="0" w:line="288" w:lineRule="auto"/>
        <w:ind w:left="360"/>
        <w:rPr>
          <w:rFonts w:ascii="Verdana" w:eastAsia="Aptos" w:hAnsi="Verdana" w:cs="Arial"/>
        </w:rPr>
      </w:pPr>
      <w:r w:rsidRPr="00B4187B">
        <w:rPr>
          <w:rFonts w:ascii="Verdana" w:hAnsi="Verdana" w:cs="Arial"/>
        </w:rPr>
        <w:t xml:space="preserve">These investments strengthen three major national assets: Our Future Health, with up to 5 million participants; UK Biobank, with deep </w:t>
      </w:r>
      <w:r w:rsidRPr="00B4187B">
        <w:rPr>
          <w:rFonts w:ascii="Verdana" w:hAnsi="Verdana" w:cs="Arial"/>
        </w:rPr>
        <w:t>multiomic</w:t>
      </w:r>
      <w:r w:rsidRPr="00B4187B">
        <w:rPr>
          <w:rFonts w:ascii="Verdana" w:hAnsi="Verdana" w:cs="Arial"/>
        </w:rPr>
        <w:t xml:space="preserve"> profiling and linked records for 500,000 participants; and Genomics England, which will host over 500,000 genomes to support prevention, diagnostics, clinical trials and AI-enabled research.</w:t>
      </w:r>
    </w:p>
    <w:p w:rsidR="005969D0" w:rsidRPr="00B4187B" w:rsidP="005969D0">
      <w:pPr>
        <w:pStyle w:val="ListParagraph"/>
        <w:numPr>
          <w:ilvl w:val="0"/>
          <w:numId w:val="1"/>
        </w:numPr>
        <w:tabs>
          <w:tab w:val="num" w:pos="0"/>
          <w:tab w:val="clear" w:pos="720"/>
        </w:tabs>
        <w:spacing w:after="0" w:line="288" w:lineRule="auto"/>
        <w:ind w:left="360"/>
        <w:rPr>
          <w:rFonts w:ascii="Verdana" w:eastAsia="Aptos" w:hAnsi="Verdana" w:cs="Arial"/>
        </w:rPr>
      </w:pPr>
      <w:r w:rsidRPr="00B4187B">
        <w:rPr>
          <w:rFonts w:ascii="Verdana" w:hAnsi="Verdana" w:cs="Arial"/>
        </w:rPr>
        <w:t xml:space="preserve">The NHS Genomic Medicine Service (GMS) is a world-leading national service delivering more than 870,000 genomic tests each year, from single-gene tests to whole genome sequencing, to diagnose rare disease, guide cancer treatment and reduce adverse drug reactions. Since 2023/24 it has enabled rollout of a dozen precision medicines. </w:t>
      </w:r>
    </w:p>
    <w:p w:rsidR="005969D0" w:rsidRPr="00B4187B" w:rsidP="005969D0">
      <w:pPr>
        <w:pStyle w:val="ListParagraph"/>
        <w:numPr>
          <w:ilvl w:val="0"/>
          <w:numId w:val="1"/>
        </w:numPr>
        <w:tabs>
          <w:tab w:val="num" w:pos="0"/>
          <w:tab w:val="clear" w:pos="720"/>
        </w:tabs>
        <w:spacing w:after="0" w:line="288" w:lineRule="auto"/>
        <w:ind w:left="360"/>
        <w:rPr>
          <w:rFonts w:ascii="Verdana" w:hAnsi="Verdana" w:cs="Arial"/>
        </w:rPr>
      </w:pPr>
      <w:r w:rsidRPr="00B4187B">
        <w:rPr>
          <w:rFonts w:ascii="Verdana" w:hAnsi="Verdana" w:cs="Arial"/>
        </w:rPr>
        <w:t>Future demand is expected to grow significantly, including cancer testing for precision medicines, pre-emptive pharmacogenomics, and evidence generation from the Generation Study, Adult Population Genomics Programme and Our Future Health.</w:t>
      </w:r>
    </w:p>
    <w:p w:rsidR="005969D0" w:rsidRPr="00B4187B" w:rsidP="005969D0">
      <w:pPr>
        <w:pStyle w:val="ListParagraph"/>
        <w:numPr>
          <w:ilvl w:val="0"/>
          <w:numId w:val="1"/>
        </w:numPr>
        <w:tabs>
          <w:tab w:val="num" w:pos="0"/>
          <w:tab w:val="clear" w:pos="720"/>
        </w:tabs>
        <w:spacing w:after="0" w:line="288" w:lineRule="auto"/>
        <w:ind w:left="360"/>
        <w:rPr>
          <w:rFonts w:ascii="Verdana" w:hAnsi="Verdana" w:cs="Arial"/>
        </w:rPr>
      </w:pPr>
      <w:r w:rsidRPr="00B4187B">
        <w:rPr>
          <w:rFonts w:ascii="Verdana" w:hAnsi="Verdana" w:cs="Arial"/>
        </w:rPr>
        <w:t>The NHS GMS, supported by Genomics England, were the first in the world to deliver routine whole genome sequencing for rare disease and cancer. More than 190,000 genomes have been sequenced, and consented patient data is stored in the National Genomic Research Library (NGRL). The NGRL holds over 184,000 whole genomes, clinical records and 70,000 cancer pathology images, with over 90% patient consent for research. Since 2021 it has supported discovery of more than 4,000 new gene-condition links, and since 2018 more than 5,000 putative new diagnoses have been returned to the NHS GMS to inform care.</w:t>
      </w:r>
    </w:p>
    <w:p w:rsidR="005969D0" w:rsidRPr="00B4187B" w:rsidP="005969D0">
      <w:pPr>
        <w:pStyle w:val="ListParagraph"/>
        <w:numPr>
          <w:ilvl w:val="0"/>
          <w:numId w:val="1"/>
        </w:numPr>
        <w:tabs>
          <w:tab w:val="num" w:pos="0"/>
          <w:tab w:val="clear" w:pos="720"/>
        </w:tabs>
        <w:spacing w:after="0" w:line="288" w:lineRule="auto"/>
        <w:ind w:left="360"/>
        <w:rPr>
          <w:rFonts w:ascii="Verdana" w:hAnsi="Verdana" w:cs="Arial"/>
        </w:rPr>
      </w:pPr>
      <w:r w:rsidRPr="00B4187B">
        <w:rPr>
          <w:rFonts w:ascii="Verdana" w:hAnsi="Verdana" w:cs="Arial"/>
        </w:rPr>
        <w:t>As recognised in the 10YHP, scaling genomics can improve outcomes and support the NHS’s long-term financial sustainability. As one of the NHS’s five “big bets”, the NHS GMS is already showing this value through faster diagnosis of cancers and rare conditions, more efficient care pathways, and earlier access to the right treatments</w:t>
      </w:r>
    </w:p>
    <w:p w:rsidR="005969D0" w:rsidRPr="00B4187B" w:rsidP="005969D0">
      <w:pPr>
        <w:pStyle w:val="ListParagraph"/>
        <w:numPr>
          <w:ilvl w:val="0"/>
          <w:numId w:val="1"/>
        </w:numPr>
        <w:tabs>
          <w:tab w:val="num" w:pos="0"/>
          <w:tab w:val="clear" w:pos="720"/>
        </w:tabs>
        <w:spacing w:after="0" w:line="288" w:lineRule="auto"/>
        <w:ind w:left="360"/>
        <w:rPr>
          <w:rFonts w:ascii="Verdana" w:hAnsi="Verdana" w:cs="Arial"/>
          <w:kern w:val="2"/>
          <w:lang w:eastAsia="en-GB"/>
        </w:rPr>
      </w:pPr>
      <w:r w:rsidRPr="00B4187B">
        <w:rPr>
          <w:rFonts w:ascii="Verdana" w:hAnsi="Verdana" w:cs="Arial"/>
        </w:rPr>
        <w:t xml:space="preserve">The 10 YHP also sets an ambition for universal newborn genomic testing, subject to evidence from the </w:t>
      </w:r>
      <w:r w:rsidRPr="00B4187B">
        <w:rPr>
          <w:rFonts w:ascii="Verdana" w:hAnsi="Verdana" w:cs="Arial"/>
          <w:i/>
          <w:iCs/>
        </w:rPr>
        <w:t>Generation Study</w:t>
      </w:r>
      <w:r w:rsidRPr="00B4187B">
        <w:rPr>
          <w:rFonts w:ascii="Verdana" w:hAnsi="Verdana" w:cs="Arial"/>
        </w:rPr>
        <w:t xml:space="preserve">, which is </w:t>
      </w:r>
      <w:r w:rsidRPr="00B4187B">
        <w:rPr>
          <w:rFonts w:ascii="Verdana" w:hAnsi="Verdana" w:cs="Arial"/>
        </w:rPr>
        <w:t>sequencing 100,000 newborns for more than 200 rare genetic conditions. Sequencing is due to complete by summer 2027, with any wider rollout dependent on UK National Screening Committee advice and funding.</w:t>
      </w:r>
    </w:p>
    <w:p w:rsidR="005969D0" w:rsidRPr="00B4187B" w:rsidP="005969D0">
      <w:pPr>
        <w:pStyle w:val="ListParagraph"/>
        <w:numPr>
          <w:ilvl w:val="0"/>
          <w:numId w:val="10"/>
        </w:numPr>
        <w:spacing w:after="0" w:line="288" w:lineRule="auto"/>
        <w:rPr>
          <w:rFonts w:ascii="Verdana" w:hAnsi="Verdana" w:cs="Arial"/>
          <w:kern w:val="2"/>
          <w:lang w:eastAsia="en-GB"/>
        </w:rPr>
      </w:pPr>
      <w:r w:rsidRPr="00B4187B">
        <w:rPr>
          <w:rFonts w:ascii="Verdana" w:hAnsi="Verdana" w:cs="Arial"/>
        </w:rPr>
        <w:t>There is a major opportunity to combine genomic data and AI. The NHS 10YHP commits to putting genomics at the centre of personalised care and to making the NHS the most AI-enabled healthcare system in the world.</w:t>
      </w:r>
    </w:p>
    <w:p w:rsidR="005969D0" w:rsidRPr="00B4187B" w:rsidP="005969D0">
      <w:pPr>
        <w:pStyle w:val="ListParagraph"/>
        <w:numPr>
          <w:ilvl w:val="0"/>
          <w:numId w:val="10"/>
        </w:numPr>
        <w:spacing w:after="0" w:line="288" w:lineRule="auto"/>
        <w:rPr>
          <w:rFonts w:ascii="Verdana" w:hAnsi="Verdana" w:cs="Arial"/>
        </w:rPr>
      </w:pPr>
      <w:r w:rsidRPr="00B4187B">
        <w:rPr>
          <w:rFonts w:ascii="Verdana" w:hAnsi="Verdana" w:cs="Arial"/>
        </w:rPr>
        <w:t>Realising this vision requires major genomics data and digital transformation, including a Unified Genomic Record (UGR) linked to the Single Patient Record (SPR), a digital National Genomic Test Directory, and Digital Order Management to support equitable access and coordinated reporting across the NHS.</w:t>
      </w:r>
    </w:p>
    <w:p w:rsidR="005969D0" w:rsidRPr="00B4187B" w:rsidP="005969D0">
      <w:pPr>
        <w:pStyle w:val="ListParagraph"/>
        <w:numPr>
          <w:ilvl w:val="0"/>
          <w:numId w:val="10"/>
        </w:numPr>
        <w:spacing w:after="0" w:line="288" w:lineRule="auto"/>
        <w:rPr>
          <w:rFonts w:ascii="Verdana" w:hAnsi="Verdana" w:cs="Arial"/>
        </w:rPr>
      </w:pPr>
      <w:r w:rsidRPr="00B4187B">
        <w:rPr>
          <w:rFonts w:ascii="Verdana" w:hAnsi="Verdana" w:cs="Arial"/>
        </w:rPr>
        <w:t>These developments depend on common data standards and interoperability. The NHS is working with international partners, including GA4GH, to support consistent and scalable use of genomic data.</w:t>
      </w:r>
      <w:r>
        <w:rPr>
          <w:rStyle w:val="EndnoteReference"/>
          <w:rFonts w:ascii="Verdana" w:hAnsi="Verdana" w:cs="Arial"/>
        </w:rPr>
        <w:endnoteReference w:id="5"/>
      </w:r>
    </w:p>
    <w:p w:rsidR="005969D0" w:rsidRPr="00B4187B" w:rsidP="005969D0">
      <w:pPr>
        <w:pStyle w:val="ListParagraph"/>
        <w:numPr>
          <w:ilvl w:val="0"/>
          <w:numId w:val="2"/>
        </w:numPr>
        <w:tabs>
          <w:tab w:val="num" w:pos="-360"/>
          <w:tab w:val="clear" w:pos="360"/>
        </w:tabs>
        <w:spacing w:after="0" w:line="288" w:lineRule="auto"/>
        <w:rPr>
          <w:rFonts w:ascii="Verdana" w:eastAsia="Times New Roman" w:hAnsi="Verdana" w:cs="Arial"/>
        </w:rPr>
      </w:pPr>
      <w:r w:rsidRPr="00B4187B">
        <w:rPr>
          <w:rFonts w:ascii="Verdana" w:hAnsi="Verdana" w:cs="Arial"/>
        </w:rPr>
        <w:t>While HDRS leadership will define its final scope, the ambition is to link genomic, diagnostic and clinical data at population scale, strengthening the UK’s offer for global trials and AI investment.</w:t>
      </w:r>
    </w:p>
    <w:p w:rsidR="005969D0" w:rsidRPr="00B4187B" w:rsidP="005969D0">
      <w:pPr>
        <w:pStyle w:val="ListParagraph"/>
        <w:numPr>
          <w:ilvl w:val="0"/>
          <w:numId w:val="3"/>
        </w:numPr>
        <w:spacing w:after="0" w:line="288" w:lineRule="auto"/>
        <w:ind w:left="360"/>
        <w:rPr>
          <w:rFonts w:ascii="Verdana" w:hAnsi="Verdana" w:cs="Arial"/>
          <w:kern w:val="2"/>
          <w:lang w:eastAsia="en-GB"/>
        </w:rPr>
      </w:pPr>
      <w:r w:rsidRPr="00B4187B">
        <w:rPr>
          <w:rFonts w:ascii="Verdana" w:hAnsi="Verdana" w:cs="Arial"/>
        </w:rPr>
        <w:t>To deliver the NHS 10YHP, the NHS GMS must continue investing in infrastructure that can meet rising demand and support efficient, high-quality care. This includes upgrading laboratory technology, expanding sequencing and robotics, and developing higher-throughput testing capacity. Greater automation can improve productivity, reduce workforce pressure and support testing at scale.</w:t>
      </w:r>
    </w:p>
    <w:p w:rsidR="005969D0" w:rsidRPr="00B4187B" w:rsidP="005969D0">
      <w:pPr>
        <w:pStyle w:val="ListParagraph"/>
        <w:numPr>
          <w:ilvl w:val="0"/>
          <w:numId w:val="3"/>
        </w:numPr>
        <w:spacing w:after="0" w:line="288" w:lineRule="auto"/>
        <w:ind w:left="360"/>
        <w:rPr>
          <w:rFonts w:ascii="Verdana" w:hAnsi="Verdana" w:cs="Arial"/>
        </w:rPr>
      </w:pPr>
      <w:r w:rsidRPr="00B4187B">
        <w:rPr>
          <w:rFonts w:ascii="Verdana" w:hAnsi="Verdana" w:cs="Arial"/>
        </w:rPr>
        <w:t>Key barriers remain clinical trial speed, regulation and procurement. The 10YHP and LSSP seek to address these so that innovation can move more efficiently into NHS delivery.</w:t>
      </w:r>
    </w:p>
    <w:p w:rsidR="005969D0" w:rsidRPr="00B4187B" w:rsidP="005969D0">
      <w:pPr>
        <w:pStyle w:val="ListParagraph"/>
        <w:numPr>
          <w:ilvl w:val="0"/>
          <w:numId w:val="3"/>
        </w:numPr>
        <w:spacing w:after="0" w:line="288" w:lineRule="auto"/>
        <w:ind w:left="360"/>
        <w:rPr>
          <w:rFonts w:ascii="Verdana" w:hAnsi="Verdana" w:cs="Arial"/>
        </w:rPr>
      </w:pPr>
      <w:r w:rsidRPr="00B4187B">
        <w:rPr>
          <w:rFonts w:ascii="Verdana" w:hAnsi="Verdana" w:cs="Arial"/>
        </w:rPr>
        <w:t>Adoption support remains essential, and the Health Innovation Network (HIN) continues to play a key role in helping services test, implement and spread innovation, while supporting innovators to navigate the NHS.</w:t>
      </w:r>
      <w:r>
        <w:rPr>
          <w:rStyle w:val="EndnoteReference"/>
          <w:rFonts w:ascii="Verdana" w:hAnsi="Verdana" w:cs="Arial"/>
        </w:rPr>
        <w:endnoteReference w:id="6"/>
      </w:r>
    </w:p>
    <w:p w:rsidR="005969D0" w:rsidRPr="00B4187B" w:rsidP="005969D0">
      <w:pPr>
        <w:pStyle w:val="ListParagraph"/>
        <w:numPr>
          <w:ilvl w:val="0"/>
          <w:numId w:val="3"/>
        </w:numPr>
        <w:spacing w:after="0" w:line="288" w:lineRule="auto"/>
        <w:ind w:left="360"/>
        <w:rPr>
          <w:rFonts w:ascii="Verdana" w:hAnsi="Verdana" w:cs="Arial"/>
        </w:rPr>
      </w:pPr>
      <w:r w:rsidRPr="00B4187B">
        <w:rPr>
          <w:rFonts w:ascii="Verdana" w:hAnsi="Verdana" w:cs="Arial"/>
        </w:rPr>
        <w:t>NHS England has developed a strategic approach to commissioning ATMPs, including horizon scanning and work with industry to anticipate demand. Workforce development is being supported through the DHSC advanced therapies coordination group, NIHR-funded Advanced Therapy Treatment Centres, and an operational framework for individualised therapies for rare diseases.</w:t>
      </w:r>
    </w:p>
    <w:p w:rsidR="005969D0" w:rsidRPr="00B4187B" w:rsidP="005969D0">
      <w:pPr>
        <w:spacing w:after="0" w:line="288" w:lineRule="auto"/>
        <w:rPr>
          <w:rFonts w:ascii="Verdana" w:hAnsi="Verdana" w:cs="Arial"/>
          <w:b/>
          <w:bCs/>
          <w:i/>
          <w:iCs/>
        </w:rPr>
      </w:pPr>
    </w:p>
    <w:p w:rsidR="00B4187B" w:rsidP="005969D0">
      <w:pPr>
        <w:spacing w:after="0" w:line="288" w:lineRule="auto"/>
        <w:rPr>
          <w:rFonts w:ascii="Verdana" w:hAnsi="Verdana" w:cs="Arial"/>
          <w:b/>
          <w:bCs/>
          <w:i/>
          <w:iCs/>
        </w:rPr>
      </w:pPr>
    </w:p>
    <w:p w:rsidR="005969D0" w:rsidP="005969D0">
      <w:pPr>
        <w:spacing w:after="0" w:line="288" w:lineRule="auto"/>
        <w:rPr>
          <w:rFonts w:ascii="Verdana" w:hAnsi="Verdana" w:cs="Arial"/>
          <w:b/>
          <w:bCs/>
          <w:i/>
          <w:iCs/>
        </w:rPr>
      </w:pPr>
      <w:r w:rsidRPr="00B4187B">
        <w:rPr>
          <w:rFonts w:ascii="Verdana" w:hAnsi="Verdana" w:cs="Arial"/>
          <w:b/>
          <w:bCs/>
          <w:i/>
          <w:iCs/>
        </w:rPr>
        <w:t>Personalised medicines</w:t>
      </w:r>
    </w:p>
    <w:p w:rsidR="005969D0" w:rsidRPr="00B4187B" w:rsidP="005969D0">
      <w:pPr>
        <w:pStyle w:val="ListParagraph"/>
        <w:numPr>
          <w:ilvl w:val="0"/>
          <w:numId w:val="3"/>
        </w:numPr>
        <w:spacing w:after="0" w:line="288" w:lineRule="auto"/>
        <w:ind w:left="360"/>
        <w:rPr>
          <w:rFonts w:ascii="Verdana" w:hAnsi="Verdana" w:cs="Arial"/>
        </w:rPr>
      </w:pPr>
      <w:r w:rsidRPr="00B4187B">
        <w:rPr>
          <w:rFonts w:ascii="Verdana" w:hAnsi="Verdana" w:cs="Arial"/>
        </w:rPr>
        <w:t>In accordance with the Voluntary Scheme for Branded Medicines Pricing, Access and Growth (VPAG 2024-2028), the primary route to access for all new medicines or new indications is via NICE technology appraisal. Treatment cost is paid and, for some more complex treatments), the costs to the service of delivering the treatment are also reimbursed, generally on a per patient basis. NICE appraisals consider the most cost-effective approach to adoption, but do not make consideration of broader adoption costs which can limit the pace of adoption within NHS Trusts.</w:t>
      </w:r>
    </w:p>
    <w:p w:rsidR="005969D0" w:rsidRPr="00B4187B" w:rsidP="005969D0">
      <w:pPr>
        <w:pStyle w:val="paragraph"/>
        <w:numPr>
          <w:ilvl w:val="0"/>
          <w:numId w:val="8"/>
        </w:numPr>
        <w:spacing w:before="0" w:beforeAutospacing="0" w:after="0" w:afterAutospacing="0" w:line="288" w:lineRule="auto"/>
        <w:ind w:left="360"/>
        <w:rPr>
          <w:rFonts w:ascii="Verdana" w:hAnsi="Verdana" w:cs="Arial"/>
          <w:kern w:val="2"/>
        </w:rPr>
      </w:pPr>
      <w:r w:rsidRPr="00B4187B">
        <w:rPr>
          <w:rFonts w:ascii="Verdana" w:hAnsi="Verdana" w:cs="Arial"/>
        </w:rPr>
        <w:t>Regulatory assessment by the MHRA and assessment by NICE technology appraisal does not guarantee a treatment/indication will be made available. This uncertainty means any work to prepare for the adoption of complex treatments needs to take place ‘at risk’ to support rapid adoption. The consequence can be that this preparation is not utilised if the treatment is ultimately not licensed/recommended for NHS use. To prepare prospectively for all potential new treatments would not be possible in practice and therefore the NHS concentrates on preparing for the most promising new innovations.</w:t>
      </w:r>
    </w:p>
    <w:p w:rsidR="005969D0" w:rsidRPr="00B4187B" w:rsidP="005969D0">
      <w:pPr>
        <w:pStyle w:val="paragraph"/>
        <w:numPr>
          <w:ilvl w:val="0"/>
          <w:numId w:val="8"/>
        </w:numPr>
        <w:spacing w:before="0" w:beforeAutospacing="0" w:after="0" w:afterAutospacing="0" w:line="288" w:lineRule="auto"/>
        <w:ind w:left="360"/>
        <w:rPr>
          <w:rFonts w:ascii="Verdana" w:hAnsi="Verdana" w:cs="Arial"/>
          <w:kern w:val="2"/>
        </w:rPr>
      </w:pPr>
      <w:r w:rsidRPr="00B4187B">
        <w:rPr>
          <w:rFonts w:ascii="Verdana" w:hAnsi="Verdana" w:cs="Arial"/>
        </w:rPr>
        <w:t>Following the European-first introduction of CAR-T therapy (a personalised immunotherapy for blood cancers) in 2018, NHS England established an innovative treatments team in 2020 (part of the national specialised commissioning directorate) dedicated to supporting the adoption of advanced therapy medicinal products (which includes some personalised medicines). A detailed horizon scan identifies treatments that could be available in the UK, the team then engage with the treatment’s manufacturer to understand the product’s requirements and inform commissioning requirements. NHS England then undertakes a provider selection approach</w:t>
      </w:r>
      <w:r>
        <w:rPr>
          <w:rStyle w:val="EndnoteReference"/>
          <w:rFonts w:ascii="Verdana" w:hAnsi="Verdana" w:cs="Arial"/>
        </w:rPr>
        <w:endnoteReference w:id="7"/>
      </w:r>
      <w:r w:rsidRPr="00B4187B">
        <w:rPr>
          <w:rFonts w:ascii="Verdana" w:hAnsi="Verdana" w:cs="Arial"/>
        </w:rPr>
        <w:t xml:space="preserve"> so that trusts can be ready to deliver the treatment as close to a NICE outcome as possible.</w:t>
      </w:r>
    </w:p>
    <w:p w:rsidR="005969D0" w:rsidRPr="00B4187B" w:rsidP="005969D0">
      <w:pPr>
        <w:pStyle w:val="ListParagraph"/>
        <w:numPr>
          <w:ilvl w:val="0"/>
          <w:numId w:val="9"/>
        </w:numPr>
        <w:spacing w:after="0" w:line="288" w:lineRule="auto"/>
        <w:ind w:left="360"/>
        <w:rPr>
          <w:rFonts w:ascii="Verdana" w:hAnsi="Verdana" w:cs="Arial"/>
        </w:rPr>
      </w:pPr>
      <w:r w:rsidRPr="00B4187B">
        <w:rPr>
          <w:rFonts w:ascii="Verdana" w:hAnsi="Verdana" w:cs="Arial"/>
        </w:rPr>
        <w:t>As a demonstration of the effectiveness of this work, NHS sites have been ready to accept patients within days of NICE decisions for several advanced therapies.</w:t>
      </w:r>
    </w:p>
    <w:p w:rsidR="005969D0" w:rsidRPr="00B4187B" w:rsidP="005969D0">
      <w:pPr>
        <w:pStyle w:val="ListParagraph"/>
        <w:numPr>
          <w:ilvl w:val="0"/>
          <w:numId w:val="16"/>
        </w:numPr>
        <w:spacing w:after="0" w:line="288" w:lineRule="auto"/>
        <w:ind w:left="360"/>
        <w:rPr>
          <w:rFonts w:ascii="Verdana" w:hAnsi="Verdana" w:cs="Arial"/>
        </w:rPr>
      </w:pPr>
      <w:r w:rsidRPr="00B4187B">
        <w:rPr>
          <w:rFonts w:ascii="Verdana" w:hAnsi="Verdana" w:cs="Arial"/>
        </w:rPr>
        <w:t>Case studies which demonstrate the thread of support that follows from ideation/pre-clinical trial to NHS adoption and beyond are vital to strengthen the feedback loop between medical research, the life sciences industry, and the NHS</w:t>
      </w:r>
    </w:p>
    <w:p w:rsidR="005969D0" w:rsidRPr="00B4187B" w:rsidP="005969D0">
      <w:pPr>
        <w:pStyle w:val="ListParagraph"/>
        <w:numPr>
          <w:ilvl w:val="0"/>
          <w:numId w:val="16"/>
        </w:numPr>
        <w:spacing w:after="0" w:line="288" w:lineRule="auto"/>
        <w:ind w:left="360"/>
        <w:rPr>
          <w:rFonts w:ascii="Verdana" w:hAnsi="Verdana" w:cs="Arial"/>
        </w:rPr>
      </w:pPr>
      <w:r w:rsidRPr="00B4187B">
        <w:rPr>
          <w:rFonts w:ascii="Verdana" w:hAnsi="Verdana" w:cs="Arial"/>
        </w:rPr>
        <w:t xml:space="preserve">To prepare for future innovation and demand, the Department of Health and Social Care established a working group on ATMP workforce </w:t>
      </w:r>
      <w:r w:rsidRPr="00B4187B">
        <w:rPr>
          <w:rFonts w:ascii="Verdana" w:hAnsi="Verdana" w:cs="Arial"/>
        </w:rPr>
        <w:t>in 2024 to understand what is needed to support a system change in workforce capability to ensure clinical readiness for the adoption of new ATMPs.  Further investment in Trusts’ manufacturing capability so that they could develop these treatments, and regulatory and HTA pathway(s) that incentivise NHS/not for profit companies manufacturing product to meet unmet need, are also steps that could be taken.</w:t>
      </w:r>
    </w:p>
    <w:p w:rsidR="005969D0" w:rsidRPr="00B4187B" w:rsidP="005969D0">
      <w:pPr>
        <w:spacing w:after="0" w:line="288" w:lineRule="auto"/>
        <w:rPr>
          <w:rFonts w:ascii="Verdana" w:hAnsi="Verdana" w:cs="Arial"/>
          <w:b/>
          <w:bCs/>
          <w:i/>
          <w:iCs/>
        </w:rPr>
      </w:pPr>
    </w:p>
    <w:p w:rsidR="005969D0" w:rsidP="005969D0">
      <w:pPr>
        <w:spacing w:after="0" w:line="288" w:lineRule="auto"/>
        <w:rPr>
          <w:rFonts w:ascii="Verdana" w:hAnsi="Verdana" w:cs="Arial"/>
          <w:b/>
          <w:bCs/>
          <w:i/>
          <w:iCs/>
        </w:rPr>
      </w:pPr>
      <w:r w:rsidRPr="00B4187B">
        <w:rPr>
          <w:rFonts w:ascii="Verdana" w:hAnsi="Verdana" w:cs="Arial"/>
          <w:b/>
          <w:bCs/>
          <w:i/>
          <w:iCs/>
        </w:rPr>
        <w:t>Clinical AI tools</w:t>
      </w:r>
    </w:p>
    <w:p w:rsidR="005969D0" w:rsidRPr="00B4187B" w:rsidP="005969D0">
      <w:pPr>
        <w:pStyle w:val="ListParagraph"/>
        <w:numPr>
          <w:ilvl w:val="0"/>
          <w:numId w:val="12"/>
        </w:numPr>
        <w:spacing w:after="0" w:line="288" w:lineRule="auto"/>
        <w:ind w:left="360"/>
        <w:rPr>
          <w:rFonts w:ascii="Verdana" w:hAnsi="Verdana" w:cs="Arial"/>
        </w:rPr>
      </w:pPr>
      <w:r w:rsidRPr="00B4187B">
        <w:rPr>
          <w:rFonts w:ascii="Verdana" w:hAnsi="Verdana" w:cs="Arial"/>
        </w:rPr>
        <w:t xml:space="preserve">Through the AI Diagnostic Fund (AIDF) the NHS has deployed AI at scale within existing radiology environments to enable faster diagnosis and treatment of lung cancer in half of the trusts in England. The AIDF supported the successful rollout of AI across 12 imaging networks covering 66 acute and specialist trusts, with the majority now live, and over 3.2 million chest X-rays and 80,000 CT scans have already been processed through these tools. The programme identified interoperability challenges across the diverse NHS estate but was still able to enable deployment across multiple suppliers and systems in all 7 NHS regions. Shared learning through established Imaging networks and communities of practice has supported consistent approaches and accelerated adoption, while the development of deployment guidance has strengthened options for repeatability across the healthcare system. </w:t>
      </w:r>
    </w:p>
    <w:p w:rsidR="005969D0" w:rsidRPr="00B4187B" w:rsidP="005969D0">
      <w:pPr>
        <w:pStyle w:val="ListParagraph"/>
        <w:numPr>
          <w:ilvl w:val="0"/>
          <w:numId w:val="12"/>
        </w:numPr>
        <w:spacing w:after="0" w:line="288" w:lineRule="auto"/>
        <w:ind w:left="360"/>
        <w:rPr>
          <w:rFonts w:ascii="Verdana" w:hAnsi="Verdana" w:cs="Arial"/>
        </w:rPr>
      </w:pPr>
      <w:r w:rsidRPr="00B4187B">
        <w:rPr>
          <w:rFonts w:ascii="Verdana" w:hAnsi="Verdana" w:cs="Arial"/>
        </w:rPr>
        <w:t>NHS England’s approach to scaling AI in diagnostics, builds on lessons from the AI Diagnostic Fund to create a sustainable, repeatable national model for deploying AI safely and at scale across imaging, pathology, endoscopy and physiological sciences. Looking at the evolving AI landscape, the approach framework considers improving model capability (from narrow AI to multimodal foundation models) with system autonomy (from simple tools to agentic and future autonomous systems). The approach understands that value to the NHS is derived from how AI is integrated into clinical workflows rather than models alone and will enable consistent, efficient and clinically safe AI adoption across England while preparing diagnostics services for more advanced AI capabilities in the future.</w:t>
      </w:r>
    </w:p>
    <w:p w:rsidR="005969D0" w:rsidRPr="00B4187B" w:rsidP="005969D0">
      <w:pPr>
        <w:pStyle w:val="ListParagraph"/>
        <w:numPr>
          <w:ilvl w:val="0"/>
          <w:numId w:val="12"/>
        </w:numPr>
        <w:spacing w:after="0" w:line="288" w:lineRule="auto"/>
        <w:ind w:left="360"/>
        <w:rPr>
          <w:rFonts w:ascii="Verdana" w:hAnsi="Verdana" w:cs="Arial"/>
        </w:rPr>
      </w:pPr>
      <w:r w:rsidRPr="00B4187B">
        <w:rPr>
          <w:rFonts w:ascii="Verdana" w:hAnsi="Verdana" w:cs="Arial"/>
        </w:rPr>
        <w:t>A proposed “Scan–Pilot–Scale” operating model will provide a national AI production line for each diagnostic modality, feeding in local, central, academic and industry initiatives to provide tiered national support levels, standardised governance, streamlined procurement, and NHS</w:t>
      </w:r>
      <w:r w:rsidRPr="00B4187B">
        <w:rPr>
          <w:rFonts w:ascii="Cambria Math" w:hAnsi="Cambria Math" w:cs="Cambria Math"/>
        </w:rPr>
        <w:t>‑</w:t>
      </w:r>
      <w:r w:rsidRPr="00B4187B">
        <w:rPr>
          <w:rFonts w:ascii="Verdana" w:hAnsi="Verdana" w:cs="Arial"/>
        </w:rPr>
        <w:t>specific evidence generation through multi</w:t>
      </w:r>
      <w:r w:rsidRPr="00B4187B">
        <w:rPr>
          <w:rFonts w:ascii="Cambria Math" w:hAnsi="Cambria Math" w:cs="Cambria Math"/>
        </w:rPr>
        <w:t>‑</w:t>
      </w:r>
      <w:r w:rsidRPr="00B4187B">
        <w:rPr>
          <w:rFonts w:ascii="Verdana" w:hAnsi="Verdana" w:cs="Arial"/>
        </w:rPr>
        <w:t xml:space="preserve">site pilots. The </w:t>
      </w:r>
      <w:r w:rsidRPr="00B4187B">
        <w:rPr>
          <w:rFonts w:ascii="Verdana" w:hAnsi="Verdana" w:cs="Arial"/>
        </w:rPr>
        <w:t>programme prioritises equity of access across the country, productivity to deliver an impact on workforce challenges and RTT recovery aligned to the 10 Year Plan.  Alongside delivery of AI at scale, the programme will also embed effective post</w:t>
      </w:r>
      <w:r w:rsidRPr="00B4187B">
        <w:rPr>
          <w:rFonts w:ascii="Cambria Math" w:hAnsi="Cambria Math" w:cs="Cambria Math"/>
        </w:rPr>
        <w:t>‑</w:t>
      </w:r>
      <w:r w:rsidRPr="00B4187B">
        <w:rPr>
          <w:rFonts w:ascii="Verdana" w:hAnsi="Verdana" w:cs="Arial"/>
        </w:rPr>
        <w:t>market surveillance and live performance monitoring aligned to new MHRA guidance is supported by a dedicated national AI diagnostics team.</w:t>
      </w:r>
    </w:p>
    <w:p w:rsidR="005969D0" w:rsidRPr="00B4187B" w:rsidP="005969D0">
      <w:pPr>
        <w:pStyle w:val="ListParagraph"/>
        <w:numPr>
          <w:ilvl w:val="0"/>
          <w:numId w:val="12"/>
        </w:numPr>
        <w:spacing w:after="0" w:line="288" w:lineRule="auto"/>
        <w:ind w:left="360"/>
        <w:rPr>
          <w:rFonts w:ascii="Verdana" w:hAnsi="Verdana" w:cs="Arial"/>
        </w:rPr>
      </w:pPr>
      <w:r w:rsidRPr="00B4187B">
        <w:rPr>
          <w:rFonts w:ascii="Verdana" w:hAnsi="Verdana" w:cs="Arial"/>
        </w:rPr>
        <w:t>Capacity is a significant barrier to adoption of innovation generally. Steps to support local systems to adopt proven innovation include:</w:t>
      </w:r>
    </w:p>
    <w:p w:rsidR="005969D0" w:rsidRPr="00B4187B" w:rsidP="005969D0">
      <w:pPr>
        <w:pStyle w:val="ListParagraph"/>
        <w:numPr>
          <w:ilvl w:val="0"/>
          <w:numId w:val="22"/>
        </w:numPr>
        <w:spacing w:after="0" w:line="288" w:lineRule="auto"/>
        <w:rPr>
          <w:rFonts w:ascii="Verdana" w:hAnsi="Verdana" w:cs="Arial"/>
        </w:rPr>
      </w:pPr>
      <w:r w:rsidRPr="00B4187B">
        <w:rPr>
          <w:rFonts w:ascii="Verdana" w:hAnsi="Verdana" w:cs="Arial"/>
        </w:rPr>
        <w:t xml:space="preserve">Setting national evidence standards and national evaluation through NICE so local systems don't have to re-evaluate a product </w:t>
      </w:r>
    </w:p>
    <w:p w:rsidR="005969D0" w:rsidRPr="00B4187B" w:rsidP="005969D0">
      <w:pPr>
        <w:pStyle w:val="ListParagraph"/>
        <w:numPr>
          <w:ilvl w:val="0"/>
          <w:numId w:val="22"/>
        </w:numPr>
        <w:spacing w:after="0" w:line="288" w:lineRule="auto"/>
        <w:rPr>
          <w:rFonts w:ascii="Verdana" w:hAnsi="Verdana" w:cs="Arial"/>
        </w:rPr>
      </w:pPr>
      <w:r w:rsidRPr="00B4187B">
        <w:rPr>
          <w:rFonts w:ascii="Verdana" w:hAnsi="Verdana" w:cs="Arial"/>
        </w:rPr>
        <w:t xml:space="preserve">publishing guidance and best practice on implementation of new innovative treatments and best clinical practice through the Modern Service Frameworks. </w:t>
      </w:r>
    </w:p>
    <w:p w:rsidR="005969D0" w:rsidRPr="00B4187B" w:rsidP="005969D0">
      <w:pPr>
        <w:pStyle w:val="ListParagraph"/>
        <w:numPr>
          <w:ilvl w:val="0"/>
          <w:numId w:val="22"/>
        </w:numPr>
        <w:spacing w:after="0" w:line="288" w:lineRule="auto"/>
        <w:rPr>
          <w:rFonts w:ascii="Verdana" w:hAnsi="Verdana" w:cs="Arial"/>
        </w:rPr>
      </w:pPr>
      <w:r w:rsidRPr="00B4187B">
        <w:rPr>
          <w:rFonts w:ascii="Verdana" w:hAnsi="Verdana" w:cs="Arial"/>
        </w:rPr>
        <w:t xml:space="preserve">Directing providers to set aside 3% of funds for transformation. </w:t>
      </w:r>
    </w:p>
    <w:p w:rsidR="005969D0" w:rsidRPr="00B4187B" w:rsidP="005969D0">
      <w:pPr>
        <w:pStyle w:val="ListParagraph"/>
        <w:numPr>
          <w:ilvl w:val="0"/>
          <w:numId w:val="22"/>
        </w:numPr>
        <w:spacing w:after="0" w:line="288" w:lineRule="auto"/>
        <w:rPr>
          <w:rFonts w:ascii="Verdana" w:hAnsi="Verdana" w:cs="Arial"/>
        </w:rPr>
      </w:pPr>
      <w:r w:rsidRPr="00B4187B">
        <w:rPr>
          <w:rFonts w:ascii="Verdana" w:hAnsi="Verdana" w:cs="Arial"/>
        </w:rPr>
        <w:t>Strengthening the Health Innovation Networks to provide local systems with expertise and capacity to support implementation.</w:t>
      </w:r>
    </w:p>
    <w:p w:rsidR="005969D0" w:rsidRPr="00B4187B" w:rsidP="005969D0">
      <w:pPr>
        <w:pStyle w:val="Heading3"/>
        <w:spacing w:before="0" w:line="288" w:lineRule="auto"/>
        <w:rPr>
          <w:rFonts w:ascii="Verdana" w:hAnsi="Verdana" w:cs="Arial"/>
          <w:b/>
          <w:color w:val="auto"/>
        </w:rPr>
      </w:pPr>
      <w:bookmarkStart w:id="1" w:name="_Toc230875905"/>
    </w:p>
    <w:p w:rsidR="005969D0" w:rsidRPr="00B4187B" w:rsidP="00B4187B">
      <w:pPr>
        <w:rPr>
          <w:rFonts w:ascii="Verdana" w:hAnsi="Verdana"/>
          <w:b/>
        </w:rPr>
      </w:pPr>
      <w:r w:rsidRPr="00B4187B">
        <w:rPr>
          <w:rFonts w:ascii="Verdana" w:hAnsi="Verdana"/>
          <w:b/>
        </w:rPr>
        <w:t>The Government’s strategic approach to innovation in the NHS</w:t>
      </w:r>
      <w:bookmarkEnd w:id="1"/>
    </w:p>
    <w:p w:rsidR="005969D0" w:rsidRPr="00B4187B" w:rsidP="005969D0">
      <w:pPr>
        <w:pStyle w:val="ListParagraph"/>
        <w:numPr>
          <w:ilvl w:val="0"/>
          <w:numId w:val="4"/>
        </w:numPr>
        <w:spacing w:after="0" w:line="288" w:lineRule="auto"/>
        <w:rPr>
          <w:rFonts w:ascii="Verdana" w:hAnsi="Verdana" w:cs="Arial"/>
          <w:kern w:val="2"/>
          <w:lang w:eastAsia="en-GB"/>
        </w:rPr>
      </w:pPr>
      <w:r w:rsidRPr="00B4187B">
        <w:rPr>
          <w:rFonts w:ascii="Verdana" w:hAnsi="Verdana" w:cs="Arial"/>
        </w:rPr>
        <w:t>The NHS GMS has established a strong pathway for adopting genomic innovation, from discovery through translation, adoption and spread, including nationally commissioned routes for new technologies informed by health economics. This approach has been recognised by the NHS Innovation Ecosystem Programme as best practice.</w:t>
      </w:r>
    </w:p>
    <w:p w:rsidR="005969D0" w:rsidRPr="00B4187B" w:rsidP="005969D0">
      <w:pPr>
        <w:pStyle w:val="ListParagraph"/>
        <w:numPr>
          <w:ilvl w:val="0"/>
          <w:numId w:val="4"/>
        </w:numPr>
        <w:spacing w:after="0" w:line="288" w:lineRule="auto"/>
        <w:rPr>
          <w:rFonts w:ascii="Verdana" w:hAnsi="Verdana" w:cs="Arial"/>
        </w:rPr>
      </w:pPr>
      <w:r w:rsidRPr="00B4187B">
        <w:rPr>
          <w:rFonts w:ascii="Verdana" w:hAnsi="Verdana" w:cs="Arial"/>
        </w:rPr>
        <w:t xml:space="preserve">The NGRL is central to this model, creating a feedback loop in which consented NHS whole genome sequencing data supports research and diagnostic discovery, with findings returned to the NHS to inform care. </w:t>
      </w:r>
    </w:p>
    <w:p w:rsidR="005969D0" w:rsidRPr="00B4187B" w:rsidP="005969D0">
      <w:pPr>
        <w:pStyle w:val="ListParagraph"/>
        <w:numPr>
          <w:ilvl w:val="0"/>
          <w:numId w:val="4"/>
        </w:numPr>
        <w:spacing w:after="0" w:line="288" w:lineRule="auto"/>
        <w:rPr>
          <w:rFonts w:ascii="Verdana" w:hAnsi="Verdana" w:cs="Arial"/>
        </w:rPr>
      </w:pPr>
      <w:r w:rsidRPr="00B4187B">
        <w:rPr>
          <w:rFonts w:ascii="Verdana" w:hAnsi="Verdana" w:cs="Arial"/>
        </w:rPr>
        <w:t>Circulating tumour DNA (ctDNA) testing is a recent example of successful translation into the NHS. As a less invasive and faster alternative to some surgical biopsies, it was piloted through phased expansion and a technology transfer agreement, then added to the National Genomic Test Directory in 2025 for non-small cell lung cancer and breast cancer.</w:t>
      </w:r>
    </w:p>
    <w:p w:rsidR="005969D0" w:rsidRPr="00B4187B" w:rsidP="005969D0">
      <w:pPr>
        <w:pStyle w:val="ListParagraph"/>
        <w:numPr>
          <w:ilvl w:val="0"/>
          <w:numId w:val="4"/>
        </w:numPr>
        <w:spacing w:after="0" w:line="288" w:lineRule="auto"/>
        <w:rPr>
          <w:rFonts w:ascii="Verdana" w:hAnsi="Verdana" w:cs="Arial"/>
        </w:rPr>
      </w:pPr>
      <w:r w:rsidRPr="00B4187B">
        <w:rPr>
          <w:rFonts w:ascii="Verdana" w:hAnsi="Verdana" w:cs="Arial"/>
        </w:rPr>
        <w:t>The NHS Genomic Networks of Excellence help translate innovation by bringing together the NHS, academia, the third sector and industry to generate evidence and adoption models in priority areas. Eight networks were launched in 2023/24, including pharmacogenomics, respiratory metagenomics and AI, with further networks established from 2026/27.</w:t>
      </w:r>
    </w:p>
    <w:p w:rsidR="005969D0" w:rsidRPr="00B4187B" w:rsidP="005969D0">
      <w:pPr>
        <w:pStyle w:val="ListParagraph"/>
        <w:numPr>
          <w:ilvl w:val="0"/>
          <w:numId w:val="4"/>
        </w:numPr>
        <w:spacing w:after="0" w:line="288" w:lineRule="auto"/>
        <w:rPr>
          <w:rFonts w:ascii="Verdana" w:hAnsi="Verdana" w:cs="Arial"/>
        </w:rPr>
      </w:pPr>
      <w:r w:rsidRPr="00B4187B">
        <w:rPr>
          <w:rFonts w:ascii="Verdana" w:hAnsi="Verdana" w:cs="Arial"/>
        </w:rPr>
        <w:t>The 15 HINs are the NHS’s key regional mechanism for developing, adopting and spreading innovation, and are central to strengthening the feedback loop between researchers, industry and the NHS.</w:t>
      </w:r>
    </w:p>
    <w:p w:rsidR="005969D0" w:rsidRPr="00B4187B" w:rsidP="005969D0">
      <w:pPr>
        <w:pStyle w:val="ListParagraph"/>
        <w:numPr>
          <w:ilvl w:val="0"/>
          <w:numId w:val="4"/>
        </w:numPr>
        <w:spacing w:after="0" w:line="288" w:lineRule="auto"/>
        <w:rPr>
          <w:rFonts w:ascii="Verdana" w:hAnsi="Verdana" w:cs="Arial"/>
        </w:rPr>
      </w:pPr>
      <w:r w:rsidRPr="00B4187B">
        <w:rPr>
          <w:rFonts w:ascii="Verdana" w:hAnsi="Verdana" w:cs="Arial"/>
        </w:rPr>
        <w:t>The HINs connect innovators with health and care services, support NHS demand signalling, generate real-world evidence, and help teams test, implement and spread proven innovations locally and nationally.</w:t>
      </w:r>
    </w:p>
    <w:p w:rsidR="005969D0" w:rsidRPr="00B4187B" w:rsidP="005969D0">
      <w:pPr>
        <w:pStyle w:val="ListParagraph"/>
        <w:numPr>
          <w:ilvl w:val="0"/>
          <w:numId w:val="4"/>
        </w:numPr>
        <w:spacing w:after="0" w:line="288" w:lineRule="auto"/>
        <w:rPr>
          <w:rFonts w:ascii="Verdana" w:hAnsi="Verdana" w:cs="Arial"/>
        </w:rPr>
      </w:pPr>
      <w:r w:rsidRPr="00B4187B">
        <w:rPr>
          <w:rFonts w:ascii="Verdana" w:hAnsi="Verdana" w:cs="Arial"/>
        </w:rPr>
        <w:t>Their impact is significant: since 2018, HIN programmes have benefited over 4.9 million patients, contributed more than £3 billion to the UK economy, and since 2020 helped release over 340,000 hours of staff capacity.</w:t>
      </w:r>
    </w:p>
    <w:p w:rsidR="005969D0" w:rsidRPr="00B4187B" w:rsidP="005969D0">
      <w:pPr>
        <w:pStyle w:val="ListParagraph"/>
        <w:numPr>
          <w:ilvl w:val="0"/>
          <w:numId w:val="4"/>
        </w:numPr>
        <w:spacing w:after="0" w:line="288" w:lineRule="auto"/>
        <w:rPr>
          <w:rFonts w:ascii="Verdana" w:hAnsi="Verdana" w:cs="Arial"/>
        </w:rPr>
      </w:pPr>
      <w:r w:rsidRPr="00B4187B">
        <w:rPr>
          <w:rFonts w:ascii="Verdana" w:hAnsi="Verdana" w:cs="Arial"/>
        </w:rPr>
        <w:t>One of the HIN programmes for 26/27 is on Digital and AI for productivity (e.g. Ambient scribing, autonomous AI in clinical pathways) which aligns with national priorities on digital by default, the three shifts (Analogue to Digital) and five ‘big bets’ (AI for productivity).</w:t>
      </w:r>
    </w:p>
    <w:p w:rsidR="005969D0" w:rsidRPr="00B4187B" w:rsidP="005969D0">
      <w:pPr>
        <w:pStyle w:val="ListParagraph"/>
        <w:numPr>
          <w:ilvl w:val="0"/>
          <w:numId w:val="4"/>
        </w:numPr>
        <w:spacing w:after="0" w:line="288" w:lineRule="auto"/>
        <w:rPr>
          <w:rFonts w:ascii="Verdana" w:hAnsi="Verdana" w:cs="Arial"/>
        </w:rPr>
      </w:pPr>
      <w:r w:rsidRPr="00B4187B">
        <w:rPr>
          <w:rFonts w:ascii="Verdana" w:eastAsia="Segoe UI" w:hAnsi="Verdana" w:cs="Arial"/>
        </w:rPr>
        <w:t>The NHS’s digital and IT infrastructure is not a fundamental barrier to the deployment of innovation, but it does constrain the speed and consistency of deployment at scale</w:t>
      </w:r>
    </w:p>
    <w:p w:rsidR="005969D0" w:rsidRPr="00B4187B" w:rsidP="005969D0">
      <w:pPr>
        <w:pStyle w:val="ListParagraph"/>
        <w:numPr>
          <w:ilvl w:val="0"/>
          <w:numId w:val="17"/>
        </w:numPr>
        <w:spacing w:after="0" w:line="288" w:lineRule="auto"/>
        <w:rPr>
          <w:rFonts w:ascii="Verdana" w:eastAsia="Segoe UI" w:hAnsi="Verdana" w:cs="Arial"/>
        </w:rPr>
      </w:pPr>
      <w:r w:rsidRPr="00B4187B">
        <w:rPr>
          <w:rFonts w:ascii="Verdana" w:eastAsia="Segoe UI" w:hAnsi="Verdana" w:cs="Arial"/>
        </w:rPr>
        <w:t xml:space="preserve">The principal challenge is the legacy of digital fragmentation and a lack of interoperability. This limits the ability to link genomic, clinical, diagnostic and outcomes data in a consistent, longitudinal way. </w:t>
      </w:r>
    </w:p>
    <w:p w:rsidR="005969D0" w:rsidRPr="00B4187B" w:rsidP="005969D0">
      <w:pPr>
        <w:pStyle w:val="ListParagraph"/>
        <w:numPr>
          <w:ilvl w:val="0"/>
          <w:numId w:val="17"/>
        </w:numPr>
        <w:spacing w:after="0" w:line="288" w:lineRule="auto"/>
        <w:rPr>
          <w:rFonts w:ascii="Verdana" w:eastAsia="Segoe UI" w:hAnsi="Verdana" w:cs="Arial"/>
        </w:rPr>
      </w:pPr>
      <w:r w:rsidRPr="00B4187B">
        <w:rPr>
          <w:rFonts w:ascii="Verdana" w:eastAsia="Segoe UI" w:hAnsi="Verdana" w:cs="Arial"/>
        </w:rPr>
        <w:t>Importantly, the direction of travel is positive. Government and NHS England have put in place strong national programmes to address these issues, including the Federated Data Platform (FDP), the development of a SPR, national interoperability services such as NHS Spine and GP Connect, and the expansion of Trusted Research Environments to support secure research and AI development. Investment into research infrastructure through the Data for R&amp;D Programme (inclusive of </w:t>
      </w:r>
      <w:r w:rsidRPr="00B4187B">
        <w:rPr>
          <w:rFonts w:ascii="Verdana" w:eastAsia="Segoe UI" w:hAnsi="Verdana" w:cs="Arial"/>
        </w:rPr>
        <w:t>regionally-dispersed</w:t>
      </w:r>
      <w:r w:rsidRPr="00B4187B">
        <w:rPr>
          <w:rFonts w:ascii="Verdana" w:eastAsia="Segoe UI" w:hAnsi="Verdana" w:cs="Arial"/>
        </w:rPr>
        <w:t> and a national SDE) and </w:t>
      </w:r>
      <w:r w:rsidRPr="00B4187B">
        <w:rPr>
          <w:rFonts w:ascii="Verdana" w:eastAsia="Segoe UI" w:hAnsi="Verdana" w:cs="Arial"/>
          <w:i/>
          <w:iCs/>
        </w:rPr>
        <w:t>OpenSAFELY</w:t>
      </w:r>
      <w:r w:rsidRPr="00B4187B">
        <w:rPr>
          <w:rFonts w:ascii="Verdana" w:eastAsia="Segoe UI" w:hAnsi="Verdana" w:cs="Arial"/>
          <w:i/>
          <w:iCs/>
        </w:rPr>
        <w:t> </w:t>
      </w:r>
      <w:r w:rsidRPr="00B4187B">
        <w:rPr>
          <w:rFonts w:ascii="Verdana" w:eastAsia="Segoe UI" w:hAnsi="Verdana" w:cs="Arial"/>
        </w:rPr>
        <w:t>has improved access to data for research purposes in safe and trusted environments. This has included investment into AI adoption and driver projects to test linkage of genomic data with secondary care data. Collectively, these initiatives represent a decisive shift from digitisation towards system</w:t>
      </w:r>
      <w:r w:rsidRPr="00B4187B">
        <w:rPr>
          <w:rFonts w:ascii="Cambria Math" w:eastAsia="Segoe UI" w:hAnsi="Cambria Math" w:cs="Cambria Math"/>
        </w:rPr>
        <w:t>‑</w:t>
      </w:r>
      <w:r w:rsidRPr="00B4187B">
        <w:rPr>
          <w:rFonts w:ascii="Verdana" w:eastAsia="Segoe UI" w:hAnsi="Verdana" w:cs="Arial"/>
        </w:rPr>
        <w:t>wide interoperability and data reuse.</w:t>
      </w:r>
      <w:r>
        <w:rPr>
          <w:rStyle w:val="EndnoteReference"/>
          <w:rFonts w:ascii="Verdana" w:eastAsia="Segoe UI" w:hAnsi="Verdana" w:cs="Arial"/>
        </w:rPr>
        <w:endnoteReference w:id="8"/>
      </w:r>
    </w:p>
    <w:p w:rsidR="00614E87" w:rsidRPr="00B4187B" w:rsidP="005969D0">
      <w:pPr>
        <w:pStyle w:val="ListParagraph"/>
        <w:numPr>
          <w:ilvl w:val="0"/>
          <w:numId w:val="17"/>
        </w:numPr>
        <w:spacing w:after="0" w:line="288" w:lineRule="auto"/>
        <w:rPr>
          <w:rFonts w:ascii="Verdana" w:hAnsi="Verdana" w:cs="Arial"/>
        </w:rPr>
      </w:pPr>
      <w:r w:rsidRPr="00B4187B">
        <w:rPr>
          <w:rFonts w:ascii="Verdana" w:hAnsi="Verdana" w:cs="Arial"/>
        </w:rPr>
        <w:t xml:space="preserve">Delivering this vision requires NHS England to scale its genomics capabilities so they are </w:t>
      </w:r>
      <w:r w:rsidRPr="00B4187B" w:rsidR="00D57572">
        <w:rPr>
          <w:rFonts w:ascii="Verdana" w:hAnsi="Verdana" w:cs="Arial"/>
        </w:rPr>
        <w:t xml:space="preserve">available </w:t>
      </w:r>
      <w:r w:rsidRPr="00B4187B" w:rsidR="00197F27">
        <w:rPr>
          <w:rFonts w:ascii="Verdana" w:hAnsi="Verdana" w:cs="Arial"/>
        </w:rPr>
        <w:t>throughout secondary, primary, community and neighbourhood settings</w:t>
      </w:r>
      <w:r w:rsidRPr="00B4187B">
        <w:rPr>
          <w:rFonts w:ascii="Verdana" w:hAnsi="Verdana" w:cs="Arial"/>
        </w:rPr>
        <w:t xml:space="preserve">. A country-wide data platform, built on international genomics data and interoperability standards, will </w:t>
      </w:r>
      <w:r w:rsidRPr="00B4187B">
        <w:rPr>
          <w:rFonts w:ascii="Verdana" w:hAnsi="Verdana" w:cs="Arial"/>
        </w:rPr>
        <w:t>provide the digital infrastructure to make this possible and to continue to support the availability of consented data for research.</w:t>
      </w:r>
    </w:p>
    <w:p w:rsidR="00614E87" w:rsidRPr="00B4187B" w:rsidP="005969D0">
      <w:pPr>
        <w:pStyle w:val="ListParagraph"/>
        <w:numPr>
          <w:ilvl w:val="0"/>
          <w:numId w:val="17"/>
        </w:numPr>
        <w:spacing w:after="0" w:line="288" w:lineRule="auto"/>
        <w:rPr>
          <w:rFonts w:ascii="Verdana" w:eastAsia="Segoe UI" w:hAnsi="Verdana" w:cs="Arial"/>
        </w:rPr>
      </w:pPr>
      <w:r w:rsidRPr="00B4187B">
        <w:rPr>
          <w:rFonts w:ascii="Verdana" w:eastAsia="Segoe UI" w:hAnsi="Verdana" w:cs="Arial"/>
        </w:rPr>
        <w:t>In summary, the NHS’s digital infrastructure is a solvable constraint</w:t>
      </w:r>
      <w:r w:rsidRPr="00B4187B" w:rsidR="008B4BA7">
        <w:rPr>
          <w:rFonts w:ascii="Verdana" w:eastAsia="Segoe UI" w:hAnsi="Verdana" w:cs="Arial"/>
        </w:rPr>
        <w:t xml:space="preserve"> to innovation</w:t>
      </w:r>
      <w:r w:rsidRPr="00B4187B">
        <w:rPr>
          <w:rFonts w:ascii="Verdana" w:eastAsia="Segoe UI" w:hAnsi="Verdana" w:cs="Arial"/>
        </w:rPr>
        <w:t xml:space="preserve"> rather than a structural blocker. With continued focus on interoperability, reuse and operational integration alongside investment in national platforms and workforce capability</w:t>
      </w:r>
      <w:r w:rsidRPr="00B4187B" w:rsidR="008B4BA7">
        <w:rPr>
          <w:rFonts w:ascii="Verdana" w:eastAsia="Segoe UI" w:hAnsi="Verdana" w:cs="Arial"/>
        </w:rPr>
        <w:t>.</w:t>
      </w:r>
    </w:p>
    <w:p w:rsidR="00AE3511" w:rsidRPr="00B4187B" w:rsidP="005969D0">
      <w:pPr>
        <w:pStyle w:val="ListParagraph"/>
        <w:numPr>
          <w:ilvl w:val="0"/>
          <w:numId w:val="13"/>
        </w:numPr>
        <w:spacing w:after="0" w:line="288" w:lineRule="auto"/>
        <w:ind w:left="360"/>
        <w:rPr>
          <w:rFonts w:ascii="Verdana" w:hAnsi="Verdana" w:cs="Arial"/>
        </w:rPr>
      </w:pPr>
      <w:r w:rsidRPr="00B4187B">
        <w:rPr>
          <w:rFonts w:ascii="Verdana" w:hAnsi="Verdana" w:cs="Arial"/>
        </w:rPr>
        <w:t xml:space="preserve">To ensure clinical insights from the NHS are fed back into R&amp;D, we regularly undertake demand signalling processes to inform research funding calls and to support industry R&amp;D decisions. </w:t>
      </w:r>
    </w:p>
    <w:p w:rsidR="00AE3511" w:rsidRPr="00B4187B" w:rsidP="007739EF">
      <w:pPr>
        <w:pStyle w:val="ListParagraph"/>
        <w:spacing w:after="0" w:line="276" w:lineRule="auto"/>
        <w:ind w:left="360"/>
        <w:rPr>
          <w:rFonts w:ascii="Verdana" w:hAnsi="Verdana" w:cs="Arial"/>
        </w:rPr>
      </w:pPr>
    </w:p>
    <w:p w:rsidR="005969D0" w:rsidRPr="00B4187B" w:rsidP="00C82397">
      <w:pPr>
        <w:pStyle w:val="Heading1"/>
        <w:spacing w:before="0" w:line="276" w:lineRule="auto"/>
        <w:rPr>
          <w:rFonts w:ascii="Verdana" w:hAnsi="Verdana" w:cs="Arial"/>
          <w:b/>
          <w:bCs/>
          <w:color w:val="auto"/>
          <w:sz w:val="24"/>
          <w:szCs w:val="24"/>
        </w:rPr>
      </w:pPr>
    </w:p>
    <w:p w:rsidR="005969D0" w:rsidRPr="00B4187B" w:rsidP="00C82397">
      <w:pPr>
        <w:pStyle w:val="Heading1"/>
        <w:spacing w:before="0" w:line="276" w:lineRule="auto"/>
        <w:rPr>
          <w:rFonts w:ascii="Verdana" w:hAnsi="Verdana" w:cs="Arial"/>
          <w:b/>
          <w:bCs/>
          <w:color w:val="auto"/>
          <w:sz w:val="24"/>
          <w:szCs w:val="24"/>
        </w:rPr>
      </w:pPr>
    </w:p>
    <w:p w:rsidR="005969D0" w:rsidRPr="00B4187B" w:rsidP="00C82397">
      <w:pPr>
        <w:pStyle w:val="Heading1"/>
        <w:spacing w:before="0" w:line="276" w:lineRule="auto"/>
        <w:rPr>
          <w:rFonts w:ascii="Verdana" w:hAnsi="Verdana" w:cs="Arial"/>
          <w:b/>
          <w:bCs/>
          <w:color w:val="auto"/>
          <w:sz w:val="24"/>
          <w:szCs w:val="24"/>
        </w:rPr>
      </w:pPr>
    </w:p>
    <w:p w:rsidR="005969D0" w:rsidRPr="00B4187B" w:rsidP="005969D0">
      <w:pPr>
        <w:rPr>
          <w:rFonts w:ascii="Verdana" w:hAnsi="Verdana"/>
          <w:b/>
          <w:bCs/>
        </w:rPr>
      </w:pPr>
    </w:p>
    <w:p w:rsidR="00871588" w:rsidRPr="00B4187B" w:rsidP="005969D0">
      <w:pPr>
        <w:rPr>
          <w:rFonts w:ascii="Verdana" w:hAnsi="Verdana" w:cs="Arial"/>
          <w:b/>
          <w:bCs/>
        </w:rPr>
      </w:pPr>
      <w:r w:rsidRPr="00B4187B">
        <w:rPr>
          <w:rFonts w:ascii="Verdana" w:hAnsi="Verdana" w:cs="Arial"/>
          <w:b/>
          <w:bCs/>
        </w:rPr>
        <w:t>Annex</w:t>
      </w:r>
      <w:r w:rsidRPr="00B4187B" w:rsidR="00AE5C8C">
        <w:rPr>
          <w:rFonts w:ascii="Verdana" w:hAnsi="Verdana" w:cs="Arial"/>
          <w:b/>
          <w:bCs/>
        </w:rPr>
        <w:t xml:space="preserve">: </w:t>
      </w:r>
      <w:r w:rsidRPr="00B4187B">
        <w:rPr>
          <w:rFonts w:ascii="Verdana" w:hAnsi="Verdana" w:cs="Arial"/>
          <w:b/>
          <w:bCs/>
        </w:rPr>
        <w:t>NHS implementation in practice</w:t>
      </w:r>
    </w:p>
    <w:p w:rsidR="00ED439A" w:rsidRPr="00B4187B" w:rsidP="007739EF">
      <w:pPr>
        <w:pStyle w:val="paragraph"/>
        <w:spacing w:before="0" w:beforeAutospacing="0" w:after="0" w:afterAutospacing="0" w:line="276" w:lineRule="auto"/>
        <w:rPr>
          <w:rFonts w:ascii="Verdana" w:hAnsi="Verdana" w:cs="Arial"/>
          <w:b/>
          <w:bCs/>
          <w:kern w:val="2"/>
        </w:rPr>
      </w:pPr>
      <w:r w:rsidRPr="00B4187B">
        <w:rPr>
          <w:rFonts w:ascii="Verdana" w:hAnsi="Verdana" w:cs="Arial"/>
          <w:b/>
          <w:bCs/>
        </w:rPr>
        <w:t>Case study: The NHS Cancer Vaccines Launchpad (CVLP)</w:t>
      </w:r>
    </w:p>
    <w:p w:rsidR="00ED439A" w:rsidRPr="00B4187B" w:rsidP="007739EF">
      <w:pPr>
        <w:pStyle w:val="paragraph"/>
        <w:numPr>
          <w:ilvl w:val="0"/>
          <w:numId w:val="19"/>
        </w:numPr>
        <w:spacing w:before="0" w:beforeAutospacing="0" w:after="0" w:afterAutospacing="0" w:line="276" w:lineRule="auto"/>
        <w:rPr>
          <w:rFonts w:ascii="Verdana" w:hAnsi="Verdana" w:cs="Arial"/>
          <w:kern w:val="2"/>
        </w:rPr>
      </w:pPr>
      <w:r w:rsidRPr="00B4187B">
        <w:rPr>
          <w:rFonts w:ascii="Verdana" w:hAnsi="Verdana" w:cs="Arial"/>
        </w:rPr>
        <w:t xml:space="preserve">The UK is working with industry to advance personalised cancer vaccines. The commercial </w:t>
      </w:r>
      <w:r w:rsidRPr="00B4187B">
        <w:rPr>
          <w:rFonts w:ascii="Verdana" w:hAnsi="Verdana" w:cs="Arial"/>
          <w:i/>
          <w:iCs/>
        </w:rPr>
        <w:t>BioNTech</w:t>
      </w:r>
      <w:r w:rsidRPr="00B4187B">
        <w:rPr>
          <w:rFonts w:ascii="Verdana" w:hAnsi="Verdana" w:cs="Arial"/>
        </w:rPr>
        <w:t xml:space="preserve"> partnership aims to provide 10,000 UK patients with personalised cancer immunotherapies by 2030.</w:t>
      </w:r>
    </w:p>
    <w:p w:rsidR="00ED439A" w:rsidRPr="00B4187B" w:rsidP="007739EF">
      <w:pPr>
        <w:pStyle w:val="paragraph"/>
        <w:numPr>
          <w:ilvl w:val="0"/>
          <w:numId w:val="19"/>
        </w:numPr>
        <w:spacing w:before="0" w:beforeAutospacing="0" w:after="0" w:afterAutospacing="0" w:line="276" w:lineRule="auto"/>
        <w:rPr>
          <w:rFonts w:ascii="Verdana" w:hAnsi="Verdana" w:cs="Arial"/>
        </w:rPr>
      </w:pPr>
      <w:r w:rsidRPr="00B4187B">
        <w:rPr>
          <w:rFonts w:ascii="Verdana" w:hAnsi="Verdana" w:cs="Arial"/>
        </w:rPr>
        <w:t>The NHS CVLP, initially established through the BioNTech partnership, is increasing patient access to personalised cancer vaccine trials.</w:t>
      </w:r>
    </w:p>
    <w:p w:rsidR="00ED439A" w:rsidRPr="00B4187B" w:rsidP="007739EF">
      <w:pPr>
        <w:pStyle w:val="paragraph"/>
        <w:numPr>
          <w:ilvl w:val="0"/>
          <w:numId w:val="19"/>
        </w:numPr>
        <w:spacing w:before="0" w:beforeAutospacing="0" w:after="0" w:afterAutospacing="0" w:line="276" w:lineRule="auto"/>
        <w:rPr>
          <w:rFonts w:ascii="Verdana" w:hAnsi="Verdana" w:cs="Arial"/>
        </w:rPr>
      </w:pPr>
      <w:r w:rsidRPr="00B4187B">
        <w:rPr>
          <w:rFonts w:ascii="Verdana" w:hAnsi="Verdana" w:cs="Arial"/>
        </w:rPr>
        <w:t>CVLP has accelerated trial set-up and recruitment, including shortening one recent study timeline by nearly a year, and has since expanded to support additional industry studies.</w:t>
      </w:r>
    </w:p>
    <w:p w:rsidR="00ED439A" w:rsidRPr="00B4187B" w:rsidP="007739EF">
      <w:pPr>
        <w:pStyle w:val="paragraph"/>
        <w:numPr>
          <w:ilvl w:val="0"/>
          <w:numId w:val="19"/>
        </w:numPr>
        <w:spacing w:before="0" w:beforeAutospacing="0" w:after="0" w:afterAutospacing="0" w:line="276" w:lineRule="auto"/>
        <w:rPr>
          <w:rFonts w:ascii="Verdana" w:hAnsi="Verdana" w:cs="Arial"/>
        </w:rPr>
      </w:pPr>
      <w:r w:rsidRPr="00B4187B">
        <w:rPr>
          <w:rFonts w:ascii="Verdana" w:hAnsi="Verdana" w:cs="Arial"/>
        </w:rPr>
        <w:t>It has also widened access to eligible patients, with one recent trial increasing reach from 17% to 60% of the eligible population across England.</w:t>
      </w:r>
    </w:p>
    <w:p w:rsidR="00ED439A" w:rsidRPr="00B4187B" w:rsidP="007739EF">
      <w:pPr>
        <w:pStyle w:val="paragraph"/>
        <w:numPr>
          <w:ilvl w:val="0"/>
          <w:numId w:val="19"/>
        </w:numPr>
        <w:spacing w:before="0" w:beforeAutospacing="0" w:after="0" w:afterAutospacing="0" w:line="276" w:lineRule="auto"/>
        <w:rPr>
          <w:rFonts w:ascii="Verdana" w:hAnsi="Verdana" w:cs="Arial"/>
        </w:rPr>
      </w:pPr>
      <w:r w:rsidRPr="00B4187B">
        <w:rPr>
          <w:rFonts w:ascii="Verdana" w:hAnsi="Verdana" w:cs="Arial"/>
        </w:rPr>
        <w:t xml:space="preserve">Patients have been receiving personalised cancer vaccines through </w:t>
      </w:r>
      <w:r w:rsidRPr="00B4187B">
        <w:rPr>
          <w:rFonts w:ascii="Verdana" w:hAnsi="Verdana" w:cs="Arial"/>
          <w:i/>
          <w:iCs/>
        </w:rPr>
        <w:t>BioNTech</w:t>
      </w:r>
      <w:r w:rsidRPr="00B4187B">
        <w:rPr>
          <w:rFonts w:ascii="Verdana" w:hAnsi="Verdana" w:cs="Arial"/>
        </w:rPr>
        <w:t xml:space="preserve"> trials since May 2024, with 14 trials now running across more than 90 UK sites.</w:t>
      </w:r>
    </w:p>
    <w:p w:rsidR="00ED439A" w:rsidRPr="00B4187B" w:rsidP="007739EF">
      <w:pPr>
        <w:pStyle w:val="paragraph"/>
        <w:numPr>
          <w:ilvl w:val="0"/>
          <w:numId w:val="19"/>
        </w:numPr>
        <w:spacing w:before="0" w:beforeAutospacing="0" w:after="0" w:afterAutospacing="0" w:line="276" w:lineRule="auto"/>
        <w:rPr>
          <w:rFonts w:ascii="Verdana" w:hAnsi="Verdana" w:cs="Arial"/>
        </w:rPr>
      </w:pPr>
      <w:r w:rsidRPr="00B4187B">
        <w:rPr>
          <w:rFonts w:ascii="Verdana" w:hAnsi="Verdana" w:cs="Arial"/>
        </w:rPr>
        <w:t>The NHS CVLP shows how the NHS GMS is working with life sciences partners to accelerate personalised cancer treatments, with an ambition to reach up to 10,000 patients by 2030.</w:t>
      </w:r>
    </w:p>
    <w:p w:rsidR="00ED439A" w:rsidRPr="00B4187B" w:rsidP="007739EF">
      <w:pPr>
        <w:pStyle w:val="paragraph"/>
        <w:numPr>
          <w:ilvl w:val="0"/>
          <w:numId w:val="19"/>
        </w:numPr>
        <w:spacing w:before="0" w:beforeAutospacing="0" w:after="0" w:afterAutospacing="0" w:line="276" w:lineRule="auto"/>
        <w:rPr>
          <w:rFonts w:ascii="Verdana" w:hAnsi="Verdana" w:cs="Arial"/>
        </w:rPr>
      </w:pPr>
      <w:r w:rsidRPr="00B4187B">
        <w:rPr>
          <w:rFonts w:ascii="Verdana" w:hAnsi="Verdana" w:cs="Arial"/>
        </w:rPr>
        <w:t>This is supported by 16 Cellular Pathology Genomic Centres, which provide rapid sample preparation, tissue-based testing and data collection for genomic trials including the CVLP.</w:t>
      </w:r>
    </w:p>
    <w:p w:rsidR="00ED439A" w:rsidRPr="00B4187B" w:rsidP="007739EF">
      <w:pPr>
        <w:spacing w:after="0" w:line="276" w:lineRule="auto"/>
        <w:rPr>
          <w:rFonts w:ascii="Verdana" w:hAnsi="Verdana" w:cs="Arial"/>
        </w:rPr>
      </w:pPr>
    </w:p>
    <w:p w:rsidR="00E00CC1" w:rsidRPr="00B4187B" w:rsidP="007739EF">
      <w:pPr>
        <w:spacing w:after="0" w:line="276" w:lineRule="auto"/>
        <w:rPr>
          <w:rFonts w:ascii="Verdana" w:hAnsi="Verdana" w:cs="Arial"/>
          <w:b/>
          <w:bCs/>
        </w:rPr>
      </w:pPr>
      <w:r w:rsidRPr="00B4187B">
        <w:rPr>
          <w:rFonts w:ascii="Verdana" w:hAnsi="Verdana" w:cs="Arial"/>
          <w:b/>
          <w:bCs/>
        </w:rPr>
        <w:t>National HealthTech Access Programme (NHAP)</w:t>
      </w:r>
      <w:r w:rsidRPr="00B4187B" w:rsidR="00582BFF">
        <w:rPr>
          <w:rFonts w:ascii="Verdana" w:hAnsi="Verdana" w:cs="Arial"/>
          <w:b/>
          <w:bCs/>
        </w:rPr>
        <w:t xml:space="preserve"> – referred technologies</w:t>
      </w:r>
    </w:p>
    <w:p w:rsidR="00614E87" w:rsidRPr="00B4187B" w:rsidP="007739EF">
      <w:pPr>
        <w:pStyle w:val="ListParagraph"/>
        <w:numPr>
          <w:ilvl w:val="0"/>
          <w:numId w:val="20"/>
        </w:numPr>
        <w:spacing w:after="0" w:line="276" w:lineRule="auto"/>
        <w:rPr>
          <w:rFonts w:ascii="Verdana" w:hAnsi="Verdana" w:cs="Arial"/>
        </w:rPr>
      </w:pPr>
      <w:r w:rsidRPr="00B4187B">
        <w:rPr>
          <w:rFonts w:ascii="Verdana" w:hAnsi="Verdana" w:cs="Arial"/>
        </w:rPr>
        <w:t>The National HealthTech Access Programme</w:t>
      </w:r>
      <w:r w:rsidRPr="00B4187B">
        <w:rPr>
          <w:rFonts w:ascii="Verdana" w:hAnsi="Verdana" w:cs="Arial"/>
          <w:b/>
          <w:bCs/>
        </w:rPr>
        <w:t xml:space="preserve"> </w:t>
      </w:r>
      <w:r w:rsidRPr="00B4187B">
        <w:rPr>
          <w:rFonts w:ascii="Verdana" w:hAnsi="Verdana" w:cs="Arial"/>
        </w:rPr>
        <w:t>(NHAP) establishes cross</w:t>
      </w:r>
      <w:r w:rsidRPr="00B4187B">
        <w:rPr>
          <w:rFonts w:ascii="Cambria Math" w:hAnsi="Cambria Math" w:cs="Cambria Math"/>
        </w:rPr>
        <w:t>‑</w:t>
      </w:r>
      <w:r w:rsidRPr="00B4187B">
        <w:rPr>
          <w:rFonts w:ascii="Verdana" w:hAnsi="Verdana" w:cs="Arial"/>
        </w:rPr>
        <w:t>organisational Delivery Groups for selected technologies, bringing together NHSE national programme leaders, commercial and innovation teams, DHSC and NICE. These groups aim to address system barriers by supporting early identification of implementation risks, workforce implications, challenges (e.g. digital integration) and operational requirements. This coordinated delivery support will help ensure that once a technology is proven and recommended, it can be adopted and embedded into services at pace and scale.</w:t>
      </w:r>
    </w:p>
    <w:p w:rsidR="00C235D3" w:rsidRPr="00B4187B" w:rsidP="007739EF">
      <w:pPr>
        <w:pStyle w:val="ListParagraph"/>
        <w:numPr>
          <w:ilvl w:val="0"/>
          <w:numId w:val="20"/>
        </w:numPr>
        <w:spacing w:after="0" w:line="276" w:lineRule="auto"/>
        <w:rPr>
          <w:rFonts w:ascii="Verdana" w:hAnsi="Verdana" w:cs="Arial"/>
        </w:rPr>
      </w:pPr>
      <w:r w:rsidRPr="00B4187B">
        <w:rPr>
          <w:rFonts w:ascii="Verdana" w:hAnsi="Verdana" w:cs="Arial"/>
        </w:rPr>
        <w:t xml:space="preserve">Ministers have already referred AI technologies into the </w:t>
      </w:r>
      <w:r w:rsidRPr="00B4187B" w:rsidR="00614E87">
        <w:rPr>
          <w:rFonts w:ascii="Verdana" w:hAnsi="Verdana" w:cs="Arial"/>
        </w:rPr>
        <w:t>NHAP</w:t>
      </w:r>
      <w:r w:rsidRPr="00B4187B">
        <w:rPr>
          <w:rFonts w:ascii="Verdana" w:hAnsi="Verdana" w:cs="Arial"/>
        </w:rPr>
        <w:t>, including AI tools that interpret images for suspected prostate and breast cancer — two of the NHS’s largest caseload areas. These AI tools are algorithms that analyse images, highlight suspicious regions and grade tumours. This supports pathologists by reducing routine workload, improving consistency, and enabling faster prioritisation of high</w:t>
      </w:r>
      <w:r w:rsidRPr="00B4187B">
        <w:rPr>
          <w:rFonts w:ascii="Verdana" w:hAnsi="Verdana" w:cs="Arial"/>
        </w:rPr>
        <w:noBreakHyphen/>
        <w:t>risk cases. These tools could increase accuracy, standardisation, and reporting speed; reduce workforce pressures by automating routine tasks; and free up pathologist time for complex cases.</w:t>
      </w:r>
    </w:p>
    <w:p w:rsidR="00614E87" w:rsidRPr="00B4187B" w:rsidP="007739EF">
      <w:pPr>
        <w:spacing w:after="0" w:line="276" w:lineRule="auto"/>
        <w:rPr>
          <w:rFonts w:ascii="Verdana" w:hAnsi="Verdana" w:cs="Arial"/>
          <w:b/>
          <w:bCs/>
        </w:rPr>
      </w:pPr>
    </w:p>
    <w:p w:rsidR="009942DC" w:rsidRPr="00B4187B" w:rsidP="007739EF">
      <w:pPr>
        <w:spacing w:after="0" w:line="276" w:lineRule="auto"/>
        <w:rPr>
          <w:rFonts w:ascii="Verdana" w:hAnsi="Verdana" w:cs="Arial"/>
          <w:b/>
          <w:bCs/>
        </w:rPr>
      </w:pPr>
      <w:r w:rsidRPr="00B4187B">
        <w:rPr>
          <w:rFonts w:ascii="Verdana" w:hAnsi="Verdana" w:cs="Arial"/>
          <w:b/>
          <w:bCs/>
        </w:rPr>
        <w:t>Deep Ensemble for Recognition of Malignancy (DERM)</w:t>
      </w:r>
    </w:p>
    <w:p w:rsidR="00C235D3" w:rsidRPr="00B4187B" w:rsidP="00C82397">
      <w:pPr>
        <w:pStyle w:val="paragraph"/>
        <w:numPr>
          <w:ilvl w:val="0"/>
          <w:numId w:val="20"/>
        </w:numPr>
        <w:spacing w:before="0" w:beforeAutospacing="0" w:after="0" w:afterAutospacing="0" w:line="276" w:lineRule="auto"/>
        <w:rPr>
          <w:rFonts w:ascii="Verdana" w:hAnsi="Verdana" w:cs="Arial"/>
          <w:kern w:val="2"/>
        </w:rPr>
      </w:pPr>
      <w:r w:rsidRPr="00B4187B">
        <w:rPr>
          <w:rFonts w:ascii="Verdana" w:hAnsi="Verdana" w:cs="Arial"/>
        </w:rPr>
        <w:t xml:space="preserve">Another example is the Deep Ensemble for Recognition of Malignancy (DERM) technology, which has received a conditional recommendation from NICE for use in the NHS while further evidence is collected on its clinical and cost effectiveness. It uses a smartphone to take images of skin lesions using a </w:t>
      </w:r>
      <w:r w:rsidRPr="00B4187B">
        <w:rPr>
          <w:rFonts w:ascii="Verdana" w:hAnsi="Verdana" w:cs="Arial"/>
        </w:rPr>
        <w:t>dermoscopic</w:t>
      </w:r>
      <w:r w:rsidRPr="00B4187B">
        <w:rPr>
          <w:rFonts w:ascii="Verdana" w:hAnsi="Verdana" w:cs="Arial"/>
        </w:rPr>
        <w:t xml:space="preserve"> lens attachment, which are uploaded to an online platform. The DERM platform uses a fixed, AI</w:t>
      </w:r>
      <w:r w:rsidRPr="00B4187B">
        <w:rPr>
          <w:rFonts w:ascii="Verdana" w:hAnsi="Verdana" w:cs="Arial"/>
        </w:rPr>
        <w:noBreakHyphen/>
        <w:t xml:space="preserve">based algorithm to analyse </w:t>
      </w:r>
      <w:r w:rsidRPr="00B4187B">
        <w:rPr>
          <w:rFonts w:ascii="Verdana" w:hAnsi="Verdana" w:cs="Arial"/>
        </w:rPr>
        <w:t>dermoscopic</w:t>
      </w:r>
      <w:r w:rsidRPr="00B4187B">
        <w:rPr>
          <w:rFonts w:ascii="Verdana" w:hAnsi="Verdana" w:cs="Arial"/>
        </w:rPr>
        <w:t xml:space="preserve"> images and provide a suspected diagnosis.</w:t>
      </w:r>
    </w:p>
    <w:p w:rsidR="00C235D3" w:rsidRPr="00B4187B" w:rsidP="00C82397">
      <w:pPr>
        <w:pStyle w:val="paragraph"/>
        <w:numPr>
          <w:ilvl w:val="0"/>
          <w:numId w:val="20"/>
        </w:numPr>
        <w:spacing w:before="0" w:beforeAutospacing="0" w:after="0" w:afterAutospacing="0" w:line="276" w:lineRule="auto"/>
        <w:rPr>
          <w:rFonts w:ascii="Verdana" w:hAnsi="Verdana" w:cs="Arial"/>
          <w:kern w:val="2"/>
        </w:rPr>
      </w:pPr>
      <w:r w:rsidRPr="00B4187B">
        <w:rPr>
          <w:rFonts w:ascii="Verdana" w:hAnsi="Verdana" w:cs="Arial"/>
        </w:rPr>
        <w:t>If DERM labels a lesion as benign, the person can be discharged from the urgent suspected skin cancer pathway. In 2023/24, over 650,000 people were referred through this pathway, with 120,000 not having cancer diagnosed or ruled out within 28 days (the standard). DERM has the potential to free up capacity by discharging around 30% of cases from the pathway, allowing more people to be seen more quickly and receive faster diagnoses.</w:t>
      </w:r>
    </w:p>
    <w:p w:rsidR="00C056F0" w:rsidRPr="00B4187B" w:rsidP="00C056F0">
      <w:pPr>
        <w:pStyle w:val="paragraph"/>
        <w:numPr>
          <w:ilvl w:val="0"/>
          <w:numId w:val="20"/>
        </w:numPr>
        <w:spacing w:before="0" w:beforeAutospacing="0" w:after="0" w:afterAutospacing="0" w:line="276" w:lineRule="auto"/>
        <w:rPr>
          <w:rFonts w:ascii="Verdana" w:hAnsi="Verdana" w:cs="Arial"/>
          <w:kern w:val="2"/>
        </w:rPr>
      </w:pPr>
      <w:r w:rsidRPr="00B4187B">
        <w:rPr>
          <w:rFonts w:ascii="Verdana" w:hAnsi="Verdana" w:cs="Arial"/>
          <w:kern w:val="2"/>
        </w:rPr>
        <w:t>This is one of four topic areas that are being prioritised for a centre-led approach to testing innovative procurement approaches to support the adoption of innovation.</w:t>
      </w:r>
    </w:p>
    <w:p w:rsidR="006C1A9A" w:rsidRPr="00B4187B" w:rsidP="007739EF">
      <w:pPr>
        <w:spacing w:after="0" w:line="276" w:lineRule="auto"/>
        <w:rPr>
          <w:rFonts w:ascii="Verdana" w:hAnsi="Verdana" w:cs="Arial"/>
        </w:rPr>
      </w:pPr>
    </w:p>
    <w:p w:rsidR="00AE5C8C" w:rsidRPr="00B4187B" w:rsidP="00871588">
      <w:pPr>
        <w:spacing w:after="0" w:line="276" w:lineRule="auto"/>
        <w:rPr>
          <w:rFonts w:ascii="Verdana" w:hAnsi="Verdana" w:cs="Arial"/>
          <w:b/>
          <w:bCs/>
        </w:rPr>
      </w:pPr>
      <w:r w:rsidRPr="00B4187B">
        <w:rPr>
          <w:rFonts w:ascii="Verdana" w:hAnsi="Verdana" w:cs="Arial"/>
          <w:b/>
          <w:bCs/>
        </w:rPr>
        <w:t>NHS AKI algorithm</w:t>
      </w:r>
    </w:p>
    <w:p w:rsidR="00733323" w:rsidRPr="00B4187B" w:rsidP="007739EF">
      <w:pPr>
        <w:pStyle w:val="ListParagraph"/>
        <w:numPr>
          <w:ilvl w:val="0"/>
          <w:numId w:val="11"/>
        </w:numPr>
        <w:spacing w:after="0" w:line="276" w:lineRule="auto"/>
        <w:ind w:left="360"/>
        <w:rPr>
          <w:rFonts w:ascii="Verdana" w:hAnsi="Verdana" w:cs="Arial"/>
        </w:rPr>
      </w:pPr>
      <w:r w:rsidRPr="00B4187B">
        <w:rPr>
          <w:rFonts w:ascii="Verdana" w:hAnsi="Verdana" w:cs="Arial"/>
        </w:rPr>
        <w:t xml:space="preserve">In the medium to long term, there are significant opportunities for personalised medicine to harness AI and digitally enabled algorithms to integrate diagnostic and pathology data, enabling earlier risk identification, faster diagnosis, and more targeted interventions. </w:t>
      </w:r>
    </w:p>
    <w:p w:rsidR="008C5547" w:rsidRPr="00B4187B" w:rsidP="007739EF">
      <w:pPr>
        <w:pStyle w:val="ListParagraph"/>
        <w:numPr>
          <w:ilvl w:val="0"/>
          <w:numId w:val="11"/>
        </w:numPr>
        <w:spacing w:after="0" w:line="276" w:lineRule="auto"/>
        <w:ind w:left="360"/>
        <w:rPr>
          <w:rFonts w:ascii="Verdana" w:hAnsi="Verdana" w:cs="Arial"/>
        </w:rPr>
      </w:pPr>
      <w:r w:rsidRPr="00B4187B">
        <w:rPr>
          <w:rFonts w:ascii="Verdana" w:hAnsi="Verdana" w:cs="Arial"/>
        </w:rPr>
        <w:t xml:space="preserve">There are already clear examples of this potential in practice, such as the NHS AKI algorithm, which uses routine blood data to flag early signs of kidney injury, and </w:t>
      </w:r>
      <w:r w:rsidRPr="00B4187B">
        <w:rPr>
          <w:rFonts w:ascii="Verdana" w:hAnsi="Verdana" w:cs="Arial"/>
        </w:rPr>
        <w:t>ColoFIT</w:t>
      </w:r>
      <w:r w:rsidRPr="00B4187B">
        <w:rPr>
          <w:rFonts w:ascii="Verdana" w:hAnsi="Verdana" w:cs="Arial"/>
        </w:rPr>
        <w:t xml:space="preserve">, which supports risk stratification and prioritisation in colorectal cancer pathways. These approaches not only improve patient outcomes through earlier detection but also streamline pathways and reduce unnecessary testing. </w:t>
      </w:r>
    </w:p>
    <w:p w:rsidR="008C5547" w:rsidRPr="00B4187B" w:rsidP="007739EF">
      <w:pPr>
        <w:pStyle w:val="ListParagraph"/>
        <w:spacing w:after="0" w:line="276" w:lineRule="auto"/>
        <w:rPr>
          <w:rFonts w:ascii="Verdana" w:hAnsi="Verdana" w:cs="Arial"/>
        </w:rPr>
      </w:pPr>
    </w:p>
    <w:p w:rsidR="008C5547" w:rsidRPr="00B4187B" w:rsidP="007739EF">
      <w:pPr>
        <w:spacing w:after="0" w:line="276" w:lineRule="auto"/>
        <w:rPr>
          <w:rFonts w:ascii="Verdana" w:hAnsi="Verdana" w:cs="Arial"/>
          <w:b/>
          <w:bCs/>
        </w:rPr>
      </w:pPr>
      <w:r w:rsidRPr="00B4187B">
        <w:rPr>
          <w:rFonts w:ascii="Verdana" w:hAnsi="Verdana" w:cs="Arial"/>
          <w:b/>
          <w:bCs/>
        </w:rPr>
        <w:t>Application(s) of AI in genomics</w:t>
      </w:r>
    </w:p>
    <w:p w:rsidR="008C5547" w:rsidRPr="00B4187B" w:rsidP="007739EF">
      <w:pPr>
        <w:pStyle w:val="ListParagraph"/>
        <w:numPr>
          <w:ilvl w:val="0"/>
          <w:numId w:val="10"/>
        </w:numPr>
        <w:spacing w:after="0" w:line="276" w:lineRule="auto"/>
        <w:rPr>
          <w:rFonts w:ascii="Verdana" w:hAnsi="Verdana" w:cs="Arial"/>
        </w:rPr>
      </w:pPr>
      <w:r w:rsidRPr="00B4187B">
        <w:rPr>
          <w:rFonts w:ascii="Verdana" w:hAnsi="Verdana" w:cs="Arial"/>
        </w:rPr>
        <w:t xml:space="preserve">Genomics England’s National Genomic Research Library supports AI-driven discovery and diagnostics. For example, </w:t>
      </w:r>
      <w:r w:rsidRPr="00B4187B">
        <w:rPr>
          <w:rFonts w:ascii="Verdana" w:hAnsi="Verdana" w:cs="Arial"/>
          <w:i/>
          <w:iCs/>
        </w:rPr>
        <w:t>AlphaMissense</w:t>
      </w:r>
      <w:r w:rsidRPr="00B4187B">
        <w:rPr>
          <w:rFonts w:ascii="Verdana" w:hAnsi="Verdana" w:cs="Arial"/>
        </w:rPr>
        <w:t xml:space="preserve"> has been validated against known disease classifications and can provide clinical scientists with additional evidence to support faster, more accurate variant interpretation.</w:t>
      </w:r>
    </w:p>
    <w:p w:rsidR="008C5547" w:rsidRPr="00B4187B" w:rsidP="007739EF">
      <w:pPr>
        <w:pStyle w:val="ListParagraph"/>
        <w:numPr>
          <w:ilvl w:val="0"/>
          <w:numId w:val="10"/>
        </w:numPr>
        <w:spacing w:after="0" w:line="276" w:lineRule="auto"/>
        <w:textAlignment w:val="center"/>
        <w:rPr>
          <w:rFonts w:ascii="Verdana" w:hAnsi="Verdana" w:cs="Arial"/>
        </w:rPr>
      </w:pPr>
      <w:r w:rsidRPr="00B4187B">
        <w:rPr>
          <w:rFonts w:ascii="Verdana" w:hAnsi="Verdana" w:cs="Arial"/>
        </w:rPr>
        <w:t>AI is already improving genomic interpretation and helping identify patterns that would be difficult to detect through manual analysis alone.</w:t>
      </w:r>
    </w:p>
    <w:p w:rsidR="008C5547" w:rsidRPr="00B4187B" w:rsidP="007739EF">
      <w:pPr>
        <w:pStyle w:val="ListParagraph"/>
        <w:numPr>
          <w:ilvl w:val="0"/>
          <w:numId w:val="10"/>
        </w:numPr>
        <w:spacing w:after="0" w:line="276" w:lineRule="auto"/>
        <w:textAlignment w:val="center"/>
        <w:rPr>
          <w:rFonts w:ascii="Verdana" w:hAnsi="Verdana" w:cs="Arial"/>
        </w:rPr>
      </w:pPr>
      <w:r w:rsidRPr="00B4187B">
        <w:rPr>
          <w:rFonts w:ascii="Verdana" w:hAnsi="Verdana" w:cs="Arial"/>
        </w:rPr>
        <w:t>Well-governed datasets from Genomics England, Our Future Health and UK Biobank provide a strong foundation for responsible development and deployment of these tools.</w:t>
      </w:r>
    </w:p>
    <w:p w:rsidR="008C5547" w:rsidRPr="00B4187B" w:rsidP="007739EF">
      <w:pPr>
        <w:pStyle w:val="ListParagraph"/>
        <w:numPr>
          <w:ilvl w:val="0"/>
          <w:numId w:val="7"/>
        </w:numPr>
        <w:spacing w:after="0" w:line="276" w:lineRule="auto"/>
        <w:rPr>
          <w:rFonts w:ascii="Verdana" w:hAnsi="Verdana" w:cs="Arial"/>
        </w:rPr>
      </w:pPr>
      <w:r w:rsidRPr="00B4187B">
        <w:rPr>
          <w:rFonts w:ascii="Verdana" w:hAnsi="Verdana" w:cs="Arial"/>
        </w:rPr>
        <w:t xml:space="preserve">Genomics England is also working with </w:t>
      </w:r>
      <w:r w:rsidRPr="00B4187B">
        <w:rPr>
          <w:rFonts w:ascii="Verdana" w:hAnsi="Verdana" w:cs="Arial"/>
          <w:i/>
          <w:iCs/>
        </w:rPr>
        <w:t>InstaDeep</w:t>
      </w:r>
      <w:r w:rsidRPr="00B4187B">
        <w:rPr>
          <w:rFonts w:ascii="Verdana" w:hAnsi="Verdana" w:cs="Arial"/>
        </w:rPr>
        <w:t xml:space="preserve"> to explore high-impact AI applications, including identifying cancers of unknown primary origin and assessing treatment response through multimodal analysis of genomic and histopathology data.</w:t>
      </w:r>
    </w:p>
    <w:p w:rsidR="008C5547" w:rsidRPr="00B4187B" w:rsidP="008C5547">
      <w:pPr>
        <w:spacing w:after="0" w:line="240" w:lineRule="auto"/>
        <w:rPr>
          <w:rFonts w:ascii="Verdana" w:hAnsi="Verdana" w:cs="Arial"/>
        </w:rPr>
      </w:pPr>
    </w:p>
    <w:sectPr w:rsidSect="0073332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5E5EEA" w:rsidP="00252D97">
      <w:pPr>
        <w:spacing w:after="0" w:line="240" w:lineRule="auto"/>
      </w:pPr>
      <w:r>
        <w:separator/>
      </w:r>
    </w:p>
  </w:endnote>
  <w:endnote w:type="continuationSeparator" w:id="1">
    <w:p w:rsidR="005E5EEA" w:rsidP="00252D97">
      <w:pPr>
        <w:spacing w:after="0" w:line="240" w:lineRule="auto"/>
      </w:pPr>
      <w:r>
        <w:continuationSeparator/>
      </w:r>
    </w:p>
  </w:endnote>
  <w:endnote w:id="2">
    <w:p w:rsidR="005969D0" w:rsidRPr="00B4187B" w:rsidP="00871588">
      <w:pPr>
        <w:pStyle w:val="EndnoteText"/>
        <w:rPr>
          <w:rFonts w:ascii="Verdana" w:hAnsi="Verdana" w:cs="Arial"/>
          <w:sz w:val="16"/>
          <w:szCs w:val="16"/>
        </w:rPr>
      </w:pPr>
      <w:r w:rsidRPr="00B4187B">
        <w:rPr>
          <w:rStyle w:val="EndnoteReference"/>
          <w:rFonts w:ascii="Verdana" w:hAnsi="Verdana" w:cs="Arial"/>
          <w:sz w:val="16"/>
          <w:szCs w:val="16"/>
        </w:rPr>
        <w:endnoteRef/>
      </w:r>
      <w:r w:rsidRPr="00B4187B">
        <w:rPr>
          <w:rFonts w:ascii="Verdana" w:hAnsi="Verdana" w:cs="Arial"/>
          <w:sz w:val="16"/>
          <w:szCs w:val="16"/>
        </w:rPr>
        <w:t xml:space="preserve"> HMG, 10 Year Health Plan for England </w:t>
      </w:r>
      <w:r>
        <w:fldChar w:fldCharType="begin"/>
      </w:r>
      <w:r>
        <w:instrText xml:space="preserve"> HYPERLINK "https://www.gov.uk/government/publications/10-year-health-plan-for-england-fit-for-the-future" </w:instrText>
      </w:r>
      <w:r>
        <w:fldChar w:fldCharType="separate"/>
      </w:r>
      <w:r w:rsidRPr="00B4187B">
        <w:rPr>
          <w:rStyle w:val="Hyperlink"/>
          <w:rFonts w:ascii="Verdana" w:hAnsi="Verdana" w:cs="Arial"/>
          <w:sz w:val="16"/>
          <w:szCs w:val="16"/>
        </w:rPr>
        <w:t>https://www.gov.uk/government/publications/10-year-health-plan-for-england-fit-for-the-future</w:t>
      </w:r>
      <w:r>
        <w:fldChar w:fldCharType="end"/>
      </w:r>
    </w:p>
  </w:endnote>
  <w:endnote w:id="3">
    <w:p w:rsidR="005969D0" w:rsidRPr="00B4187B" w:rsidP="00871588">
      <w:pPr>
        <w:pStyle w:val="EndnoteText"/>
        <w:rPr>
          <w:rFonts w:ascii="Verdana" w:hAnsi="Verdana" w:cs="Arial"/>
          <w:sz w:val="16"/>
          <w:szCs w:val="16"/>
        </w:rPr>
      </w:pPr>
      <w:r w:rsidRPr="00B4187B">
        <w:rPr>
          <w:rStyle w:val="EndnoteReference"/>
          <w:rFonts w:ascii="Verdana" w:hAnsi="Verdana" w:cs="Arial"/>
          <w:sz w:val="16"/>
          <w:szCs w:val="16"/>
        </w:rPr>
        <w:endnoteRef/>
      </w:r>
      <w:r w:rsidRPr="00B4187B">
        <w:rPr>
          <w:rFonts w:ascii="Verdana" w:hAnsi="Verdana" w:cs="Arial"/>
          <w:sz w:val="16"/>
          <w:szCs w:val="16"/>
        </w:rPr>
        <w:t xml:space="preserve"> HMG, Life Sciences Sector Plan. </w:t>
      </w:r>
      <w:r>
        <w:fldChar w:fldCharType="begin"/>
      </w:r>
      <w:r>
        <w:instrText xml:space="preserve"> HYPERLINK "https://www.gov.uk/government/publications/life-sciences-sector-plan" </w:instrText>
      </w:r>
      <w:r>
        <w:fldChar w:fldCharType="separate"/>
      </w:r>
      <w:r w:rsidRPr="00B4187B">
        <w:rPr>
          <w:rStyle w:val="Hyperlink"/>
          <w:rFonts w:ascii="Verdana" w:hAnsi="Verdana" w:cs="Arial"/>
          <w:sz w:val="16"/>
          <w:szCs w:val="16"/>
        </w:rPr>
        <w:t>https://www.gov.uk/government/publications/life-sciences-sector-plan</w:t>
      </w:r>
      <w:r>
        <w:fldChar w:fldCharType="end"/>
      </w:r>
    </w:p>
  </w:endnote>
  <w:endnote w:id="4">
    <w:p w:rsidR="005969D0" w:rsidRPr="00B4187B" w:rsidP="00871588">
      <w:pPr>
        <w:spacing w:after="0" w:line="240" w:lineRule="auto"/>
        <w:rPr>
          <w:rFonts w:ascii="Verdana" w:hAnsi="Verdana" w:cs="Arial"/>
          <w:b/>
          <w:bCs/>
          <w:sz w:val="16"/>
          <w:szCs w:val="16"/>
        </w:rPr>
      </w:pPr>
      <w:r w:rsidRPr="00B4187B">
        <w:rPr>
          <w:rStyle w:val="EndnoteReference"/>
          <w:rFonts w:ascii="Verdana" w:hAnsi="Verdana" w:cs="Arial"/>
          <w:sz w:val="16"/>
          <w:szCs w:val="16"/>
        </w:rPr>
        <w:endnoteRef/>
      </w:r>
      <w:r w:rsidRPr="00B4187B">
        <w:rPr>
          <w:rFonts w:ascii="Verdana" w:hAnsi="Verdana" w:cs="Arial"/>
          <w:sz w:val="16"/>
          <w:szCs w:val="16"/>
        </w:rPr>
        <w:t xml:space="preserve"> HMG, 10 Year Workforce Plan. </w:t>
      </w:r>
      <w:r>
        <w:fldChar w:fldCharType="begin"/>
      </w:r>
      <w:r>
        <w:instrText xml:space="preserve"> HYPERLINK "https://www.gov.uk/government/calls-for-evidence/10-year-workforce-plan/10-year-workforce-plan-call-for-evidence-document" </w:instrText>
      </w:r>
      <w:r>
        <w:fldChar w:fldCharType="separate"/>
      </w:r>
      <w:r w:rsidRPr="00B4187B">
        <w:rPr>
          <w:rStyle w:val="Hyperlink"/>
          <w:rFonts w:ascii="Verdana" w:hAnsi="Verdana" w:cs="Arial"/>
          <w:sz w:val="16"/>
          <w:szCs w:val="16"/>
        </w:rPr>
        <w:t>https://www.gov.uk/government/calls-for-evidence/10-year-workforce-plan/10-year-workforce-plan-call-for-evidence-document</w:t>
      </w:r>
      <w:r>
        <w:fldChar w:fldCharType="end"/>
      </w:r>
    </w:p>
  </w:endnote>
  <w:endnote w:id="5">
    <w:p w:rsidR="005969D0" w:rsidRPr="00B4187B" w:rsidP="00871588">
      <w:pPr>
        <w:tabs>
          <w:tab w:val="num" w:pos="-360"/>
        </w:tabs>
        <w:spacing w:after="0" w:line="240" w:lineRule="auto"/>
        <w:rPr>
          <w:rFonts w:ascii="Verdana" w:eastAsia="Times New Roman" w:hAnsi="Verdana" w:cs="Arial"/>
          <w:color w:val="000000"/>
          <w:sz w:val="16"/>
          <w:szCs w:val="16"/>
        </w:rPr>
      </w:pPr>
      <w:r w:rsidRPr="00B4187B">
        <w:rPr>
          <w:rStyle w:val="EndnoteReference"/>
          <w:rFonts w:ascii="Verdana" w:hAnsi="Verdana" w:cs="Arial"/>
          <w:sz w:val="16"/>
          <w:szCs w:val="16"/>
        </w:rPr>
        <w:endnoteRef/>
      </w:r>
      <w:r w:rsidRPr="00B4187B">
        <w:rPr>
          <w:rFonts w:ascii="Verdana" w:hAnsi="Verdana" w:cs="Arial"/>
          <w:sz w:val="16"/>
          <w:szCs w:val="16"/>
        </w:rPr>
        <w:t xml:space="preserve"> Through the LSSP and 10YHP, government has committed to strengthen consented health research datasets and establish the HDRS, announced in April 2025 with up to £600 million from government and </w:t>
      </w:r>
      <w:r w:rsidRPr="00B4187B">
        <w:rPr>
          <w:rFonts w:ascii="Verdana" w:hAnsi="Verdana" w:cs="Arial"/>
          <w:i/>
          <w:iCs/>
          <w:sz w:val="16"/>
          <w:szCs w:val="16"/>
        </w:rPr>
        <w:t>Wellcome</w:t>
      </w:r>
    </w:p>
  </w:endnote>
  <w:endnote w:id="6">
    <w:p w:rsidR="005969D0" w:rsidRPr="00B4187B" w:rsidP="005969D0">
      <w:pPr>
        <w:spacing w:after="0" w:line="240" w:lineRule="auto"/>
        <w:rPr>
          <w:rFonts w:ascii="Verdana" w:hAnsi="Verdana" w:cs="Arial"/>
          <w:sz w:val="16"/>
          <w:szCs w:val="16"/>
        </w:rPr>
      </w:pPr>
      <w:r w:rsidRPr="00B4187B">
        <w:rPr>
          <w:rStyle w:val="EndnoteReference"/>
          <w:rFonts w:ascii="Verdana" w:hAnsi="Verdana" w:cs="Arial"/>
          <w:sz w:val="16"/>
          <w:szCs w:val="16"/>
        </w:rPr>
        <w:endnoteRef/>
      </w:r>
      <w:r w:rsidRPr="00B4187B">
        <w:rPr>
          <w:rFonts w:ascii="Verdana" w:hAnsi="Verdana" w:cs="Arial"/>
          <w:sz w:val="16"/>
          <w:szCs w:val="16"/>
        </w:rPr>
        <w:t xml:space="preserve"> For example, the Health Innovation Network has supported adoption of the AI-enabled cancer detection tool C the Signs in more than 350 GP practices through evidence generation, economic modelling and implementation support.</w:t>
      </w:r>
    </w:p>
  </w:endnote>
  <w:endnote w:id="7">
    <w:p w:rsidR="005969D0" w:rsidRPr="00B4187B" w:rsidP="005969D0">
      <w:pPr>
        <w:pStyle w:val="paragraph"/>
        <w:spacing w:before="0" w:beforeAutospacing="0" w:after="0" w:afterAutospacing="0"/>
        <w:rPr>
          <w:rFonts w:ascii="Verdana" w:hAnsi="Verdana" w:cs="Arial"/>
          <w:kern w:val="2"/>
          <w:sz w:val="16"/>
          <w:szCs w:val="16"/>
        </w:rPr>
      </w:pPr>
      <w:r w:rsidRPr="00B4187B">
        <w:rPr>
          <w:rStyle w:val="EndnoteReference"/>
          <w:rFonts w:ascii="Verdana" w:hAnsi="Verdana" w:cs="Arial"/>
          <w:sz w:val="16"/>
          <w:szCs w:val="16"/>
        </w:rPr>
        <w:endnoteRef/>
      </w:r>
      <w:r w:rsidRPr="00B4187B">
        <w:rPr>
          <w:rFonts w:ascii="Verdana" w:hAnsi="Verdana" w:cs="Arial"/>
          <w:sz w:val="16"/>
          <w:szCs w:val="16"/>
        </w:rPr>
        <w:t xml:space="preserve"> </w:t>
      </w:r>
      <w:r w:rsidRPr="00B4187B">
        <w:rPr>
          <w:rFonts w:ascii="Verdana" w:hAnsi="Verdana" w:cs="Arial"/>
          <w:i/>
          <w:iCs/>
          <w:sz w:val="16"/>
          <w:szCs w:val="16"/>
        </w:rPr>
        <w:t>The NHS Provider selection regime legislation requires the public procurement (selection) of hospitals to deliver new complex treatments. This is a resource-intensive process which places significant burdens on healthcare commissioners such as NHS England as well as hospitals when there are limited providers that can deliver these treatments. The burden of maintaining this activity as the number of commissioned ATMPs (currently 15) increases over time will require substantial resource both from commissioners and providers to maintain this.</w:t>
      </w:r>
      <w:r w:rsidRPr="00B4187B">
        <w:rPr>
          <w:rFonts w:ascii="Verdana" w:hAnsi="Verdana" w:cs="Arial"/>
          <w:sz w:val="16"/>
          <w:szCs w:val="16"/>
        </w:rPr>
        <w:t xml:space="preserve"> </w:t>
      </w:r>
    </w:p>
  </w:endnote>
  <w:endnote w:id="8">
    <w:p w:rsidR="005969D0" w:rsidRPr="00B4187B" w:rsidP="00871588">
      <w:pPr>
        <w:spacing w:after="0" w:line="240" w:lineRule="auto"/>
        <w:rPr>
          <w:rFonts w:ascii="Verdana" w:eastAsia="Segoe UI" w:hAnsi="Verdana" w:cs="Arial"/>
          <w:color w:val="464FEB"/>
          <w:sz w:val="18"/>
          <w:szCs w:val="18"/>
        </w:rPr>
      </w:pPr>
      <w:r w:rsidRPr="00B4187B">
        <w:rPr>
          <w:rStyle w:val="EndnoteReference"/>
          <w:rFonts w:ascii="Verdana" w:hAnsi="Verdana" w:cs="Arial"/>
          <w:sz w:val="16"/>
          <w:szCs w:val="16"/>
        </w:rPr>
        <w:endnoteRef/>
      </w:r>
      <w:r w:rsidRPr="00B4187B">
        <w:rPr>
          <w:rFonts w:ascii="Verdana" w:hAnsi="Verdana" w:cs="Arial"/>
          <w:sz w:val="16"/>
          <w:szCs w:val="16"/>
        </w:rPr>
        <w:t xml:space="preserve"> </w:t>
      </w:r>
      <w:r w:rsidRPr="00B4187B">
        <w:rPr>
          <w:rFonts w:ascii="Verdana" w:eastAsia="Segoe UI" w:hAnsi="Verdana" w:cs="Arial"/>
          <w:b/>
          <w:bCs/>
          <w:sz w:val="16"/>
          <w:szCs w:val="16"/>
        </w:rPr>
        <w:t>Digital, Data and Analytics: Overview of Functions</w:t>
      </w:r>
      <w:r w:rsidRPr="00B4187B">
        <w:rPr>
          <w:rFonts w:ascii="Verdana" w:eastAsia="Segoe UI" w:hAnsi="Verdana" w:cs="Arial"/>
          <w:sz w:val="16"/>
          <w:szCs w:val="16"/>
        </w:rPr>
        <w:t xml:space="preserve"> – NHS England</w:t>
      </w:r>
      <w:r w:rsidRPr="00B4187B">
        <w:rPr>
          <w:rFonts w:ascii="Verdana" w:hAnsi="Verdana" w:cs="Arial"/>
          <w:sz w:val="16"/>
          <w:szCs w:val="16"/>
        </w:rPr>
        <w:t xml:space="preserve">. </w:t>
      </w:r>
      <w:r w:rsidRPr="00B4187B">
        <w:rPr>
          <w:rFonts w:ascii="Verdana" w:eastAsia="Segoe UI" w:hAnsi="Verdana" w:cs="Arial"/>
          <w:sz w:val="16"/>
          <w:szCs w:val="16"/>
        </w:rPr>
        <w:t>Describes national programmes including the Federated Data Platform, Single Patient Record, NHS Data Platform and Trusted Research Environments as the core infrastructure to support interoperability, research, AI and personalised medicine.</w:t>
      </w:r>
      <w:r w:rsidRPr="00B4187B">
        <w:rPr>
          <w:rFonts w:ascii="Verdana" w:hAnsi="Verdana" w:cs="Arial"/>
          <w:sz w:val="16"/>
          <w:szCs w:val="16"/>
        </w:rPr>
        <w:t xml:space="preserve"> </w:t>
      </w:r>
      <w:r>
        <w:fldChar w:fldCharType="begin"/>
      </w:r>
      <w:r>
        <w:instrText xml:space="preserve"> HYPERLINK "https://nhs.sharepoint.com/sites/MingsOffice-PrivateOffice/_layouts/15/Doc.aspx?sourcedoc=%7BF181CBDA-5B30-43A7-9809-898AFEB166E8%7D&amp;file=Digital,%20Data%20and%20Analytics%20overview%20of%20functions.pptx&amp;action=edit&amp;mobileredirect=true&amp;DefaultItemOpen=1" </w:instrText>
      </w:r>
      <w:r>
        <w:fldChar w:fldCharType="separate"/>
      </w:r>
      <w:r w:rsidRPr="00B4187B">
        <w:rPr>
          <w:rStyle w:val="Hyperlink"/>
          <w:rFonts w:ascii="Verdana" w:eastAsia="Segoe UI" w:hAnsi="Verdana" w:cs="Arial"/>
          <w:color w:val="464FEB"/>
          <w:sz w:val="16"/>
          <w:szCs w:val="16"/>
        </w:rPr>
        <w:t>[Digital, D...functions | PowerPoint]</w:t>
      </w:r>
      <w: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D97">
    <w:pPr>
      <w:pStyle w:val="Footer"/>
    </w:pPr>
    <w:r>
      <w:rPr>
        <w:noProof/>
      </w:rPr>
      <w:pict>
        <v:shapetype id="_x0000_t202" coordsize="21600,21600" o:spt="202" path="m,l,21600r21600,l21600,xe">
          <v:stroke joinstyle="miter"/>
          <v:path gradientshapeok="t" o:connecttype="rect"/>
        </v:shapetype>
        <v:shape id="Text Box 5" o:spid="_x0000_s2051" type="#_x0000_t202" alt="OFFICIAL" style="height:29.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40.85pt;z-index:251660288" filled="f" stroked="f">
          <v:textbox style="mso-fit-shape-to-text:t" inset="0,0,0,15pt">
            <w:txbxContent>
              <w:p w:rsidR="00252D97" w:rsidRPr="00252D97" w:rsidP="00252D97">
                <w:pPr>
                  <w:spacing w:after="0"/>
                  <w:rPr>
                    <w:rFonts w:ascii="Aptos" w:eastAsia="Aptos" w:hAnsi="Aptos" w:cs="Aptos"/>
                    <w:noProof/>
                    <w:color w:val="000000"/>
                    <w:sz w:val="20"/>
                    <w:szCs w:val="20"/>
                  </w:rPr>
                </w:pPr>
                <w:r w:rsidRPr="00252D97">
                  <w:rPr>
                    <w:rFonts w:ascii="Aptos" w:eastAsia="Aptos" w:hAnsi="Aptos" w:cs="Aptos"/>
                    <w:noProof/>
                    <w:color w:val="000000"/>
                    <w:sz w:val="20"/>
                    <w:szCs w:val="20"/>
                  </w:rPr>
                  <w:t>OFFICIAL</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sz w:val="24"/>
        <w:szCs w:val="24"/>
      </w:rPr>
      <w:id w:val="968163105"/>
      <w:docPartObj>
        <w:docPartGallery w:val="Page Numbers (Bottom of Page)"/>
        <w:docPartUnique/>
      </w:docPartObj>
    </w:sdtPr>
    <w:sdtContent>
      <w:p w:rsidR="00D87397" w:rsidRPr="001D7230" w:rsidP="00DC62B3">
        <w:pPr>
          <w:pStyle w:val="FootnoteText"/>
        </w:pPr>
      </w:p>
      <w:p w:rsidR="00BA7858" w:rsidP="00B4187B">
        <w:pPr>
          <w:pStyle w:val="Foo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D97">
    <w:pPr>
      <w:pStyle w:val="Footer"/>
    </w:pPr>
    <w:r>
      <w:rPr>
        <w:noProof/>
      </w:rPr>
      <w:pict>
        <v:shapetype id="_x0000_t202" coordsize="21600,21600" o:spt="202" path="m,l,21600r21600,l21600,xe">
          <v:stroke joinstyle="miter"/>
          <v:path gradientshapeok="t" o:connecttype="rect"/>
        </v:shapetype>
        <v:shape id="Text Box 4" o:spid="_x0000_s2053" type="#_x0000_t202" alt="OFFICIAL" style="height:29.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40.85pt;z-index:251662336" filled="f" stroked="f">
          <v:textbox style="mso-fit-shape-to-text:t" inset="0,0,0,15pt">
            <w:txbxContent>
              <w:p w:rsidR="00252D97" w:rsidRPr="00252D97" w:rsidP="00252D97">
                <w:pPr>
                  <w:spacing w:after="0"/>
                  <w:rPr>
                    <w:rFonts w:ascii="Aptos" w:eastAsia="Aptos" w:hAnsi="Aptos" w:cs="Aptos"/>
                    <w:noProof/>
                    <w:color w:val="000000"/>
                    <w:sz w:val="20"/>
                    <w:szCs w:val="20"/>
                  </w:rPr>
                </w:pPr>
                <w:r w:rsidRPr="00252D97">
                  <w:rPr>
                    <w:rFonts w:ascii="Aptos" w:eastAsia="Aptos" w:hAnsi="Aptos" w:cs="Aptos"/>
                    <w:noProof/>
                    <w:color w:val="000000"/>
                    <w:sz w:val="20"/>
                    <w:szCs w:val="20"/>
                  </w:rPr>
                  <w:t>OFFICIAL</w:t>
                </w:r>
              </w:p>
            </w:txbxContent>
          </v:textbox>
          <w10:wrap anchorx="page" anchory="page"/>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D97">
    <w:pPr>
      <w:pStyle w:val="Header"/>
    </w:pPr>
    <w:r>
      <w:rPr>
        <w:noProof/>
      </w:rPr>
      <w:pict>
        <v:shapetype id="_x0000_t202" coordsize="21600,21600" o:spt="202" path="m,l,21600r21600,l21600,xe">
          <v:stroke joinstyle="miter"/>
          <v:path gradientshapeok="t" o:connecttype="rect"/>
        </v:shapetype>
        <v:shape id="Text Box 2" o:spid="_x0000_s2049" type="#_x0000_t202" alt="OFFICIAL" style="height:29.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40.85pt;z-index:251658240" filled="f" stroked="f">
          <v:textbox style="mso-fit-shape-to-text:t" inset="0,15pt,0,0">
            <w:txbxContent>
              <w:p w:rsidR="00252D97" w:rsidRPr="00252D97" w:rsidP="00252D97">
                <w:pPr>
                  <w:spacing w:after="0"/>
                  <w:rPr>
                    <w:rFonts w:ascii="Aptos" w:eastAsia="Aptos" w:hAnsi="Aptos" w:cs="Aptos"/>
                    <w:noProof/>
                    <w:color w:val="000000"/>
                    <w:sz w:val="20"/>
                    <w:szCs w:val="20"/>
                  </w:rPr>
                </w:pPr>
                <w:r w:rsidRPr="00252D97">
                  <w:rPr>
                    <w:rFonts w:ascii="Aptos" w:eastAsia="Aptos" w:hAnsi="Aptos" w:cs="Aptos"/>
                    <w:noProof/>
                    <w:color w:val="000000"/>
                    <w:sz w:val="20"/>
                    <w:szCs w:val="20"/>
                  </w:rPr>
                  <w:t>OFFICIAL</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D97">
    <w:pPr>
      <w:pStyle w:val="Header"/>
    </w:pPr>
    <w:r>
      <w:rPr>
        <w:noProof/>
      </w:rPr>
      <w:pict>
        <v:shapetype id="_x0000_t202" coordsize="21600,21600" o:spt="202" path="m,l,21600r21600,l21600,xe">
          <v:stroke joinstyle="miter"/>
          <v:path gradientshapeok="t" o:connecttype="rect"/>
        </v:shapetype>
        <v:shape id="Text Box 3" o:spid="_x0000_s2050" type="#_x0000_t202" alt="OFFICIAL" style="height:29.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40.85pt;z-index:251659264" filled="f" stroked="f">
          <v:textbox style="mso-fit-shape-to-text:t" inset="0,15pt,0,0">
            <w:txbxContent>
              <w:p w:rsidR="00252D97" w:rsidRPr="00252D97" w:rsidP="00252D97">
                <w:pPr>
                  <w:spacing w:after="0"/>
                  <w:rPr>
                    <w:rFonts w:ascii="Aptos" w:eastAsia="Aptos" w:hAnsi="Aptos" w:cs="Aptos"/>
                    <w:noProof/>
                    <w:color w:val="000000"/>
                    <w:sz w:val="20"/>
                    <w:szCs w:val="20"/>
                  </w:rPr>
                </w:pP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D97">
    <w:pPr>
      <w:pStyle w:val="Header"/>
    </w:pPr>
    <w:r>
      <w:rPr>
        <w:noProof/>
      </w:rPr>
      <w:pict>
        <v:shapetype id="_x0000_t202" coordsize="21600,21600" o:spt="202" path="m,l,21600r21600,l21600,xe">
          <v:stroke joinstyle="miter"/>
          <v:path gradientshapeok="t" o:connecttype="rect"/>
        </v:shapetype>
        <v:shape id="Text Box 1" o:spid="_x0000_s2052" type="#_x0000_t202" alt="OFFICIAL" style="height:29.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40.85pt;z-index:251661312" filled="f" stroked="f">
          <v:textbox style="mso-fit-shape-to-text:t" inset="0,15pt,0,0">
            <w:txbxContent>
              <w:p w:rsidR="00252D97" w:rsidRPr="00252D97" w:rsidP="00252D97">
                <w:pPr>
                  <w:spacing w:after="0"/>
                  <w:rPr>
                    <w:rFonts w:ascii="Aptos" w:eastAsia="Aptos" w:hAnsi="Aptos" w:cs="Aptos"/>
                    <w:noProof/>
                    <w:color w:val="000000"/>
                    <w:sz w:val="20"/>
                    <w:szCs w:val="20"/>
                  </w:rPr>
                </w:pPr>
                <w:r w:rsidRPr="00252D97">
                  <w:rPr>
                    <w:rFonts w:ascii="Aptos" w:eastAsia="Aptos" w:hAnsi="Aptos" w:cs="Aptos"/>
                    <w:noProof/>
                    <w:color w:val="000000"/>
                    <w:sz w:val="20"/>
                    <w:szCs w:val="20"/>
                  </w:rPr>
                  <w:t>OFFICIAL</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022439"/>
    <w:multiLevelType w:val="hybridMultilevel"/>
    <w:tmpl w:val="61068980"/>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8D75DE"/>
    <w:multiLevelType w:val="hybridMultilevel"/>
    <w:tmpl w:val="47446382"/>
    <w:lvl w:ilvl="0">
      <w:start w:val="1"/>
      <w:numFmt w:val="bullet"/>
      <w:lvlText w:val=""/>
      <w:lvlJc w:val="left"/>
      <w:pPr>
        <w:ind w:left="360" w:hanging="360"/>
      </w:pPr>
      <w:rPr>
        <w:rFonts w:ascii="Symbol" w:hAnsi="Symbol" w:hint="default"/>
        <w:sz w:val="22"/>
        <w:szCs w:val="22"/>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nsid w:val="03B90551"/>
    <w:multiLevelType w:val="hybridMultilevel"/>
    <w:tmpl w:val="35E4ED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7E5AD9"/>
    <w:multiLevelType w:val="hybridMultilevel"/>
    <w:tmpl w:val="F7AAF07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D9D6434"/>
    <w:multiLevelType w:val="hybridMultilevel"/>
    <w:tmpl w:val="D1C644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9C62C7"/>
    <w:multiLevelType w:val="hybridMultilevel"/>
    <w:tmpl w:val="EB2233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CB04B47"/>
    <w:multiLevelType w:val="hybridMultilevel"/>
    <w:tmpl w:val="6BAC470E"/>
    <w:lvl w:ilvl="0">
      <w:start w:val="1"/>
      <w:numFmt w:val="bullet"/>
      <w:lvlText w:val="o"/>
      <w:lvlJc w:val="left"/>
      <w:pPr>
        <w:ind w:left="360" w:hanging="360"/>
      </w:pPr>
      <w:rPr>
        <w:rFonts w:ascii="Courier New" w:hAnsi="Courier New" w:cs="Courier New" w:hint="default"/>
      </w:rPr>
    </w:lvl>
    <w:lvl w:ilvl="1">
      <w:start w:val="0"/>
      <w:numFmt w:val="bullet"/>
      <w:lvlText w:val="•"/>
      <w:lvlJc w:val="left"/>
      <w:pPr>
        <w:ind w:left="720" w:hanging="720"/>
      </w:pPr>
      <w:rPr>
        <w:rFonts w:ascii="Arial" w:hAnsi="Arial" w:eastAsiaTheme="minorEastAsia" w:cs="Arial"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7">
    <w:nsid w:val="1E05637C"/>
    <w:multiLevelType w:val="hybridMultilevel"/>
    <w:tmpl w:val="23168A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E2A07DE"/>
    <w:multiLevelType w:val="hybrid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9">
    <w:nsid w:val="34747875"/>
    <w:multiLevelType w:val="hybridMultilevel"/>
    <w:tmpl w:val="288A80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3937303A"/>
    <w:multiLevelType w:val="multilevel"/>
    <w:tmpl w:val="9B72F14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3AD9D6C4"/>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3D313615"/>
    <w:multiLevelType w:val="hybridMultilevel"/>
    <w:tmpl w:val="C068E9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36631C2"/>
    <w:multiLevelType w:val="hybridMultilevel"/>
    <w:tmpl w:val="4B5ED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3861001"/>
    <w:multiLevelType w:val="hybridMultilevel"/>
    <w:tmpl w:val="B57CE83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55F42827"/>
    <w:multiLevelType w:val="hybridMultilevel"/>
    <w:tmpl w:val="95265DF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96839AF"/>
    <w:multiLevelType w:val="hybridMultilevel"/>
    <w:tmpl w:val="564AED80"/>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Aptos" w:hAnsi="Apto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0E3E32"/>
    <w:multiLevelType w:val="hybridMultilevel"/>
    <w:tmpl w:val="79F40460"/>
    <w:lvl w:ilvl="0">
      <w:start w:val="1"/>
      <w:numFmt w:val="bullet"/>
      <w:lvlText w:val=""/>
      <w:lvlJc w:val="left"/>
      <w:pPr>
        <w:ind w:left="720" w:hanging="363"/>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5F76F83"/>
    <w:multiLevelType w:val="hybridMultilevel"/>
    <w:tmpl w:val="FC3084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BEA3CF9"/>
    <w:multiLevelType w:val="hybridMultilevel"/>
    <w:tmpl w:val="9FBA25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5F453AA"/>
    <w:multiLevelType w:val="hybridMultilevel"/>
    <w:tmpl w:val="B5B43A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85F2DC5"/>
    <w:multiLevelType w:val="hybridMultilevel"/>
    <w:tmpl w:val="FC62F0D8"/>
    <w:lvl w:ilvl="0">
      <w:start w:val="5"/>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1"/>
  </w:num>
  <w:num w:numId="4">
    <w:abstractNumId w:val="1"/>
  </w:num>
  <w:num w:numId="5">
    <w:abstractNumId w:val="17"/>
  </w:num>
  <w:num w:numId="6">
    <w:abstractNumId w:val="0"/>
  </w:num>
  <w:num w:numId="7">
    <w:abstractNumId w:val="8"/>
  </w:num>
  <w:num w:numId="8">
    <w:abstractNumId w:val="12"/>
  </w:num>
  <w:num w:numId="9">
    <w:abstractNumId w:val="7"/>
  </w:num>
  <w:num w:numId="10">
    <w:abstractNumId w:val="3"/>
  </w:num>
  <w:num w:numId="11">
    <w:abstractNumId w:val="19"/>
  </w:num>
  <w:num w:numId="12">
    <w:abstractNumId w:val="2"/>
  </w:num>
  <w:num w:numId="13">
    <w:abstractNumId w:val="18"/>
  </w:num>
  <w:num w:numId="14">
    <w:abstractNumId w:val="13"/>
  </w:num>
  <w:num w:numId="15">
    <w:abstractNumId w:val="20"/>
  </w:num>
  <w:num w:numId="16">
    <w:abstractNumId w:val="5"/>
  </w:num>
  <w:num w:numId="17">
    <w:abstractNumId w:val="14"/>
  </w:num>
  <w:num w:numId="18">
    <w:abstractNumId w:val="6"/>
  </w:num>
  <w:num w:numId="19">
    <w:abstractNumId w:val="4"/>
  </w:num>
  <w:num w:numId="20">
    <w:abstractNumId w:val="9"/>
  </w:num>
  <w:num w:numId="21">
    <w:abstractNumId w:val="15"/>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NotTrackMoves/>
  <w:defaultTabStop w:val="720"/>
  <w:characterSpacingControl w:val="doNotCompress"/>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255E54"/>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255E54"/>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255E54"/>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D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D97"/>
  </w:style>
  <w:style w:type="paragraph" w:styleId="Footer">
    <w:name w:val="footer"/>
    <w:basedOn w:val="Normal"/>
    <w:link w:val="FooterChar"/>
    <w:uiPriority w:val="99"/>
    <w:unhideWhenUsed/>
    <w:rsid w:val="00252D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D97"/>
  </w:style>
  <w:style w:type="character" w:styleId="Hyperlink">
    <w:name w:val="Hyperlink"/>
    <w:basedOn w:val="DefaultParagraphFont"/>
    <w:uiPriority w:val="99"/>
    <w:unhideWhenUsed/>
    <w:rsid w:val="00DF3644"/>
    <w:rPr>
      <w:color w:val="467886" w:themeColor="hyperlink"/>
      <w:u w:val="single"/>
    </w:rPr>
  </w:style>
  <w:style w:type="character" w:customStyle="1" w:styleId="UnresolvedMention">
    <w:name w:val="Unresolved Mention"/>
    <w:basedOn w:val="DefaultParagraphFont"/>
    <w:uiPriority w:val="99"/>
    <w:semiHidden/>
    <w:unhideWhenUsed/>
    <w:rsid w:val="00DF3644"/>
    <w:rPr>
      <w:color w:val="605E5C"/>
      <w:shd w:val="clear" w:color="auto" w:fill="E1DFDD"/>
    </w:rPr>
  </w:style>
  <w:style w:type="character" w:customStyle="1" w:styleId="Heading1Char">
    <w:name w:val="Heading 1 Char"/>
    <w:basedOn w:val="DefaultParagraphFont"/>
    <w:link w:val="Heading1"/>
    <w:uiPriority w:val="9"/>
    <w:rsid w:val="00255E54"/>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255E54"/>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255E54"/>
    <w:rPr>
      <w:rFonts w:asciiTheme="majorHAnsi" w:eastAsiaTheme="majorEastAsia" w:hAnsiTheme="majorHAnsi" w:cstheme="majorBidi"/>
      <w:color w:val="0A2F40" w:themeColor="accent1" w:themeShade="7F"/>
    </w:rPr>
  </w:style>
  <w:style w:type="paragraph" w:styleId="ListParagraph">
    <w:name w:val="List Paragraph"/>
    <w:aliases w:val="Bullet 1,Bullet Points,Colorful List - Accent 11,Dot pt,F5 List Paragraph,Indicator Text,List Paragraph Char Char Char,List Paragraph1,List Paragraph12,List Paragraph2,MAIN CONTENT,No Spacing1,Normal numbered,Numbered Para 1,Recommendatio"/>
    <w:basedOn w:val="Normal"/>
    <w:link w:val="ListParagraphChar"/>
    <w:uiPriority w:val="34"/>
    <w:qFormat/>
    <w:rsid w:val="004815E8"/>
    <w:pPr>
      <w:ind w:left="720"/>
      <w:contextualSpacing/>
    </w:pPr>
  </w:style>
  <w:style w:type="paragraph" w:styleId="TOCHeading">
    <w:name w:val="TOC Heading"/>
    <w:basedOn w:val="Heading1"/>
    <w:next w:val="Normal"/>
    <w:uiPriority w:val="39"/>
    <w:unhideWhenUsed/>
    <w:qFormat/>
    <w:rsid w:val="00BD6CE6"/>
    <w:pPr>
      <w:spacing w:line="259" w:lineRule="auto"/>
      <w:outlineLvl w:val="9"/>
    </w:pPr>
    <w:rPr>
      <w:lang w:eastAsia="en-GB"/>
    </w:rPr>
  </w:style>
  <w:style w:type="paragraph" w:styleId="TOC1">
    <w:name w:val="toc 1"/>
    <w:basedOn w:val="Normal"/>
    <w:next w:val="Normal"/>
    <w:autoRedefine/>
    <w:uiPriority w:val="39"/>
    <w:unhideWhenUsed/>
    <w:rsid w:val="00BD6CE6"/>
    <w:pPr>
      <w:spacing w:after="100"/>
    </w:pPr>
  </w:style>
  <w:style w:type="paragraph" w:styleId="TOC3">
    <w:name w:val="toc 3"/>
    <w:basedOn w:val="Normal"/>
    <w:next w:val="Normal"/>
    <w:autoRedefine/>
    <w:uiPriority w:val="39"/>
    <w:unhideWhenUsed/>
    <w:rsid w:val="00BD6CE6"/>
    <w:pPr>
      <w:spacing w:after="100"/>
      <w:ind w:left="480"/>
    </w:pPr>
  </w:style>
  <w:style w:type="paragraph" w:styleId="TOC2">
    <w:name w:val="toc 2"/>
    <w:basedOn w:val="Normal"/>
    <w:next w:val="Normal"/>
    <w:autoRedefine/>
    <w:uiPriority w:val="39"/>
    <w:unhideWhenUsed/>
    <w:rsid w:val="00BD6CE6"/>
    <w:pPr>
      <w:spacing w:after="100"/>
      <w:ind w:left="240"/>
    </w:pPr>
  </w:style>
  <w:style w:type="paragraph" w:styleId="CommentText">
    <w:name w:val="annotation text"/>
    <w:basedOn w:val="Normal"/>
    <w:link w:val="CommentTextChar"/>
    <w:uiPriority w:val="99"/>
    <w:unhideWhenUsed/>
    <w:rsid w:val="009C77B3"/>
    <w:pPr>
      <w:spacing w:line="240" w:lineRule="auto"/>
    </w:pPr>
    <w:rPr>
      <w:sz w:val="20"/>
      <w:szCs w:val="20"/>
    </w:rPr>
  </w:style>
  <w:style w:type="character" w:customStyle="1" w:styleId="CommentTextChar">
    <w:name w:val="Comment Text Char"/>
    <w:basedOn w:val="DefaultParagraphFont"/>
    <w:link w:val="CommentText"/>
    <w:uiPriority w:val="99"/>
    <w:rsid w:val="009C77B3"/>
    <w:rPr>
      <w:sz w:val="20"/>
      <w:szCs w:val="20"/>
    </w:rPr>
  </w:style>
  <w:style w:type="character" w:styleId="CommentReference">
    <w:name w:val="annotation reference"/>
    <w:basedOn w:val="DefaultParagraphFont"/>
    <w:uiPriority w:val="99"/>
    <w:semiHidden/>
    <w:unhideWhenUsed/>
    <w:rsid w:val="009C77B3"/>
    <w:rPr>
      <w:sz w:val="16"/>
      <w:szCs w:val="16"/>
    </w:rPr>
  </w:style>
  <w:style w:type="paragraph" w:styleId="CommentSubject">
    <w:name w:val="annotation subject"/>
    <w:basedOn w:val="CommentText"/>
    <w:next w:val="CommentText"/>
    <w:link w:val="CommentSubjectChar"/>
    <w:uiPriority w:val="99"/>
    <w:semiHidden/>
    <w:unhideWhenUsed/>
    <w:rsid w:val="005C4109"/>
    <w:rPr>
      <w:b/>
      <w:bCs/>
    </w:rPr>
  </w:style>
  <w:style w:type="character" w:customStyle="1" w:styleId="CommentSubjectChar">
    <w:name w:val="Comment Subject Char"/>
    <w:basedOn w:val="CommentTextChar"/>
    <w:link w:val="CommentSubject"/>
    <w:uiPriority w:val="99"/>
    <w:semiHidden/>
    <w:rsid w:val="005C4109"/>
    <w:rPr>
      <w:b/>
      <w:bCs/>
      <w:sz w:val="20"/>
      <w:szCs w:val="20"/>
    </w:rPr>
  </w:style>
  <w:style w:type="character" w:customStyle="1" w:styleId="Mention">
    <w:name w:val="Mention"/>
    <w:basedOn w:val="DefaultParagraphFont"/>
    <w:uiPriority w:val="99"/>
    <w:unhideWhenUsed/>
    <w:rsid w:val="005C4109"/>
    <w:rPr>
      <w:color w:val="2B579A"/>
      <w:shd w:val="clear" w:color="auto" w:fill="E1DFDD"/>
    </w:rPr>
  </w:style>
  <w:style w:type="character" w:customStyle="1" w:styleId="normaltextrun">
    <w:name w:val="normaltextrun"/>
    <w:basedOn w:val="DefaultParagraphFont"/>
    <w:rsid w:val="008E4C10"/>
    <w:rPr>
      <w:rFonts w:asciiTheme="minorHAnsi" w:eastAsiaTheme="minorEastAsia" w:hAnsiTheme="minorHAnsi" w:cstheme="minorBidi"/>
    </w:r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List Paragraph2 Char,No Spacing1 Char,Numbered Para 1 Char"/>
    <w:basedOn w:val="DefaultParagraphFont"/>
    <w:link w:val="ListParagraph"/>
    <w:qFormat/>
    <w:locked/>
    <w:rsid w:val="008E4C10"/>
  </w:style>
  <w:style w:type="paragraph" w:customStyle="1" w:styleId="paragraph">
    <w:name w:val="paragraph"/>
    <w:basedOn w:val="Normal"/>
    <w:link w:val="paragraphChar"/>
    <w:qFormat/>
    <w:rsid w:val="00F70B5A"/>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paragraphChar">
    <w:name w:val="paragraph Char"/>
    <w:basedOn w:val="DefaultParagraphFont"/>
    <w:link w:val="paragraph"/>
    <w:rsid w:val="00F70B5A"/>
    <w:rPr>
      <w:rFonts w:ascii="Times New Roman" w:eastAsia="Times New Roman" w:hAnsi="Times New Roman" w:cs="Times New Roman"/>
      <w:lang w:eastAsia="en-GB"/>
    </w:rPr>
  </w:style>
  <w:style w:type="paragraph" w:styleId="Revision">
    <w:name w:val="Revision"/>
    <w:hidden/>
    <w:uiPriority w:val="99"/>
    <w:semiHidden/>
    <w:rsid w:val="000F0524"/>
    <w:pPr>
      <w:spacing w:after="0" w:line="240" w:lineRule="auto"/>
    </w:pPr>
  </w:style>
  <w:style w:type="paragraph" w:styleId="FootnoteText">
    <w:name w:val="footnote text"/>
    <w:basedOn w:val="Normal"/>
    <w:link w:val="FootnoteTextChar"/>
    <w:uiPriority w:val="99"/>
    <w:unhideWhenUsed/>
    <w:rsid w:val="005A672B"/>
    <w:pPr>
      <w:spacing w:after="0" w:line="240" w:lineRule="auto"/>
    </w:pPr>
    <w:rPr>
      <w:sz w:val="20"/>
      <w:szCs w:val="20"/>
    </w:rPr>
  </w:style>
  <w:style w:type="character" w:customStyle="1" w:styleId="FootnoteTextChar">
    <w:name w:val="Footnote Text Char"/>
    <w:basedOn w:val="DefaultParagraphFont"/>
    <w:link w:val="FootnoteText"/>
    <w:uiPriority w:val="99"/>
    <w:rsid w:val="005A672B"/>
    <w:rPr>
      <w:sz w:val="20"/>
      <w:szCs w:val="20"/>
    </w:rPr>
  </w:style>
  <w:style w:type="character" w:styleId="FootnoteReference">
    <w:name w:val="footnote reference"/>
    <w:basedOn w:val="DefaultParagraphFont"/>
    <w:uiPriority w:val="99"/>
    <w:semiHidden/>
    <w:unhideWhenUsed/>
    <w:rsid w:val="005A672B"/>
    <w:rPr>
      <w:vertAlign w:val="superscript"/>
    </w:rPr>
  </w:style>
  <w:style w:type="paragraph" w:customStyle="1" w:styleId="xmsonormal">
    <w:name w:val="x_msonormal"/>
    <w:basedOn w:val="Normal"/>
    <w:rsid w:val="007524CC"/>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Bulletedlist">
    <w:name w:val="Bulleted list"/>
    <w:basedOn w:val="Normal"/>
    <w:uiPriority w:val="1"/>
    <w:qFormat/>
    <w:rsid w:val="00C71711"/>
    <w:pPr>
      <w:tabs>
        <w:tab w:val="num" w:pos="720"/>
      </w:tabs>
      <w:spacing w:before="120" w:after="120" w:line="276" w:lineRule="auto"/>
      <w:ind w:left="720" w:hanging="360"/>
    </w:pPr>
    <w:rPr>
      <w:rFonts w:ascii="Times New Roman" w:hAnsi="Times New Roman" w:cs="Times New Roman"/>
      <w:lang w:eastAsia="en-GB"/>
    </w:rPr>
  </w:style>
  <w:style w:type="character" w:styleId="FollowedHyperlink">
    <w:name w:val="FollowedHyperlink"/>
    <w:basedOn w:val="DefaultParagraphFont"/>
    <w:uiPriority w:val="99"/>
    <w:semiHidden/>
    <w:unhideWhenUsed/>
    <w:rsid w:val="00C71711"/>
    <w:rPr>
      <w:color w:val="96607D" w:themeColor="followedHyperlink"/>
      <w:u w:val="single"/>
    </w:rPr>
  </w:style>
  <w:style w:type="paragraph" w:styleId="EndnoteText">
    <w:name w:val="endnote text"/>
    <w:basedOn w:val="Normal"/>
    <w:link w:val="EndnoteTextChar"/>
    <w:uiPriority w:val="99"/>
    <w:semiHidden/>
    <w:unhideWhenUsed/>
    <w:rsid w:val="00C7171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71711"/>
    <w:rPr>
      <w:sz w:val="20"/>
      <w:szCs w:val="20"/>
    </w:rPr>
  </w:style>
  <w:style w:type="character" w:styleId="EndnoteReference">
    <w:name w:val="endnote reference"/>
    <w:basedOn w:val="DefaultParagraphFont"/>
    <w:uiPriority w:val="99"/>
    <w:semiHidden/>
    <w:unhideWhenUsed/>
    <w:rsid w:val="00C71711"/>
    <w:rPr>
      <w:vertAlign w:val="superscript"/>
    </w:rPr>
  </w:style>
  <w:style w:type="paragraph" w:customStyle="1" w:styleId="xxxxmsonormal">
    <w:name w:val="x_xxxmsonormal"/>
    <w:basedOn w:val="Normal"/>
    <w:rsid w:val="00E1590B"/>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F2587AFA18DF438C655C1C7DF48C15" ma:contentTypeVersion="17" ma:contentTypeDescription="Create a new document." ma:contentTypeScope="" ma:versionID="69028ffae9c3fdce50b938dbb0bef522">
  <xsd:schema xmlns:xsd="http://www.w3.org/2001/XMLSchema" xmlns:xs="http://www.w3.org/2001/XMLSchema" xmlns:p="http://schemas.microsoft.com/office/2006/metadata/properties" xmlns:ns1="http://schemas.microsoft.com/sharepoint/v3" xmlns:ns3="5b526455-c468-47d8-a54f-0de7078983c1" xmlns:ns4="2af0151b-8ac7-4e19-afac-1b7fde1c4908" targetNamespace="http://schemas.microsoft.com/office/2006/metadata/properties" ma:root="true" ma:fieldsID="65c6d76a3b6a8e0f4d3d11abdbfc1bad" ns1:_="" ns3:_="" ns4:_="">
    <xsd:import namespace="http://schemas.microsoft.com/sharepoint/v3"/>
    <xsd:import namespace="5b526455-c468-47d8-a54f-0de7078983c1"/>
    <xsd:import namespace="2af0151b-8ac7-4e19-afac-1b7fde1c490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DateTaken" minOccurs="0"/>
                <xsd:element ref="ns1:_ip_UnifiedCompliancePolicyProperties" minOccurs="0"/>
                <xsd:element ref="ns1:_ip_UnifiedCompliancePolicyUIAction" minOccurs="0"/>
                <xsd:element ref="ns3:MediaServiceOCR" minOccurs="0"/>
                <xsd:element ref="ns3:_activity"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526455-c468-47d8-a54f-0de7078983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f0151b-8ac7-4e19-afac-1b7fde1c490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b526455-c468-47d8-a54f-0de7078983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551F3-0852-4909-95DF-A6696F45C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526455-c468-47d8-a54f-0de7078983c1"/>
    <ds:schemaRef ds:uri="2af0151b-8ac7-4e19-afac-1b7fde1c49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1E1E12-4547-403E-8C66-725449445C08}">
  <ds:schemaRefs>
    <ds:schemaRef ds:uri="http://schemas.microsoft.com/sharepoint/v3/contenttype/forms"/>
  </ds:schemaRefs>
</ds:datastoreItem>
</file>

<file path=customXml/itemProps3.xml><?xml version="1.0" encoding="utf-8"?>
<ds:datastoreItem xmlns:ds="http://schemas.openxmlformats.org/officeDocument/2006/customXml" ds:itemID="{C78C2F31-9DF0-4B09-A1E6-3DFFC48C71E6}">
  <ds:schemaRefs>
    <ds:schemaRef ds:uri="http://schemas.microsoft.com/office/2006/metadata/properties"/>
    <ds:schemaRef ds:uri="http://schemas.microsoft.com/office/infopath/2007/PartnerControls"/>
    <ds:schemaRef ds:uri="http://schemas.microsoft.com/sharepoint/v3"/>
    <ds:schemaRef ds:uri="5b526455-c468-47d8-a54f-0de7078983c1"/>
  </ds:schemaRefs>
</ds:datastoreItem>
</file>

<file path=customXml/itemProps4.xml><?xml version="1.0" encoding="utf-8"?>
<ds:datastoreItem xmlns:ds="http://schemas.openxmlformats.org/officeDocument/2006/customXml" ds:itemID="{AF27FCFD-4FF5-40B2-9FCD-D833C5725E36}">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 id="{a8f77787-5df4-43b6-a2a8-8d8b678a318b}" enabled="1" method="Standard" siteId="{1ce6dd9e-b337-4088-be5e-8dbbec04b34a}" contentBits="0" removed="0"/>
  <clbl:label id="{ba62f585-b40f-4ab9-bafe-39150f03d124}" enabled="1" method="Privileged" siteId="{cbac7005-02c1-43eb-b497-e6492d1b2dd8}"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PMA0123</dc:title>
  <cp:revision>0</cp:revision>
</cp:coreProperties>
</file>