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E1592" w:rsidRPr="007E6FFC" w:rsidP="003E1592">
      <w:pPr>
        <w:spacing w:line="360" w:lineRule="auto"/>
        <w:rPr>
          <w:rFonts w:ascii="Verdana" w:hAnsi="Verdana" w:cstheme="minorHAnsi"/>
          <w:b/>
          <w:bCs/>
          <w:sz w:val="28"/>
          <w:szCs w:val="28"/>
          <w:u w:val="single"/>
        </w:rPr>
      </w:pPr>
      <w:r w:rsidRPr="007E6FFC">
        <w:rPr>
          <w:rFonts w:ascii="Verdana" w:hAnsi="Verdana" w:cstheme="minorHAnsi"/>
          <w:b/>
          <w:bCs/>
          <w:sz w:val="28"/>
          <w:szCs w:val="28"/>
        </w:rPr>
        <w:t xml:space="preserve">Democratic Unionist Party (DUP) – Written </w:t>
      </w:r>
      <w:r w:rsidR="00B741B7">
        <w:rPr>
          <w:rFonts w:ascii="Verdana" w:hAnsi="Verdana" w:cstheme="minorHAnsi"/>
          <w:b/>
          <w:bCs/>
          <w:sz w:val="28"/>
          <w:szCs w:val="28"/>
        </w:rPr>
        <w:t>evidence</w:t>
      </w:r>
      <w:r w:rsidRPr="007E6FFC">
        <w:rPr>
          <w:rFonts w:ascii="Verdana" w:hAnsi="Verdana" w:cstheme="minorHAnsi"/>
          <w:b/>
          <w:bCs/>
          <w:sz w:val="28"/>
          <w:szCs w:val="28"/>
        </w:rPr>
        <w:t xml:space="preserve"> (ART00</w:t>
      </w:r>
      <w:r w:rsidRPr="007E6FFC" w:rsidR="007E6FFC">
        <w:rPr>
          <w:rFonts w:ascii="Verdana" w:hAnsi="Verdana" w:cstheme="minorHAnsi"/>
          <w:b/>
          <w:bCs/>
          <w:sz w:val="28"/>
          <w:szCs w:val="28"/>
        </w:rPr>
        <w:t>11)</w:t>
      </w:r>
    </w:p>
    <w:p w:rsidR="003E1592" w:rsidRPr="003E1592" w:rsidP="00A75FE7">
      <w:pPr>
        <w:spacing w:line="360" w:lineRule="auto"/>
        <w:jc w:val="center"/>
        <w:rPr>
          <w:rFonts w:ascii="Verdana" w:hAnsi="Verdana" w:cstheme="minorHAnsi"/>
          <w:b/>
          <w:bCs/>
          <w:sz w:val="22"/>
          <w:szCs w:val="22"/>
          <w:u w:val="single"/>
        </w:rPr>
      </w:pPr>
    </w:p>
    <w:p w:rsidR="00343BFE" w:rsidRPr="003E1592" w:rsidP="00A75FE7">
      <w:pPr>
        <w:spacing w:line="360" w:lineRule="auto"/>
        <w:jc w:val="center"/>
        <w:rPr>
          <w:rFonts w:ascii="Verdana" w:hAnsi="Verdana" w:cstheme="minorHAnsi"/>
          <w:b/>
          <w:bCs/>
          <w:sz w:val="22"/>
          <w:szCs w:val="22"/>
          <w:u w:val="single"/>
        </w:rPr>
      </w:pPr>
      <w:r w:rsidRPr="003E1592">
        <w:rPr>
          <w:rFonts w:ascii="Verdana" w:hAnsi="Verdana" w:cstheme="minorHAnsi"/>
          <w:b/>
          <w:bCs/>
          <w:sz w:val="22"/>
          <w:szCs w:val="22"/>
          <w:u w:val="single"/>
        </w:rPr>
        <w:t>Northern Ireland Scrutiny Committee Call for Evidence into Article 2 of the Protocol/Windsor Framework</w:t>
      </w:r>
    </w:p>
    <w:p w:rsidR="00343BFE" w:rsidRPr="003E1592" w:rsidP="00A75FE7">
      <w:pPr>
        <w:spacing w:line="360" w:lineRule="auto"/>
        <w:jc w:val="center"/>
        <w:rPr>
          <w:rFonts w:ascii="Verdana" w:hAnsi="Verdana" w:cstheme="minorHAnsi"/>
          <w:b/>
          <w:bCs/>
          <w:sz w:val="22"/>
          <w:szCs w:val="22"/>
          <w:u w:val="single"/>
        </w:rPr>
      </w:pPr>
    </w:p>
    <w:p w:rsidR="00343BFE" w:rsidRPr="003E1592" w:rsidP="00A75FE7">
      <w:pPr>
        <w:spacing w:line="360" w:lineRule="auto"/>
        <w:jc w:val="center"/>
        <w:rPr>
          <w:rFonts w:ascii="Verdana" w:hAnsi="Verdana" w:cstheme="minorHAnsi"/>
          <w:b/>
          <w:bCs/>
          <w:sz w:val="22"/>
          <w:szCs w:val="22"/>
        </w:rPr>
      </w:pPr>
      <w:r w:rsidRPr="003E1592">
        <w:rPr>
          <w:rFonts w:ascii="Verdana" w:hAnsi="Verdana" w:cstheme="minorHAnsi"/>
          <w:b/>
          <w:bCs/>
          <w:sz w:val="22"/>
          <w:szCs w:val="22"/>
        </w:rPr>
        <w:t>Submission by the Democratic Unionist Party (DUP)</w:t>
      </w:r>
    </w:p>
    <w:p w:rsidR="00343BFE" w:rsidRPr="003E1592" w:rsidP="00A75FE7">
      <w:pPr>
        <w:pStyle w:val="NormalWeb"/>
        <w:spacing w:before="0" w:beforeAutospacing="0" w:after="0" w:afterAutospacing="0" w:line="360" w:lineRule="auto"/>
        <w:jc w:val="both"/>
        <w:rPr>
          <w:rFonts w:ascii="Verdana" w:hAnsi="Verdana" w:cstheme="minorHAnsi"/>
          <w:color w:val="000000" w:themeColor="text1"/>
          <w:sz w:val="22"/>
          <w:szCs w:val="22"/>
        </w:rPr>
      </w:pPr>
    </w:p>
    <w:p w:rsidR="00343BFE" w:rsidRPr="003E1592" w:rsidP="003E1592">
      <w:pPr>
        <w:pStyle w:val="NormalWeb"/>
        <w:spacing w:before="0" w:beforeAutospacing="0" w:after="0" w:afterAutospacing="0" w:line="360" w:lineRule="auto"/>
        <w:rPr>
          <w:rFonts w:ascii="Verdana" w:hAnsi="Verdana" w:cstheme="minorHAnsi"/>
          <w:color w:val="000000" w:themeColor="text1"/>
          <w:sz w:val="22"/>
          <w:szCs w:val="22"/>
        </w:rPr>
      </w:pPr>
      <w:r w:rsidRPr="003E1592">
        <w:rPr>
          <w:rFonts w:ascii="Verdana" w:hAnsi="Verdana" w:cstheme="minorHAnsi"/>
          <w:color w:val="000000" w:themeColor="text1"/>
          <w:sz w:val="22"/>
          <w:szCs w:val="22"/>
        </w:rPr>
        <w:t xml:space="preserve">The Democratic Unionist Party voted against the Northern Ireland Protocol, including the provisions of Article 2, in both our national Parliament and the European Parliament. These arrangements were imposed without the support of a single unionist elected representative in Northern Ireland, leaving people from every persuasion disenfranchised in over 300 areas of law, and establishing an internal Irish Sea border for trade and certain rights provision. We believe this has fundamentally and unacceptably altered Northern Ireland’s relationship with the rest of the United Kingdom. </w:t>
      </w:r>
    </w:p>
    <w:p w:rsidR="00343BFE" w:rsidRPr="003E1592" w:rsidP="003E1592">
      <w:pPr>
        <w:pStyle w:val="NormalWeb"/>
        <w:spacing w:before="0" w:beforeAutospacing="0" w:after="0" w:afterAutospacing="0" w:line="360" w:lineRule="auto"/>
        <w:rPr>
          <w:rFonts w:ascii="Verdana" w:hAnsi="Verdana" w:cstheme="minorHAnsi"/>
          <w:color w:val="000000" w:themeColor="text1"/>
          <w:sz w:val="22"/>
          <w:szCs w:val="22"/>
        </w:rPr>
      </w:pPr>
    </w:p>
    <w:p w:rsidR="00343BFE" w:rsidRPr="003E1592" w:rsidP="003E1592">
      <w:pPr>
        <w:pStyle w:val="NormalWeb"/>
        <w:spacing w:before="0" w:beforeAutospacing="0" w:after="0" w:afterAutospacing="0" w:line="360" w:lineRule="auto"/>
        <w:rPr>
          <w:rFonts w:ascii="Verdana" w:hAnsi="Verdana" w:cstheme="minorHAnsi"/>
          <w:color w:val="000000" w:themeColor="text1"/>
          <w:sz w:val="22"/>
          <w:szCs w:val="22"/>
        </w:rPr>
      </w:pPr>
      <w:r w:rsidRPr="003E1592">
        <w:rPr>
          <w:rFonts w:ascii="Verdana" w:hAnsi="Verdana" w:cstheme="minorHAnsi"/>
          <w:color w:val="000000" w:themeColor="text1"/>
          <w:sz w:val="22"/>
          <w:szCs w:val="22"/>
        </w:rPr>
        <w:t xml:space="preserve">The underlying source of the problem remains the continued direct application of EU law in Northern Ireland in contrast with Great Britain, as well as the contention under Article 2 of the Protocol that legislation deriving from Brussels, and case law of the European Court of Justice, are to be the determinant of the minimum standards of certain rights protections applicable in our Province going forward. </w:t>
      </w:r>
    </w:p>
    <w:p w:rsidR="00343BFE" w:rsidRPr="003E1592" w:rsidP="003E1592">
      <w:pPr>
        <w:spacing w:line="360" w:lineRule="auto"/>
        <w:rPr>
          <w:rFonts w:ascii="Verdana" w:eastAsia="Times New Roman" w:hAnsi="Verdana" w:cstheme="minorHAnsi"/>
          <w:color w:val="000000" w:themeColor="text1"/>
          <w:kern w:val="0"/>
          <w:sz w:val="22"/>
          <w:szCs w:val="22"/>
          <w:lang w:eastAsia="en-GB"/>
        </w:rPr>
      </w:pPr>
    </w:p>
    <w:p w:rsidR="00343BFE" w:rsidRPr="003E1592" w:rsidP="003E1592">
      <w:pPr>
        <w:spacing w:line="360" w:lineRule="auto"/>
        <w:rPr>
          <w:rFonts w:ascii="Verdana" w:hAnsi="Verdana" w:cstheme="minorHAnsi"/>
          <w:color w:val="000000"/>
          <w:sz w:val="22"/>
          <w:szCs w:val="22"/>
        </w:rPr>
      </w:pPr>
      <w:r w:rsidRPr="003E1592">
        <w:rPr>
          <w:rFonts w:ascii="Verdana" w:eastAsia="Times New Roman" w:hAnsi="Verdana" w:cstheme="minorHAnsi"/>
          <w:color w:val="000000" w:themeColor="text1"/>
          <w:kern w:val="0"/>
          <w:sz w:val="22"/>
          <w:szCs w:val="22"/>
          <w:lang w:eastAsia="en-GB"/>
        </w:rPr>
        <w:t xml:space="preserve">The DUP regrets that commitments by this and previous governments have not been honoured, including restoring Northern Ireland’s place in the UK internal market. It also remains intolerable that the fundamental question of a rights border in the Irish Sea, and arguments over the scope and interpretation of Article 2, have been reserved to the courts, without any intent on the part of the Government to legislate decisively to </w:t>
      </w:r>
      <w:r w:rsidRPr="003E1592">
        <w:rPr>
          <w:rFonts w:ascii="Verdana" w:hAnsi="Verdana" w:cstheme="minorHAnsi"/>
          <w:color w:val="000000"/>
          <w:sz w:val="22"/>
          <w:szCs w:val="22"/>
        </w:rPr>
        <w:t xml:space="preserve">safeguard the interests of individuals, businesses and public services in Northern Ireland in this respect. </w:t>
      </w:r>
    </w:p>
    <w:p w:rsidR="00343BFE" w:rsidRPr="003E1592" w:rsidP="003E1592">
      <w:pPr>
        <w:spacing w:line="360" w:lineRule="auto"/>
        <w:rPr>
          <w:rFonts w:ascii="Verdana" w:hAnsi="Verdana" w:cstheme="minorHAnsi"/>
          <w:color w:val="000000"/>
          <w:sz w:val="22"/>
          <w:szCs w:val="22"/>
        </w:rPr>
      </w:pPr>
    </w:p>
    <w:p w:rsidR="00343BFE" w:rsidRPr="003E1592" w:rsidP="003E1592">
      <w:pPr>
        <w:spacing w:line="360" w:lineRule="auto"/>
        <w:rPr>
          <w:rFonts w:ascii="Verdana" w:hAnsi="Verdana" w:cstheme="minorHAnsi"/>
          <w:color w:val="000000"/>
          <w:sz w:val="22"/>
          <w:szCs w:val="22"/>
        </w:rPr>
      </w:pPr>
      <w:r w:rsidRPr="003E1592">
        <w:rPr>
          <w:rFonts w:ascii="Verdana" w:hAnsi="Verdana" w:cstheme="minorHAnsi"/>
          <w:color w:val="000000"/>
          <w:sz w:val="22"/>
          <w:szCs w:val="22"/>
        </w:rPr>
        <w:t xml:space="preserve">It remains our view that the Government must set out a roadmap for moving beyond the Protocol/Windsor Framework. That should mean repatriating </w:t>
      </w:r>
      <w:r w:rsidRPr="003E1592">
        <w:rPr>
          <w:rFonts w:ascii="Verdana" w:hAnsi="Verdana" w:cstheme="minorHAnsi"/>
          <w:color w:val="000000"/>
          <w:sz w:val="22"/>
          <w:szCs w:val="22"/>
        </w:rPr>
        <w:t xml:space="preserve">lawmaking powers to our national parliament (and where appropriate, the Northern Ireland Assembly), removing the application of EU law in our country, and ensuring that legal remedies available to our citizens for alleged rights violations are on a par with those in England, Scotland and Wales. </w:t>
      </w:r>
    </w:p>
    <w:p w:rsidR="00343BFE" w:rsidRPr="003E1592" w:rsidP="003E1592">
      <w:pPr>
        <w:spacing w:line="360" w:lineRule="auto"/>
        <w:rPr>
          <w:rFonts w:ascii="Verdana" w:eastAsia="Times New Roman" w:hAnsi="Verdana" w:cstheme="minorHAnsi"/>
          <w:color w:val="000000" w:themeColor="text1"/>
          <w:kern w:val="0"/>
          <w:sz w:val="22"/>
          <w:szCs w:val="22"/>
          <w:lang w:eastAsia="en-GB"/>
        </w:rPr>
      </w:pPr>
    </w:p>
    <w:p w:rsidR="00343BFE" w:rsidRPr="003E1592" w:rsidP="003E1592">
      <w:pPr>
        <w:spacing w:line="360" w:lineRule="auto"/>
        <w:rPr>
          <w:rFonts w:ascii="Verdana" w:hAnsi="Verdana" w:cstheme="minorHAnsi"/>
          <w:color w:val="000000" w:themeColor="text1"/>
          <w:sz w:val="22"/>
          <w:szCs w:val="22"/>
        </w:rPr>
      </w:pPr>
      <w:r w:rsidRPr="003E1592">
        <w:rPr>
          <w:rFonts w:ascii="Verdana" w:eastAsia="Times New Roman" w:hAnsi="Verdana" w:cstheme="minorHAnsi"/>
          <w:color w:val="000000" w:themeColor="text1"/>
          <w:kern w:val="0"/>
          <w:sz w:val="22"/>
          <w:szCs w:val="22"/>
          <w:lang w:eastAsia="en-GB"/>
        </w:rPr>
        <w:t xml:space="preserve">To this end, the DUP has a mandate to continue the fight to fully restore Northern Ireland’s place within the United Kingdom and will work with likeminded unionists to expose, and seek redress for, the risks posed by Article 2 of the Protocol. Only then can </w:t>
      </w:r>
      <w:r w:rsidRPr="003E1592">
        <w:rPr>
          <w:rFonts w:ascii="Verdana" w:hAnsi="Verdana" w:cstheme="minorHAnsi"/>
          <w:color w:val="000000" w:themeColor="text1"/>
          <w:sz w:val="22"/>
          <w:szCs w:val="22"/>
        </w:rPr>
        <w:t>the delicate balance of political and community relations in Northern Ireland be restored.</w:t>
      </w:r>
    </w:p>
    <w:p w:rsidR="00343BFE" w:rsidRPr="003E1592" w:rsidP="003E1592">
      <w:pPr>
        <w:spacing w:line="360" w:lineRule="auto"/>
        <w:rPr>
          <w:rFonts w:ascii="Verdana" w:hAnsi="Verdana" w:cstheme="minorHAnsi"/>
          <w:color w:val="000000" w:themeColor="text1"/>
          <w:sz w:val="22"/>
          <w:szCs w:val="22"/>
        </w:rPr>
      </w:pPr>
    </w:p>
    <w:p w:rsidR="00343BFE" w:rsidRPr="003E1592" w:rsidP="003E1592">
      <w:pPr>
        <w:spacing w:line="360" w:lineRule="auto"/>
        <w:rPr>
          <w:rFonts w:ascii="Verdana" w:hAnsi="Verdana" w:cstheme="minorHAnsi"/>
          <w:color w:val="000000" w:themeColor="text1"/>
          <w:sz w:val="22"/>
          <w:szCs w:val="22"/>
        </w:rPr>
      </w:pPr>
      <w:r w:rsidRPr="003E1592">
        <w:rPr>
          <w:rFonts w:ascii="Verdana" w:hAnsi="Verdana" w:cstheme="minorHAnsi"/>
          <w:color w:val="000000" w:themeColor="text1"/>
          <w:sz w:val="22"/>
          <w:szCs w:val="22"/>
        </w:rPr>
        <w:t>With this in mind, we would offer the following comments in response to the Committee’s call for evidence.</w:t>
      </w:r>
    </w:p>
    <w:p w:rsidR="00343BFE" w:rsidRPr="003E1592" w:rsidP="003E1592">
      <w:pPr>
        <w:spacing w:line="360" w:lineRule="auto"/>
        <w:rPr>
          <w:rFonts w:ascii="Verdana" w:hAnsi="Verdana" w:cstheme="minorHAnsi"/>
          <w:color w:val="000000" w:themeColor="text1"/>
          <w:sz w:val="22"/>
          <w:szCs w:val="22"/>
        </w:rPr>
      </w:pPr>
    </w:p>
    <w:p w:rsidR="00343BFE" w:rsidRPr="003E1592" w:rsidP="003E1592">
      <w:pPr>
        <w:spacing w:line="360" w:lineRule="auto"/>
        <w:rPr>
          <w:rFonts w:ascii="Verdana" w:hAnsi="Verdana" w:cstheme="minorHAnsi"/>
          <w:sz w:val="22"/>
          <w:szCs w:val="22"/>
        </w:rPr>
      </w:pPr>
      <w:r w:rsidRPr="003E1592">
        <w:rPr>
          <w:rFonts w:ascii="Verdana" w:hAnsi="Verdana" w:cstheme="minorHAnsi"/>
          <w:color w:val="000000" w:themeColor="text1"/>
          <w:sz w:val="22"/>
          <w:szCs w:val="22"/>
        </w:rPr>
        <w:t xml:space="preserve">The DUP does not believe there was ever a need, or justification, for the UK Government providing a legal commitment as part of the Withdrawal Agreement to ‘no diminution’ of rights protections contained in the </w:t>
      </w:r>
      <w:r w:rsidRPr="003E1592">
        <w:rPr>
          <w:rFonts w:ascii="Verdana" w:hAnsi="Verdana" w:cstheme="minorHAnsi"/>
          <w:sz w:val="22"/>
          <w:szCs w:val="22"/>
        </w:rPr>
        <w:t xml:space="preserve">Rights, Safeguards and Equality of Opportunity (RSEO) chapter of the Belfast Agreement. This was predicated on baseless concerns regarding the potential impact of the UK exit from the EU on political stability in Northern Ireland - when in fact the most potent threat to community cohesion was the foisting of the Protocol in its totality on the unionist community in breach of the principle of cross-community consent. </w:t>
      </w:r>
    </w:p>
    <w:p w:rsidR="00343BFE" w:rsidRPr="003E1592" w:rsidP="003E1592">
      <w:pPr>
        <w:spacing w:line="360" w:lineRule="auto"/>
        <w:rPr>
          <w:rFonts w:ascii="Verdana" w:hAnsi="Verdana" w:cstheme="minorHAnsi"/>
          <w:sz w:val="22"/>
          <w:szCs w:val="22"/>
        </w:rPr>
      </w:pPr>
    </w:p>
    <w:p w:rsidR="00343BFE" w:rsidRPr="003E1592" w:rsidP="003E1592">
      <w:pPr>
        <w:spacing w:line="360" w:lineRule="auto"/>
        <w:rPr>
          <w:rFonts w:ascii="Verdana" w:hAnsi="Verdana" w:cstheme="minorHAnsi"/>
          <w:sz w:val="22"/>
          <w:szCs w:val="22"/>
        </w:rPr>
      </w:pPr>
      <w:r w:rsidRPr="003E1592">
        <w:rPr>
          <w:rFonts w:ascii="Verdana" w:hAnsi="Verdana" w:cstheme="minorHAnsi"/>
          <w:sz w:val="22"/>
          <w:szCs w:val="22"/>
        </w:rPr>
        <w:t xml:space="preserve">Article 2(1) of the Protocol requires law applicable in Northern Ireland (including legislation passed at Westminster intended to extend to Northern Ireland) to remain aligned with the protections against discrimination contained in six specific EU equality directives listed in Annex 1. That includes in circumstances where those directives, and the protections they contain, are updated or replaced. On top of this, there is an additional, more open-ended obligation with respect to preventing a reduction in the rights set out in the RSEO chapter above. </w:t>
      </w:r>
    </w:p>
    <w:p w:rsidR="00343BFE" w:rsidRPr="003E1592" w:rsidP="003E1592">
      <w:pPr>
        <w:spacing w:line="360" w:lineRule="auto"/>
        <w:rPr>
          <w:rFonts w:ascii="Verdana" w:hAnsi="Verdana" w:cstheme="minorHAnsi"/>
          <w:sz w:val="22"/>
          <w:szCs w:val="22"/>
        </w:rPr>
      </w:pPr>
    </w:p>
    <w:p w:rsidR="00343BFE" w:rsidRPr="003E1592" w:rsidP="003E1592">
      <w:pPr>
        <w:spacing w:line="360" w:lineRule="auto"/>
        <w:rPr>
          <w:rFonts w:ascii="Verdana" w:hAnsi="Verdana" w:cstheme="minorHAnsi"/>
          <w:sz w:val="22"/>
          <w:szCs w:val="22"/>
        </w:rPr>
      </w:pPr>
      <w:r w:rsidRPr="003E1592">
        <w:rPr>
          <w:rFonts w:ascii="Verdana" w:hAnsi="Verdana" w:cstheme="minorHAnsi"/>
          <w:sz w:val="22"/>
          <w:szCs w:val="22"/>
        </w:rPr>
        <w:t xml:space="preserve">In practice, the ambiguity at the heart of these provisions has left the door open for inappropriate judicial activism by the courts when interpreting the scope of </w:t>
      </w:r>
      <w:r w:rsidRPr="003E1592">
        <w:rPr>
          <w:rFonts w:ascii="Verdana" w:hAnsi="Verdana" w:cstheme="minorHAnsi"/>
          <w:sz w:val="22"/>
          <w:szCs w:val="22"/>
        </w:rPr>
        <w:t xml:space="preserve">the no diminution commitment. The recent Supreme Court ruling in </w:t>
      </w:r>
      <w:r w:rsidRPr="003E1592">
        <w:rPr>
          <w:rFonts w:ascii="Verdana" w:hAnsi="Verdana" w:cstheme="minorHAnsi"/>
          <w:i/>
          <w:iCs/>
          <w:sz w:val="22"/>
          <w:szCs w:val="22"/>
        </w:rPr>
        <w:t>Dillon</w:t>
      </w:r>
      <w:r w:rsidRPr="003E1592">
        <w:rPr>
          <w:rFonts w:ascii="Verdana" w:hAnsi="Verdana" w:cstheme="minorHAnsi"/>
          <w:sz w:val="22"/>
          <w:szCs w:val="22"/>
        </w:rPr>
        <w:t xml:space="preserve"> has helpfully clarified that the NI courts, when interpreting Article 2, were wrong to read the reference to ‘civil rights’ in the RSEO chapter more broadly than simply relating to the ending of the Troubles in Northern Ireland. However, there can be no question that the folly of previous Governments, in conceding within a previous explainer document that victims’ rights are protected by Article 2, has influenced the erroneous and expansive interpretation by both the lower courts and Northern Ireland’s statutory rights bodies. </w:t>
      </w:r>
    </w:p>
    <w:p w:rsidR="00343BFE" w:rsidRPr="003E1592" w:rsidP="003E1592">
      <w:pPr>
        <w:spacing w:line="360" w:lineRule="auto"/>
        <w:rPr>
          <w:rFonts w:ascii="Verdana" w:hAnsi="Verdana" w:cstheme="minorHAnsi"/>
          <w:sz w:val="22"/>
          <w:szCs w:val="22"/>
        </w:rPr>
      </w:pPr>
    </w:p>
    <w:p w:rsidR="00343BFE" w:rsidRPr="003E1592" w:rsidP="003E1592">
      <w:pPr>
        <w:spacing w:line="360" w:lineRule="auto"/>
        <w:rPr>
          <w:rFonts w:ascii="Verdana" w:hAnsi="Verdana" w:cstheme="minorHAnsi"/>
          <w:sz w:val="22"/>
          <w:szCs w:val="22"/>
        </w:rPr>
      </w:pPr>
      <w:r w:rsidRPr="003E1592">
        <w:rPr>
          <w:rFonts w:ascii="Verdana" w:hAnsi="Verdana" w:cstheme="minorHAnsi"/>
          <w:sz w:val="22"/>
          <w:szCs w:val="22"/>
        </w:rPr>
        <w:t xml:space="preserve">The consequences of this remain very much alive, not just in respect of how legacy investigations are handled but on other key issues where legal proceedings centred on Article 2 compliance are frustrating, delaying and casting doubt over the application of key policies and judgements on a UK-wide basis. The fallout from the Supreme Court's decision in </w:t>
      </w:r>
      <w:r w:rsidRPr="003E1592">
        <w:rPr>
          <w:rFonts w:ascii="Verdana" w:hAnsi="Verdana" w:cstheme="minorHAnsi"/>
          <w:i/>
          <w:iCs/>
          <w:sz w:val="22"/>
          <w:szCs w:val="22"/>
        </w:rPr>
        <w:t>For Women Scotland to Northern Ireland</w:t>
      </w:r>
      <w:r w:rsidRPr="003E1592">
        <w:rPr>
          <w:rFonts w:ascii="Verdana" w:hAnsi="Verdana" w:cstheme="minorHAnsi"/>
          <w:sz w:val="22"/>
          <w:szCs w:val="22"/>
        </w:rPr>
        <w:t xml:space="preserve"> - and failure of Executive departments to reflect the welcome clarity it provided on the definition of a woman for the purposes of equality legislation - is a prime example, but it is in no way exhaustive. For example, doubts remain over whether future measures to tackle illegal and uncontrolled immigration and the harm of smoking and vaping can be applied in Northern Ireland, and further litigation is likely in that regard.</w:t>
      </w:r>
    </w:p>
    <w:p w:rsidR="00343BFE" w:rsidRPr="003E1592" w:rsidP="003E1592">
      <w:pPr>
        <w:spacing w:line="360" w:lineRule="auto"/>
        <w:rPr>
          <w:rFonts w:ascii="Verdana" w:hAnsi="Verdana" w:cstheme="minorHAnsi"/>
          <w:sz w:val="22"/>
          <w:szCs w:val="22"/>
        </w:rPr>
      </w:pPr>
    </w:p>
    <w:p w:rsidR="00343BFE" w:rsidRPr="003E1592" w:rsidP="003E1592">
      <w:pPr>
        <w:spacing w:line="360" w:lineRule="auto"/>
        <w:rPr>
          <w:rFonts w:ascii="Verdana" w:hAnsi="Verdana" w:cstheme="minorHAnsi"/>
          <w:sz w:val="22"/>
          <w:szCs w:val="22"/>
        </w:rPr>
      </w:pPr>
      <w:r w:rsidRPr="003E1592">
        <w:rPr>
          <w:rFonts w:ascii="Verdana" w:hAnsi="Verdana" w:cstheme="minorHAnsi"/>
          <w:sz w:val="22"/>
          <w:szCs w:val="22"/>
        </w:rPr>
        <w:t xml:space="preserve">It is now imperative that the NI Human Rights and Equality Commissions move to withdraw their current guidance on interpreting Article 2 of the Protocol to ensure it respects the outworking of the recent Supreme Court ruling. </w:t>
      </w:r>
    </w:p>
    <w:p w:rsidR="00343BFE" w:rsidRPr="003E1592" w:rsidP="003E1592">
      <w:pPr>
        <w:spacing w:line="360" w:lineRule="auto"/>
        <w:rPr>
          <w:rFonts w:ascii="Verdana" w:hAnsi="Verdana" w:cstheme="minorHAnsi"/>
          <w:sz w:val="22"/>
          <w:szCs w:val="22"/>
        </w:rPr>
      </w:pPr>
    </w:p>
    <w:p w:rsidR="00343BFE" w:rsidRPr="003E1592" w:rsidP="003E1592">
      <w:pPr>
        <w:spacing w:line="360" w:lineRule="auto"/>
        <w:rPr>
          <w:rFonts w:ascii="Verdana" w:hAnsi="Verdana" w:cstheme="minorHAnsi"/>
          <w:sz w:val="22"/>
          <w:szCs w:val="22"/>
        </w:rPr>
      </w:pPr>
    </w:p>
    <w:p w:rsidR="00343BFE" w:rsidRPr="003E1592" w:rsidP="003E1592">
      <w:pPr>
        <w:spacing w:line="360" w:lineRule="auto"/>
        <w:rPr>
          <w:rFonts w:ascii="Verdana" w:hAnsi="Verdana" w:cstheme="minorHAnsi"/>
          <w:sz w:val="22"/>
          <w:szCs w:val="22"/>
        </w:rPr>
      </w:pPr>
      <w:r w:rsidRPr="003E1592">
        <w:rPr>
          <w:rFonts w:ascii="Verdana" w:hAnsi="Verdana" w:cstheme="minorHAnsi"/>
          <w:sz w:val="22"/>
          <w:szCs w:val="22"/>
        </w:rPr>
        <w:t xml:space="preserve">The DUP firmly believes that rights protections in Northern Ireland must derive from UK - and not EU - law, and evolve </w:t>
      </w:r>
      <w:r w:rsidRPr="003E1592">
        <w:rPr>
          <w:rFonts w:ascii="Verdana" w:hAnsi="Verdana" w:cstheme="minorHAnsi"/>
          <w:sz w:val="22"/>
          <w:szCs w:val="22"/>
        </w:rPr>
        <w:t>on the basis of</w:t>
      </w:r>
      <w:r w:rsidRPr="003E1592">
        <w:rPr>
          <w:rFonts w:ascii="Verdana" w:hAnsi="Verdana" w:cstheme="minorHAnsi"/>
          <w:sz w:val="22"/>
          <w:szCs w:val="22"/>
        </w:rPr>
        <w:t xml:space="preserve"> domestic case law, not that of the ECJ. We would urge the Government to provide a cast-iron guarantee that a rights border in the Irish Sea will not be tolerated on gender identity, asylum policy or any other policy area. Whether that be through agreement with the EU and repeal of Article 2, or decisive unilateral action, it is </w:t>
      </w:r>
      <w:r w:rsidRPr="003E1592">
        <w:rPr>
          <w:rFonts w:ascii="Verdana" w:hAnsi="Verdana" w:cstheme="minorHAnsi"/>
          <w:sz w:val="22"/>
          <w:szCs w:val="22"/>
        </w:rPr>
        <w:t>absolutely critical</w:t>
      </w:r>
      <w:r w:rsidRPr="003E1592">
        <w:rPr>
          <w:rFonts w:ascii="Verdana" w:hAnsi="Verdana" w:cstheme="minorHAnsi"/>
          <w:sz w:val="22"/>
          <w:szCs w:val="22"/>
        </w:rPr>
        <w:t xml:space="preserve">, and of significant constitutional importance, that the law applies equally and fully across all parts of the UK. The Government must not contemplate any </w:t>
      </w:r>
      <w:r w:rsidRPr="003E1592">
        <w:rPr>
          <w:rFonts w:ascii="Verdana" w:hAnsi="Verdana" w:cstheme="minorHAnsi"/>
          <w:sz w:val="22"/>
          <w:szCs w:val="22"/>
        </w:rPr>
        <w:t xml:space="preserve">outcome in which there continues to be a diminution of rights for Northern Ireland citizens vis a vis those afforded in Great Britain. </w:t>
      </w:r>
    </w:p>
    <w:p w:rsidR="00343BFE" w:rsidRPr="003E1592" w:rsidP="003E1592">
      <w:pPr>
        <w:spacing w:line="360" w:lineRule="auto"/>
        <w:rPr>
          <w:rFonts w:ascii="Verdana" w:hAnsi="Verdana" w:cstheme="minorHAnsi"/>
          <w:sz w:val="22"/>
          <w:szCs w:val="22"/>
        </w:rPr>
      </w:pPr>
    </w:p>
    <w:p w:rsidR="00343BFE" w:rsidRPr="003E1592" w:rsidP="003E1592">
      <w:pPr>
        <w:spacing w:line="360" w:lineRule="auto"/>
        <w:rPr>
          <w:rFonts w:ascii="Verdana" w:hAnsi="Verdana" w:cstheme="minorHAnsi"/>
          <w:sz w:val="22"/>
          <w:szCs w:val="22"/>
        </w:rPr>
      </w:pPr>
      <w:r w:rsidRPr="003E1592">
        <w:rPr>
          <w:rFonts w:ascii="Verdana" w:hAnsi="Verdana" w:cstheme="minorHAnsi"/>
          <w:sz w:val="22"/>
          <w:szCs w:val="22"/>
        </w:rPr>
        <w:t xml:space="preserve">As referenced at the outset, the DUP would also stress the central contradiction inherent in the framing of Article 2, which purports to be the guardian of rights contained in the RSEO chapter of Belfast Agreement yet is entwined in a wider architecture under the Protocol/Withdrawal Agreement that has eroded a number of basic rights afforded to citizens in Northern Ireland, and unionists in particular, under the devolution settlement. In the RSEO chapter, parties affirm their commitment to </w:t>
      </w:r>
      <w:r w:rsidRPr="003E1592">
        <w:rPr>
          <w:rFonts w:ascii="Verdana" w:hAnsi="Verdana" w:cstheme="minorHAnsi"/>
          <w:i/>
          <w:iCs/>
          <w:sz w:val="22"/>
          <w:szCs w:val="22"/>
        </w:rPr>
        <w:t>‘mutual respect’</w:t>
      </w:r>
      <w:r w:rsidRPr="003E1592">
        <w:rPr>
          <w:rFonts w:ascii="Verdana" w:hAnsi="Verdana" w:cstheme="minorHAnsi"/>
          <w:sz w:val="22"/>
          <w:szCs w:val="22"/>
        </w:rPr>
        <w:t xml:space="preserve"> and the </w:t>
      </w:r>
      <w:r w:rsidRPr="003E1592">
        <w:rPr>
          <w:rFonts w:ascii="Verdana" w:hAnsi="Verdana" w:cstheme="minorHAnsi"/>
          <w:i/>
          <w:iCs/>
          <w:sz w:val="22"/>
          <w:szCs w:val="22"/>
        </w:rPr>
        <w:t>‘</w:t>
      </w:r>
      <w:r w:rsidRPr="003E1592">
        <w:rPr>
          <w:rFonts w:ascii="Verdana" w:hAnsi="Verdana"/>
          <w:i/>
          <w:iCs/>
          <w:sz w:val="22"/>
          <w:szCs w:val="22"/>
        </w:rPr>
        <w:t xml:space="preserve">the right to pursue democratically national and political aspirations.’ </w:t>
      </w:r>
      <w:r w:rsidRPr="003E1592">
        <w:rPr>
          <w:rFonts w:ascii="Verdana" w:hAnsi="Verdana"/>
          <w:sz w:val="22"/>
          <w:szCs w:val="22"/>
        </w:rPr>
        <w:t xml:space="preserve">It is without question, in our view, that those rights have been infringed in respect of people from a unionist background in Northern Ireland by the implementation and operation of the Protocol arrangements that lacked advance or express consent from both major traditions - and which codify the surrender of rights to legislate in 300 areas of law. </w:t>
      </w:r>
    </w:p>
    <w:p w:rsidR="00343BFE" w:rsidRPr="003E1592" w:rsidP="003E1592">
      <w:pPr>
        <w:spacing w:line="360" w:lineRule="auto"/>
        <w:rPr>
          <w:rFonts w:ascii="Verdana" w:hAnsi="Verdana" w:cstheme="minorHAnsi"/>
          <w:sz w:val="22"/>
          <w:szCs w:val="22"/>
        </w:rPr>
      </w:pPr>
    </w:p>
    <w:p w:rsidR="00343BFE" w:rsidRPr="003E1592" w:rsidP="003E1592">
      <w:pPr>
        <w:spacing w:line="360" w:lineRule="auto"/>
        <w:rPr>
          <w:rFonts w:ascii="Verdana" w:hAnsi="Verdana"/>
          <w:color w:val="222222"/>
          <w:sz w:val="22"/>
          <w:szCs w:val="22"/>
        </w:rPr>
      </w:pPr>
      <w:r w:rsidRPr="003E1592">
        <w:rPr>
          <w:rFonts w:ascii="Verdana" w:hAnsi="Verdana" w:cstheme="minorHAnsi"/>
          <w:sz w:val="22"/>
          <w:szCs w:val="22"/>
        </w:rPr>
        <w:t>The DUP believes the Government’s concessions on the no diminution provisions under Article 2 of the Protocol have further emboldened the NIHRC and Equality Commission of NI to stray from promoting equality and fundamental rights in a manner that is consistent with, and which respects, Northern Ireland’s position in the UK, and instead militantly pursue alignment between protections in Northern Ireland and the Republic of Ireland. It is a matter of record that these bodies have jointly called on the Government and NI Executive to ‘</w:t>
      </w:r>
      <w:r w:rsidRPr="003E1592">
        <w:rPr>
          <w:rFonts w:ascii="Verdana" w:hAnsi="Verdana" w:cstheme="minorHAnsi"/>
          <w:i/>
          <w:iCs/>
          <w:sz w:val="22"/>
          <w:szCs w:val="22"/>
        </w:rPr>
        <w:t xml:space="preserve">ensure </w:t>
      </w:r>
      <w:r w:rsidRPr="003E1592">
        <w:rPr>
          <w:rFonts w:ascii="Verdana" w:hAnsi="Verdana"/>
          <w:i/>
          <w:iCs/>
          <w:color w:val="222222"/>
          <w:sz w:val="22"/>
          <w:szCs w:val="22"/>
        </w:rPr>
        <w:t xml:space="preserve">North-South equivalence of rights, by aligning with changes to EU equality and human rights law, even where not required to under the Windsor Framework.’ </w:t>
      </w:r>
      <w:r w:rsidRPr="003E1592">
        <w:rPr>
          <w:rFonts w:ascii="Verdana" w:hAnsi="Verdana"/>
          <w:color w:val="222222"/>
          <w:sz w:val="22"/>
          <w:szCs w:val="22"/>
        </w:rPr>
        <w:t xml:space="preserve">As a Party, we believe this is unacceptable and borders on constitutional activism. Rather than encouraging the Government to put further strain on the delicate balance of community relations in Northern Ireland by considering even more EU laws to be within scope of Article 2, we are calling on the NIHRC and ECNI to take stock of the </w:t>
      </w:r>
      <w:r w:rsidRPr="003E1592">
        <w:rPr>
          <w:rFonts w:ascii="Verdana" w:hAnsi="Verdana"/>
          <w:i/>
          <w:iCs/>
          <w:color w:val="222222"/>
          <w:sz w:val="22"/>
          <w:szCs w:val="22"/>
        </w:rPr>
        <w:t>Dillon</w:t>
      </w:r>
      <w:r w:rsidRPr="003E1592">
        <w:rPr>
          <w:rFonts w:ascii="Verdana" w:hAnsi="Verdana"/>
          <w:color w:val="222222"/>
          <w:sz w:val="22"/>
          <w:szCs w:val="22"/>
        </w:rPr>
        <w:t xml:space="preserve"> judgement and to discontinue current legal proceedings on related issues, including the definition of gender, which only serves to diminish the sex-based rights they are supposed to protect.</w:t>
      </w:r>
    </w:p>
    <w:p w:rsidR="00343BFE" w:rsidRPr="003E1592" w:rsidP="003E1592">
      <w:pPr>
        <w:spacing w:line="360" w:lineRule="auto"/>
        <w:rPr>
          <w:rFonts w:ascii="Verdana" w:hAnsi="Verdana"/>
          <w:color w:val="222222"/>
          <w:sz w:val="22"/>
          <w:szCs w:val="22"/>
        </w:rPr>
      </w:pPr>
    </w:p>
    <w:p w:rsidR="00343BFE" w:rsidRPr="007E6FFC" w:rsidP="003E1592">
      <w:pPr>
        <w:rPr>
          <w:rFonts w:ascii="Verdana" w:hAnsi="Verdana"/>
          <w:b/>
          <w:bCs/>
          <w:i/>
          <w:iCs/>
          <w:sz w:val="22"/>
          <w:szCs w:val="22"/>
        </w:rPr>
      </w:pPr>
      <w:r w:rsidRPr="007E6FFC">
        <w:rPr>
          <w:rFonts w:ascii="Verdana" w:hAnsi="Verdana"/>
          <w:b/>
          <w:bCs/>
          <w:i/>
          <w:iCs/>
          <w:sz w:val="22"/>
          <w:szCs w:val="22"/>
        </w:rPr>
        <w:t>8 July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FE0D77"/>
    <w:multiLevelType w:val="multilevel"/>
    <w:tmpl w:val="95F2E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15044C"/>
    <w:multiLevelType w:val="multilevel"/>
    <w:tmpl w:val="ED4293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27760E"/>
    <w:multiLevelType w:val="hybridMultilevel"/>
    <w:tmpl w:val="800A7A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C9234C5"/>
    <w:multiLevelType w:val="multilevel"/>
    <w:tmpl w:val="410E23C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1415A6"/>
    <w:multiLevelType w:val="hybridMultilevel"/>
    <w:tmpl w:val="4C805BE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A56C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6C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6C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6C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6C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6C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6C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6C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6C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C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6C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6C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6C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6C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6C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C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C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CC6"/>
    <w:rPr>
      <w:rFonts w:eastAsiaTheme="majorEastAsia" w:cstheme="majorBidi"/>
      <w:color w:val="272727" w:themeColor="text1" w:themeTint="D8"/>
    </w:rPr>
  </w:style>
  <w:style w:type="paragraph" w:styleId="Title">
    <w:name w:val="Title"/>
    <w:basedOn w:val="Normal"/>
    <w:next w:val="Normal"/>
    <w:link w:val="TitleChar"/>
    <w:uiPriority w:val="10"/>
    <w:qFormat/>
    <w:rsid w:val="00A56C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C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CC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6C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6C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6CC6"/>
    <w:rPr>
      <w:i/>
      <w:iCs/>
      <w:color w:val="404040" w:themeColor="text1" w:themeTint="BF"/>
    </w:rPr>
  </w:style>
  <w:style w:type="paragraph" w:styleId="ListParagraph">
    <w:name w:val="List Paragraph"/>
    <w:basedOn w:val="Normal"/>
    <w:uiPriority w:val="34"/>
    <w:qFormat/>
    <w:rsid w:val="00A56CC6"/>
    <w:pPr>
      <w:ind w:left="720"/>
      <w:contextualSpacing/>
    </w:pPr>
  </w:style>
  <w:style w:type="character" w:styleId="IntenseEmphasis">
    <w:name w:val="Intense Emphasis"/>
    <w:basedOn w:val="DefaultParagraphFont"/>
    <w:uiPriority w:val="21"/>
    <w:qFormat/>
    <w:rsid w:val="00A56CC6"/>
    <w:rPr>
      <w:i/>
      <w:iCs/>
      <w:color w:val="2F5496" w:themeColor="accent1" w:themeShade="BF"/>
    </w:rPr>
  </w:style>
  <w:style w:type="paragraph" w:styleId="IntenseQuote">
    <w:name w:val="Intense Quote"/>
    <w:basedOn w:val="Normal"/>
    <w:next w:val="Normal"/>
    <w:link w:val="IntenseQuoteChar"/>
    <w:uiPriority w:val="30"/>
    <w:qFormat/>
    <w:rsid w:val="00A56C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6CC6"/>
    <w:rPr>
      <w:i/>
      <w:iCs/>
      <w:color w:val="2F5496" w:themeColor="accent1" w:themeShade="BF"/>
    </w:rPr>
  </w:style>
  <w:style w:type="character" w:styleId="IntenseReference">
    <w:name w:val="Intense Reference"/>
    <w:basedOn w:val="DefaultParagraphFont"/>
    <w:uiPriority w:val="32"/>
    <w:qFormat/>
    <w:rsid w:val="00A56CC6"/>
    <w:rPr>
      <w:b/>
      <w:bCs/>
      <w:smallCaps/>
      <w:color w:val="2F5496" w:themeColor="accent1" w:themeShade="BF"/>
      <w:spacing w:val="5"/>
    </w:rPr>
  </w:style>
  <w:style w:type="paragraph" w:styleId="NormalWeb">
    <w:name w:val="Normal (Web)"/>
    <w:basedOn w:val="Normal"/>
    <w:uiPriority w:val="99"/>
    <w:semiHidden/>
    <w:unhideWhenUsed/>
    <w:rsid w:val="00A56CC6"/>
    <w:pPr>
      <w:spacing w:before="100" w:beforeAutospacing="1" w:after="100" w:afterAutospacing="1"/>
    </w:pPr>
    <w:rPr>
      <w:rFonts w:ascii="Times New Roman" w:eastAsia="Times New Roman" w:hAnsi="Times New Roman" w:cs="Times New Roman"/>
      <w:kern w:val="0"/>
      <w:lang w:eastAsia="en-GB"/>
    </w:rPr>
  </w:style>
  <w:style w:type="character" w:customStyle="1" w:styleId="apple-converted-space">
    <w:name w:val="apple-converted-space"/>
    <w:basedOn w:val="DefaultParagraphFont"/>
    <w:rsid w:val="00A56CC6"/>
  </w:style>
  <w:style w:type="paragraph" w:customStyle="1" w:styleId="xmsonormal">
    <w:name w:val="x_msonormal"/>
    <w:basedOn w:val="Normal"/>
    <w:rsid w:val="00A56CC6"/>
    <w:pPr>
      <w:spacing w:before="100" w:beforeAutospacing="1" w:after="100" w:afterAutospacing="1"/>
    </w:pPr>
    <w:rPr>
      <w:rFonts w:ascii="Times New Roman" w:eastAsia="Times New Roman" w:hAnsi="Times New Roman" w:cs="Times New Roman"/>
      <w:kern w:val="0"/>
      <w:lang w:eastAsia="en-GB"/>
    </w:rPr>
  </w:style>
  <w:style w:type="paragraph" w:customStyle="1" w:styleId="xmsolistparagraph">
    <w:name w:val="x_msolistparagraph"/>
    <w:basedOn w:val="Normal"/>
    <w:rsid w:val="00A56CC6"/>
    <w:pPr>
      <w:spacing w:before="100" w:beforeAutospacing="1" w:after="100" w:afterAutospacing="1"/>
    </w:pPr>
    <w:rPr>
      <w:rFonts w:ascii="Times New Roman" w:eastAsia="Times New Roman" w:hAnsi="Times New Roman" w:cs="Times New Roman"/>
      <w:kern w:val="0"/>
      <w:lang w:eastAsia="en-GB"/>
    </w:rPr>
  </w:style>
  <w:style w:type="character" w:styleId="Emphasis">
    <w:name w:val="Emphasis"/>
    <w:basedOn w:val="DefaultParagraphFont"/>
    <w:uiPriority w:val="20"/>
    <w:qFormat/>
    <w:rsid w:val="00822180"/>
    <w:rPr>
      <w:i/>
      <w:iCs/>
    </w:rPr>
  </w:style>
  <w:style w:type="character" w:styleId="Hyperlink">
    <w:name w:val="Hyperlink"/>
    <w:basedOn w:val="DefaultParagraphFont"/>
    <w:uiPriority w:val="99"/>
    <w:semiHidden/>
    <w:unhideWhenUsed/>
    <w:rsid w:val="00683900"/>
    <w:rPr>
      <w:color w:val="0000FF"/>
      <w:u w:val="single"/>
    </w:rPr>
  </w:style>
  <w:style w:type="character" w:styleId="Strong">
    <w:name w:val="Strong"/>
    <w:basedOn w:val="DefaultParagraphFont"/>
    <w:uiPriority w:val="22"/>
    <w:qFormat/>
    <w:rsid w:val="00B03C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ART0011</dc:title>
  <cp:revision>0</cp:revision>
</cp:coreProperties>
</file>