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429D8" w:rsidRPr="00185099" w:rsidP="006429D8">
      <w:pPr>
        <w:spacing w:before="480" w:after="80"/>
        <w:rPr>
          <w:rFonts w:ascii="Verdana" w:hAnsi="Verdana"/>
          <w:b/>
          <w:bCs/>
          <w:caps/>
          <w:sz w:val="28"/>
          <w:szCs w:val="28"/>
        </w:rPr>
      </w:pPr>
      <w:r w:rsidRPr="00185099">
        <w:rPr>
          <w:rFonts w:ascii="Verdana" w:hAnsi="Verdana"/>
          <w:b/>
          <w:bCs/>
          <w:sz w:val="28"/>
          <w:szCs w:val="28"/>
        </w:rPr>
        <w:t xml:space="preserve">Migrant Workers' Union — Northern Ireland (MWU-NI) </w:t>
      </w:r>
      <w:r w:rsidRPr="00185099" w:rsidR="00185099">
        <w:rPr>
          <w:rFonts w:ascii="Verdana" w:hAnsi="Verdana"/>
          <w:b/>
          <w:bCs/>
          <w:sz w:val="28"/>
          <w:szCs w:val="28"/>
        </w:rPr>
        <w:t xml:space="preserve">– Written </w:t>
      </w:r>
      <w:r w:rsidR="00EB0114">
        <w:rPr>
          <w:rFonts w:ascii="Verdana" w:hAnsi="Verdana"/>
          <w:b/>
          <w:bCs/>
          <w:sz w:val="28"/>
          <w:szCs w:val="28"/>
        </w:rPr>
        <w:t>evidence</w:t>
      </w:r>
      <w:r w:rsidRPr="00185099" w:rsidR="00185099">
        <w:rPr>
          <w:rFonts w:ascii="Verdana" w:hAnsi="Verdana"/>
          <w:b/>
          <w:bCs/>
          <w:sz w:val="28"/>
          <w:szCs w:val="28"/>
        </w:rPr>
        <w:t xml:space="preserve"> (ART0010)</w:t>
      </w:r>
    </w:p>
    <w:p w:rsidR="00E91637" w:rsidRPr="00185099">
      <w:pPr>
        <w:spacing w:before="480" w:after="80"/>
        <w:jc w:val="center"/>
        <w:rPr>
          <w:rFonts w:ascii="Verdana" w:hAnsi="Verdana"/>
        </w:rPr>
      </w:pPr>
      <w:r w:rsidRPr="00185099">
        <w:rPr>
          <w:rFonts w:ascii="Verdana" w:hAnsi="Verdana"/>
          <w:b/>
          <w:bCs/>
          <w:caps/>
        </w:rPr>
        <w:t>SUBMISSION TO THE HOUSE OF LORDS</w:t>
      </w:r>
    </w:p>
    <w:p w:rsidR="00E91637" w:rsidRPr="00185099">
      <w:pPr>
        <w:spacing w:after="80"/>
        <w:jc w:val="center"/>
        <w:rPr>
          <w:rFonts w:ascii="Verdana" w:hAnsi="Verdana"/>
        </w:rPr>
      </w:pPr>
      <w:r w:rsidRPr="00185099">
        <w:rPr>
          <w:rFonts w:ascii="Verdana" w:hAnsi="Verdana"/>
          <w:b/>
          <w:bCs/>
        </w:rPr>
        <w:t>Northern Ireland Scrutiny Committee</w:t>
      </w:r>
    </w:p>
    <w:p w:rsidR="00E91637" w:rsidRPr="00185099">
      <w:pPr>
        <w:spacing w:after="400"/>
        <w:jc w:val="center"/>
        <w:rPr>
          <w:rFonts w:ascii="Verdana" w:hAnsi="Verdana"/>
        </w:rPr>
      </w:pPr>
      <w:r w:rsidRPr="00185099">
        <w:rPr>
          <w:rFonts w:ascii="Verdana" w:hAnsi="Verdana"/>
          <w:b/>
          <w:bCs/>
        </w:rPr>
        <w:t>Inquiry into Article 2 of the Protocol / Windsor Framework</w:t>
      </w:r>
    </w:p>
    <w:p w:rsidR="00E91637" w:rsidRPr="00185099">
      <w:pPr>
        <w:pBdr>
          <w:bottom w:val="single" w:sz="6" w:space="0" w:color="1A3A5C"/>
        </w:pBdr>
        <w:spacing w:before="120" w:after="120"/>
        <w:rPr>
          <w:rFonts w:ascii="Verdana" w:hAnsi="Verdana"/>
        </w:rPr>
      </w:pPr>
    </w:p>
    <w:p w:rsidR="00E91637" w:rsidRPr="00185099">
      <w:pPr>
        <w:spacing w:after="80"/>
        <w:rPr>
          <w:rFonts w:ascii="Verdana" w:hAnsi="Verdana"/>
        </w:rPr>
      </w:pPr>
      <w:r w:rsidRPr="00185099">
        <w:rPr>
          <w:rFonts w:ascii="Verdana" w:hAnsi="Verdana"/>
          <w:b/>
          <w:bCs/>
        </w:rPr>
        <w:t xml:space="preserve">Submitted by:  </w:t>
      </w:r>
      <w:r w:rsidRPr="00185099">
        <w:rPr>
          <w:rFonts w:ascii="Verdana" w:hAnsi="Verdana"/>
        </w:rPr>
        <w:t>Migrant Workers' Union — Northern Ireland (MWU-NI)</w:t>
      </w:r>
    </w:p>
    <w:p w:rsidR="00E91637" w:rsidRPr="00185099">
      <w:pPr>
        <w:spacing w:after="80"/>
        <w:rPr>
          <w:rFonts w:ascii="Verdana" w:hAnsi="Verdana"/>
        </w:rPr>
      </w:pPr>
      <w:r w:rsidRPr="00185099">
        <w:rPr>
          <w:rFonts w:ascii="Verdana" w:hAnsi="Verdana"/>
          <w:b/>
          <w:bCs/>
        </w:rPr>
        <w:t xml:space="preserve">Date:  </w:t>
      </w:r>
      <w:r w:rsidRPr="00185099">
        <w:rPr>
          <w:rFonts w:ascii="Verdana" w:hAnsi="Verdana"/>
        </w:rPr>
        <w:t>July 2026</w:t>
      </w:r>
    </w:p>
    <w:p w:rsidR="00E91637" w:rsidRPr="00185099">
      <w:pPr>
        <w:spacing w:after="80"/>
        <w:rPr>
          <w:rFonts w:ascii="Verdana" w:hAnsi="Verdana"/>
        </w:rPr>
      </w:pPr>
      <w:r w:rsidRPr="00185099">
        <w:rPr>
          <w:rFonts w:ascii="Verdana" w:hAnsi="Verdana"/>
          <w:b/>
          <w:bCs/>
        </w:rPr>
        <w:t xml:space="preserve">Deadline:  </w:t>
      </w:r>
      <w:r w:rsidRPr="00185099">
        <w:rPr>
          <w:rFonts w:ascii="Verdana" w:hAnsi="Verdana"/>
        </w:rPr>
        <w:t>5pm, Thursday 9 July 2026</w:t>
      </w:r>
    </w:p>
    <w:p w:rsidR="00E91637" w:rsidRPr="00185099">
      <w:pPr>
        <w:pBdr>
          <w:bottom w:val="single" w:sz="6" w:space="0" w:color="1A3A5C"/>
        </w:pBdr>
        <w:spacing w:before="120" w:after="120"/>
        <w:rPr>
          <w:rFonts w:ascii="Verdana" w:hAnsi="Verdana"/>
        </w:rPr>
      </w:pPr>
    </w:p>
    <w:p w:rsidR="00E91637" w:rsidRPr="00185099">
      <w:pPr>
        <w:spacing w:after="80"/>
        <w:rPr>
          <w:rFonts w:ascii="Verdana" w:hAnsi="Verdana"/>
        </w:rPr>
      </w:pPr>
    </w:p>
    <w:p w:rsidR="00E91637" w:rsidRPr="00185099" w:rsidP="006429D8">
      <w:pPr>
        <w:pStyle w:val="Heading1"/>
        <w:spacing w:before="240" w:after="120"/>
        <w:rPr>
          <w:rFonts w:ascii="Verdana" w:hAnsi="Verdana"/>
          <w:color w:val="auto"/>
          <w:sz w:val="22"/>
          <w:szCs w:val="22"/>
        </w:rPr>
      </w:pPr>
      <w:r w:rsidRPr="00185099">
        <w:rPr>
          <w:rFonts w:ascii="Verdana" w:hAnsi="Verdana"/>
          <w:b/>
          <w:bCs/>
          <w:color w:val="auto"/>
          <w:sz w:val="22"/>
          <w:szCs w:val="22"/>
        </w:rPr>
        <w:t>About MWU-NI</w:t>
      </w:r>
    </w:p>
    <w:p w:rsidR="00E91637" w:rsidRPr="00185099" w:rsidP="006429D8">
      <w:pPr>
        <w:spacing w:after="160"/>
        <w:rPr>
          <w:rFonts w:ascii="Verdana" w:hAnsi="Verdana"/>
        </w:rPr>
      </w:pPr>
      <w:r w:rsidRPr="00185099">
        <w:rPr>
          <w:rFonts w:ascii="Verdana" w:hAnsi="Verdana"/>
          <w:lang w:val="en-US"/>
        </w:rPr>
        <w:t xml:space="preserve">The Migrant Workers' Union — Northern Ireland (MWU-NI) is a trade and tenancy union representing migrant and </w:t>
      </w:r>
      <w:r w:rsidRPr="00185099">
        <w:rPr>
          <w:rFonts w:ascii="Verdana" w:hAnsi="Verdana"/>
          <w:lang w:val="en-US"/>
        </w:rPr>
        <w:t>migrantised</w:t>
      </w:r>
      <w:r w:rsidRPr="00185099">
        <w:rPr>
          <w:rFonts w:ascii="Verdana" w:hAnsi="Verdana"/>
          <w:lang w:val="en-US"/>
        </w:rPr>
        <w:t xml:space="preserve"> workers, tenants, and community members across Northern Ireland. We currently support approximately 150 members in Northern Ireland, with a further 78 individuals participating via a joint </w:t>
      </w:r>
      <w:r w:rsidRPr="00185099">
        <w:rPr>
          <w:rFonts w:ascii="Verdana" w:hAnsi="Verdana"/>
          <w:lang w:val="en-US"/>
        </w:rPr>
        <w:t>labour</w:t>
      </w:r>
      <w:r w:rsidRPr="00185099">
        <w:rPr>
          <w:rFonts w:ascii="Verdana" w:hAnsi="Verdana"/>
          <w:lang w:val="en-US"/>
        </w:rPr>
        <w:t xml:space="preserve"> exploitation campaign with a sister union in England. Our work spans direct casework, community safety advocacy, research, and strategic litigation support.</w:t>
      </w:r>
    </w:p>
    <w:p w:rsidR="00E91637" w:rsidRPr="00185099" w:rsidP="006429D8">
      <w:pPr>
        <w:spacing w:after="160"/>
        <w:rPr>
          <w:rFonts w:ascii="Verdana" w:hAnsi="Verdana"/>
        </w:rPr>
      </w:pPr>
      <w:r w:rsidRPr="00185099">
        <w:rPr>
          <w:rFonts w:ascii="Verdana" w:hAnsi="Verdana"/>
          <w:lang w:val="en-US"/>
        </w:rPr>
        <w:t>MWU-NI holds professional witness status at Stormont committees and sits on All-Party Groups for Ethnic Minorities and for Modern Slavery. We have established working relationships with the Department of Justice (</w:t>
      </w:r>
      <w:r w:rsidRPr="00185099">
        <w:rPr>
          <w:rFonts w:ascii="Verdana" w:hAnsi="Verdana"/>
          <w:lang w:val="en-US"/>
        </w:rPr>
        <w:t>including on</w:t>
      </w:r>
      <w:r w:rsidRPr="00185099">
        <w:rPr>
          <w:rFonts w:ascii="Verdana" w:hAnsi="Verdana"/>
          <w:lang w:val="en-US"/>
        </w:rPr>
        <w:t xml:space="preserve"> modern slavery strategy), the Gangmasters and Labour Abuse Authority, the Fair Work Agency, Ending the Harm, the Committee for Justice, and a range of statutory and civil society partners at Stormont and Westminster. We have submitted evidence to UN Special Procedures bodies and engaged with Front Line Defenders and the Independent Anti-Slavery Commissioner.</w:t>
      </w:r>
    </w:p>
    <w:p w:rsidR="00E91637" w:rsidRPr="00185099" w:rsidP="006429D8">
      <w:pPr>
        <w:spacing w:after="160"/>
        <w:rPr>
          <w:rFonts w:ascii="Verdana" w:hAnsi="Verdana"/>
        </w:rPr>
      </w:pPr>
      <w:r w:rsidRPr="00185099">
        <w:rPr>
          <w:rFonts w:ascii="Verdana" w:hAnsi="Verdana"/>
          <w:lang w:val="en-US"/>
        </w:rPr>
        <w:t>This submission draws on direct casework evidence, Freedom of Information analysis, early-warning research, and community testimony gathered between 2023 and 2026. Case details have been anonymised in accordance with data protection obligations.</w:t>
      </w:r>
    </w:p>
    <w:p w:rsidR="00E91637" w:rsidRPr="00185099" w:rsidP="006429D8">
      <w:pPr>
        <w:pStyle w:val="Heading1"/>
        <w:spacing w:before="240" w:after="120"/>
        <w:rPr>
          <w:rFonts w:ascii="Verdana" w:hAnsi="Verdana"/>
          <w:color w:val="auto"/>
          <w:sz w:val="22"/>
          <w:szCs w:val="22"/>
        </w:rPr>
      </w:pPr>
      <w:r w:rsidRPr="00185099">
        <w:rPr>
          <w:rFonts w:ascii="Verdana" w:hAnsi="Verdana"/>
          <w:b/>
          <w:bCs/>
          <w:color w:val="auto"/>
          <w:sz w:val="22"/>
          <w:szCs w:val="22"/>
        </w:rPr>
        <w:t>Executive Summary</w:t>
      </w:r>
    </w:p>
    <w:p w:rsidR="00E91637" w:rsidRPr="00185099" w:rsidP="006429D8">
      <w:pPr>
        <w:spacing w:after="160"/>
        <w:rPr>
          <w:rFonts w:ascii="Verdana" w:hAnsi="Verdana"/>
        </w:rPr>
      </w:pPr>
      <w:r w:rsidRPr="00185099">
        <w:rPr>
          <w:rFonts w:ascii="Verdana" w:hAnsi="Verdana"/>
          <w:lang w:val="en-US"/>
        </w:rPr>
        <w:t xml:space="preserve">Article 2 of the Windsor Framework represents a constitutional commitment that Brexit would not diminish the rights, safeguards, and equality of opportunity enjoyed by people in Northern Ireland under EU law as incorporated into the Good Friday Agreement. MWU-NI submits that this commitment is not being upheld for migrant and migrantised communities — and that the Supreme Court's ruling in Dillon [2026] UKSC 15 has substantially narrowed the legal avenues through which breaches can be </w:t>
      </w:r>
      <w:r w:rsidRPr="00185099">
        <w:rPr>
          <w:rFonts w:ascii="Verdana" w:hAnsi="Verdana"/>
          <w:lang w:val="en-US"/>
        </w:rPr>
        <w:t>challenged, at precisely the moment when those breaches are most visible on the ground.</w:t>
      </w:r>
    </w:p>
    <w:p w:rsidR="00E91637" w:rsidRPr="00185099" w:rsidP="006429D8">
      <w:pPr>
        <w:spacing w:after="160"/>
        <w:rPr>
          <w:rFonts w:ascii="Verdana" w:hAnsi="Verdana"/>
        </w:rPr>
      </w:pPr>
      <w:r w:rsidRPr="00185099">
        <w:rPr>
          <w:rFonts w:ascii="Verdana" w:hAnsi="Verdana"/>
        </w:rPr>
        <w:t>Our core finding is that Article 2 rights exist in law but are functionally inaccessible to the communities most in need of them. Workers on visa-dependent terms cannot safely assert Race Equality Directive rights — one of the six Annex 1 directives confirmed as directly enforceable by Dillon — because immigration precarity is systematically used as a coercive lever by employers. Immigration enforcement has historically deterred migrant workers from engaging with institutions at all. Between June 2025 and the date of this submission, seven households — approximately 25 people, including young children — have left Northern Ireland because the combination of racist unrest and shrinking immigration pathways made life here, in their words, unlivable. This is equality of opportunity diminished in the most direct sense.</w:t>
      </w:r>
    </w:p>
    <w:p w:rsidR="00E91637" w:rsidRPr="00185099" w:rsidP="006429D8">
      <w:pPr>
        <w:spacing w:after="160"/>
        <w:rPr>
          <w:rFonts w:ascii="Verdana" w:hAnsi="Verdana"/>
        </w:rPr>
      </w:pPr>
      <w:r w:rsidRPr="00185099">
        <w:rPr>
          <w:rFonts w:ascii="Verdana" w:hAnsi="Verdana"/>
          <w:lang w:val="en-US"/>
        </w:rPr>
        <w:t xml:space="preserve">Concurrently, instruments that the government's own 2020 NIO Explainer document acknowledged as within Article 2's scope — including the EU Anti-Trafficking Directive — have been effectively foreclosed as domestic enforcement mechanisms by Dillon. The statutory defence for exploited victims under section 22 of Northern Ireland's Human Trafficking and Exploitation Act has not been used in over ten years. A cross-sector coalition including MWU-NI, the Department of Justice, the GLAA, the Fair Work Agency, the APG on Modern Slavery, and the Committee for Justice has been working on proposals to address these gaps since November 2025. Those proposals remain in a holding pattern, in part because the devolved architecture creates structural delays </w:t>
      </w:r>
      <w:r w:rsidRPr="00185099">
        <w:rPr>
          <w:rFonts w:ascii="Verdana" w:hAnsi="Verdana"/>
          <w:lang w:val="en-US"/>
        </w:rPr>
        <w:t>that themselves</w:t>
      </w:r>
      <w:r w:rsidRPr="00185099">
        <w:rPr>
          <w:rFonts w:ascii="Verdana" w:hAnsi="Verdana"/>
          <w:lang w:val="en-US"/>
        </w:rPr>
        <w:t xml:space="preserve"> constitute a form of practical diminution of rights.</w:t>
      </w:r>
    </w:p>
    <w:p w:rsidR="00E91637" w:rsidRPr="00185099" w:rsidP="006429D8">
      <w:pPr>
        <w:pStyle w:val="Heading1"/>
        <w:spacing w:before="240" w:after="120"/>
        <w:rPr>
          <w:rFonts w:ascii="Verdana" w:hAnsi="Verdana"/>
          <w:color w:val="auto"/>
          <w:sz w:val="22"/>
          <w:szCs w:val="22"/>
        </w:rPr>
      </w:pPr>
      <w:r w:rsidRPr="00185099">
        <w:rPr>
          <w:rFonts w:ascii="Verdana" w:hAnsi="Verdana"/>
          <w:b/>
          <w:bCs/>
          <w:color w:val="auto"/>
          <w:sz w:val="22"/>
          <w:szCs w:val="22"/>
        </w:rPr>
        <w:t>Section 1: Article 2 in Practice — Evidence from Migrant Worker Casework</w:t>
      </w:r>
    </w:p>
    <w:p w:rsidR="00E91637" w:rsidRPr="00185099" w:rsidP="006429D8">
      <w:pPr>
        <w:pStyle w:val="Heading3"/>
        <w:spacing w:before="160" w:after="60"/>
        <w:rPr>
          <w:rFonts w:ascii="Verdana" w:hAnsi="Verdana"/>
          <w:color w:val="auto"/>
          <w:sz w:val="22"/>
          <w:szCs w:val="22"/>
        </w:rPr>
      </w:pPr>
      <w:r w:rsidRPr="00185099">
        <w:rPr>
          <w:rFonts w:ascii="Verdana" w:hAnsi="Verdana"/>
          <w:b/>
          <w:bCs/>
          <w:color w:val="auto"/>
          <w:sz w:val="22"/>
          <w:szCs w:val="22"/>
          <w:lang w:val="en-US"/>
        </w:rPr>
        <w:t>1.1  Who</w:t>
      </w:r>
      <w:r w:rsidRPr="00185099">
        <w:rPr>
          <w:rFonts w:ascii="Verdana" w:hAnsi="Verdana"/>
          <w:b/>
          <w:bCs/>
          <w:color w:val="auto"/>
          <w:sz w:val="22"/>
          <w:szCs w:val="22"/>
          <w:lang w:val="en-US"/>
        </w:rPr>
        <w:t xml:space="preserve"> Article 2 is meant to protect — and who is missing</w:t>
      </w:r>
    </w:p>
    <w:p w:rsidR="00E91637" w:rsidRPr="00185099" w:rsidP="006429D8">
      <w:pPr>
        <w:spacing w:after="160"/>
        <w:rPr>
          <w:rFonts w:ascii="Verdana" w:hAnsi="Verdana"/>
        </w:rPr>
      </w:pPr>
      <w:r w:rsidRPr="00185099">
        <w:rPr>
          <w:rFonts w:ascii="Verdana" w:hAnsi="Verdana"/>
          <w:lang w:val="en-US"/>
        </w:rPr>
        <w:t xml:space="preserve">The RSEO chapter of the Good Friday Agreement speaks of the rights and equality of opportunity </w:t>
      </w:r>
      <w:r w:rsidRPr="00185099">
        <w:rPr>
          <w:rFonts w:ascii="Verdana" w:hAnsi="Verdana"/>
          <w:lang w:val="en-US"/>
        </w:rPr>
        <w:t>of</w:t>
      </w:r>
      <w:r w:rsidRPr="00185099">
        <w:rPr>
          <w:rFonts w:ascii="Verdana" w:hAnsi="Verdana"/>
          <w:lang w:val="en-US"/>
        </w:rPr>
        <w:t xml:space="preserve"> 'everyone in the community.' It is not limited to members of the two historically divided communities. It encompasses all people living in Northern Ireland — including migrants, those with EU settled status, and those who are migrantised regardless of their actual citizenship or length of residence. The Race Equality Directive (Directive 2000/43/EC), which the Supreme Court in Dillon confirmed remains directly enforceable via Article 2, prohibits direct and indirect discrimination on grounds of racial or ethnic origin in employment, social protection, education, and access to goods and services. This is the primary legal instrument connecting Article 2 to our membership.</w:t>
      </w:r>
    </w:p>
    <w:p w:rsidR="00E91637" w:rsidRPr="00185099" w:rsidP="006429D8">
      <w:pPr>
        <w:spacing w:after="160"/>
        <w:rPr>
          <w:rFonts w:ascii="Verdana" w:hAnsi="Verdana"/>
        </w:rPr>
      </w:pPr>
      <w:r w:rsidRPr="00185099">
        <w:rPr>
          <w:rFonts w:ascii="Verdana" w:hAnsi="Verdana"/>
          <w:lang w:val="en-US"/>
        </w:rPr>
        <w:t xml:space="preserve">In practice, however, </w:t>
      </w:r>
      <w:r w:rsidRPr="00185099">
        <w:rPr>
          <w:rFonts w:ascii="Verdana" w:hAnsi="Verdana"/>
          <w:lang w:val="en-US"/>
        </w:rPr>
        <w:t>the Article</w:t>
      </w:r>
      <w:r w:rsidRPr="00185099">
        <w:rPr>
          <w:rFonts w:ascii="Verdana" w:hAnsi="Verdana"/>
          <w:lang w:val="en-US"/>
        </w:rPr>
        <w:t xml:space="preserve"> </w:t>
      </w:r>
      <w:r w:rsidRPr="00185099">
        <w:rPr>
          <w:rFonts w:ascii="Verdana" w:hAnsi="Verdana"/>
          <w:lang w:val="en-US"/>
        </w:rPr>
        <w:t>2 commitment</w:t>
      </w:r>
      <w:r w:rsidRPr="00185099">
        <w:rPr>
          <w:rFonts w:ascii="Verdana" w:hAnsi="Verdana"/>
          <w:lang w:val="en-US"/>
        </w:rPr>
        <w:t xml:space="preserve"> to non-diminution of these rights cannot be assessed by asking only whether the directives appear </w:t>
      </w:r>
      <w:r w:rsidRPr="00185099">
        <w:rPr>
          <w:rFonts w:ascii="Verdana" w:hAnsi="Verdana"/>
          <w:lang w:val="en-US"/>
        </w:rPr>
        <w:t>on</w:t>
      </w:r>
      <w:r w:rsidRPr="00185099">
        <w:rPr>
          <w:rFonts w:ascii="Verdana" w:hAnsi="Verdana"/>
          <w:lang w:val="en-US"/>
        </w:rPr>
        <w:t xml:space="preserve"> the statute book. The relevant question is whether the workers and communities those directives are designed to protect can </w:t>
      </w:r>
      <w:r w:rsidRPr="00185099">
        <w:rPr>
          <w:rFonts w:ascii="Verdana" w:hAnsi="Verdana"/>
          <w:lang w:val="en-US"/>
        </w:rPr>
        <w:t>actually access</w:t>
      </w:r>
      <w:r w:rsidRPr="00185099">
        <w:rPr>
          <w:rFonts w:ascii="Verdana" w:hAnsi="Verdana"/>
          <w:lang w:val="en-US"/>
        </w:rPr>
        <w:t xml:space="preserve"> them. </w:t>
      </w:r>
      <w:r w:rsidRPr="00185099">
        <w:rPr>
          <w:rFonts w:ascii="Verdana" w:hAnsi="Verdana"/>
          <w:lang w:val="en-US"/>
        </w:rPr>
        <w:t>On</w:t>
      </w:r>
      <w:r w:rsidRPr="00185099">
        <w:rPr>
          <w:rFonts w:ascii="Verdana" w:hAnsi="Verdana"/>
          <w:lang w:val="en-US"/>
        </w:rPr>
        <w:t xml:space="preserve"> the evidence we have gathered, they frequently cannot.</w:t>
      </w:r>
    </w:p>
    <w:p w:rsidR="00E91637" w:rsidRPr="00185099" w:rsidP="006429D8">
      <w:pPr>
        <w:pStyle w:val="Heading3"/>
        <w:spacing w:before="160" w:after="60"/>
        <w:rPr>
          <w:rFonts w:ascii="Verdana" w:hAnsi="Verdana"/>
          <w:color w:val="auto"/>
          <w:sz w:val="22"/>
          <w:szCs w:val="22"/>
        </w:rPr>
      </w:pPr>
      <w:r w:rsidRPr="00185099">
        <w:rPr>
          <w:rFonts w:ascii="Verdana" w:hAnsi="Verdana"/>
          <w:b/>
          <w:bCs/>
          <w:color w:val="auto"/>
          <w:sz w:val="22"/>
          <w:szCs w:val="22"/>
          <w:lang w:val="en-US"/>
        </w:rPr>
        <w:t>1.2  Visa</w:t>
      </w:r>
      <w:r w:rsidRPr="00185099">
        <w:rPr>
          <w:rFonts w:ascii="Verdana" w:hAnsi="Verdana"/>
          <w:b/>
          <w:bCs/>
          <w:color w:val="auto"/>
          <w:sz w:val="22"/>
          <w:szCs w:val="22"/>
          <w:lang w:val="en-US"/>
        </w:rPr>
        <w:t xml:space="preserve">-tied employment and the structural inaccessibility of Race Equality Directive </w:t>
      </w:r>
      <w:r w:rsidRPr="00185099">
        <w:rPr>
          <w:rFonts w:ascii="Verdana" w:hAnsi="Verdana"/>
          <w:b/>
          <w:bCs/>
          <w:color w:val="auto"/>
          <w:sz w:val="22"/>
          <w:szCs w:val="22"/>
          <w:lang w:val="en-US"/>
        </w:rPr>
        <w:t>rights</w:t>
      </w:r>
    </w:p>
    <w:p w:rsidR="00E91637" w:rsidRPr="00185099" w:rsidP="006429D8">
      <w:pPr>
        <w:spacing w:after="160"/>
        <w:rPr>
          <w:rFonts w:ascii="Verdana" w:hAnsi="Verdana"/>
        </w:rPr>
      </w:pPr>
      <w:r w:rsidRPr="00185099">
        <w:rPr>
          <w:rFonts w:ascii="Verdana" w:hAnsi="Verdana"/>
        </w:rPr>
        <w:t>Between 2023 and 2025, MWU-NI received reports from migrant workers across health and social care settings and agricultural processing in Northern Ireland documenting a consistent pattern: workers experiencing workplace sexual violence, unsafe conditions, and discriminatory treatment were systematically prevented from asserting employment equality rights through explicit and implicit threats to their immigration status. Workers were told that raising complaints could lead to dismissal, that dismissal would result in visa curtailment, and that visa curtailment would mean forced departure from Northern Ireland. In several cases, these threats were applied collectively — entire teams were warned against supporting individual complainants, with migrant co-workers specifically threatened with immigration consequences.</w:t>
      </w:r>
    </w:p>
    <w:p w:rsidR="00E91637" w:rsidRPr="00185099" w:rsidP="006429D8">
      <w:pPr>
        <w:spacing w:after="160"/>
        <w:rPr>
          <w:rFonts w:ascii="Verdana" w:hAnsi="Verdana"/>
        </w:rPr>
      </w:pPr>
      <w:r w:rsidRPr="00185099">
        <w:rPr>
          <w:rFonts w:ascii="Verdana" w:hAnsi="Verdana"/>
          <w:lang w:val="en-US"/>
        </w:rPr>
        <w:t>The Race Equality Directive is one of the instruments that unambiguously survived Dillon. Its survival in domestic law is meaningless where the workers it is designed to protect cannot assert it without risking the right to remain in the country. The Skilled Worker visa structure, combined with the absence of a formal firewall between employment equality proceedings and immigration enforcement, creates a structural trap: the most vulnerable workers face the sharpest choice between tolerating harm and losing status.</w:t>
      </w:r>
    </w:p>
    <w:p w:rsidR="00E91637" w:rsidRPr="00185099" w:rsidP="006429D8">
      <w:pPr>
        <w:spacing w:after="160"/>
        <w:rPr>
          <w:rFonts w:ascii="Verdana" w:hAnsi="Verdana"/>
        </w:rPr>
      </w:pPr>
      <w:r w:rsidRPr="00185099">
        <w:rPr>
          <w:rFonts w:ascii="Verdana" w:hAnsi="Verdana"/>
          <w:lang w:val="en-US"/>
        </w:rPr>
        <w:t>This is not an access-to-information problem. Workers in these cases were aware, in some instances, of the rights they held. The problem is that exercising those rights carries a cost — the risk of deportation — that renders formal legal protection inaccessible in practice. A right that cannot be exercised without disproportionate personal risk is not, in any meaningful sense, a right. Where that situation arises directly from the interaction between immigration rules applying to Northern Ireland and the employment equality obligations of EU law, there is a credible case that it constitutes a diminution of rights contrary to Article 2.</w:t>
      </w:r>
    </w:p>
    <w:p w:rsidR="00E91637" w:rsidRPr="00185099" w:rsidP="006429D8">
      <w:pPr>
        <w:pStyle w:val="Heading3"/>
        <w:spacing w:before="160" w:after="60"/>
        <w:rPr>
          <w:rFonts w:ascii="Verdana" w:hAnsi="Verdana"/>
          <w:color w:val="auto"/>
          <w:sz w:val="22"/>
          <w:szCs w:val="22"/>
        </w:rPr>
      </w:pPr>
      <w:r w:rsidRPr="00185099">
        <w:rPr>
          <w:rFonts w:ascii="Verdana" w:hAnsi="Verdana"/>
          <w:b/>
          <w:bCs/>
          <w:color w:val="auto"/>
          <w:sz w:val="22"/>
          <w:szCs w:val="22"/>
          <w:lang w:val="en-US"/>
        </w:rPr>
        <w:t>1.3  Immigration</w:t>
      </w:r>
      <w:r w:rsidRPr="00185099">
        <w:rPr>
          <w:rFonts w:ascii="Verdana" w:hAnsi="Verdana"/>
          <w:b/>
          <w:bCs/>
          <w:color w:val="auto"/>
          <w:sz w:val="22"/>
          <w:szCs w:val="22"/>
          <w:lang w:val="en-US"/>
        </w:rPr>
        <w:t xml:space="preserve"> enforcement, resource allocation, and the Article 2 implications of PSNI operational priorities</w:t>
      </w:r>
    </w:p>
    <w:p w:rsidR="00E91637" w:rsidRPr="00185099" w:rsidP="006429D8">
      <w:pPr>
        <w:spacing w:after="160"/>
        <w:rPr>
          <w:rFonts w:ascii="Verdana" w:hAnsi="Verdana"/>
        </w:rPr>
      </w:pPr>
      <w:r w:rsidRPr="00185099">
        <w:rPr>
          <w:rFonts w:ascii="Verdana" w:hAnsi="Verdana"/>
          <w:lang w:val="en-US"/>
        </w:rPr>
        <w:t>For years, the PSNI operated a practice of routine data-sharing with the Home Office that included migrant victims and witnesses of crime — including victims of trafficking, domestic abuse, and labour exploitation. Internal review material subsequently revealed that tens of thousands of individuals had been affected over a five-year period. When the PSNI reversed its position in February 2026, it acknowledged that nationality-based data-sharing had damaged community trust, lacked a lawful and proportionate policing purpose, and risked constituting institutional racism.</w:t>
      </w:r>
    </w:p>
    <w:p w:rsidR="00E91637" w:rsidRPr="00185099" w:rsidP="006429D8">
      <w:pPr>
        <w:spacing w:after="160"/>
        <w:rPr>
          <w:rFonts w:ascii="Verdana" w:hAnsi="Verdana"/>
        </w:rPr>
      </w:pPr>
      <w:r w:rsidRPr="00185099">
        <w:rPr>
          <w:rFonts w:ascii="Verdana" w:hAnsi="Verdana"/>
          <w:lang w:val="en-US"/>
        </w:rPr>
        <w:t xml:space="preserve">During the period when this practice was in operation, migrant workers who sought to assert employment equality rights or report exploitation were exposed to the documented risk that doing so would bring them to the attention of immigration enforcement. The effect was to suppress the practical exercise of Race Equality Directive rights — precisely the rights that Article 2 is intended to protect — for a substantial proportion of Northern Ireland's migrant population. The PSNI's reversal came only after sustained pressure from civil society, FOI disclosure, and media investigation — not </w:t>
      </w:r>
      <w:r w:rsidRPr="00185099">
        <w:rPr>
          <w:rFonts w:ascii="Verdana" w:hAnsi="Verdana"/>
          <w:lang w:val="en-US"/>
        </w:rPr>
        <w:t>as a result of</w:t>
      </w:r>
      <w:r w:rsidRPr="00185099">
        <w:rPr>
          <w:rFonts w:ascii="Verdana" w:hAnsi="Verdana"/>
          <w:lang w:val="en-US"/>
        </w:rPr>
        <w:t xml:space="preserve"> any Article 2 scrutiny mechanism.</w:t>
      </w:r>
    </w:p>
    <w:p w:rsidR="00E91637" w:rsidRPr="00185099" w:rsidP="006429D8">
      <w:pPr>
        <w:spacing w:after="160"/>
        <w:rPr>
          <w:rFonts w:ascii="Verdana" w:hAnsi="Verdana"/>
        </w:rPr>
      </w:pPr>
      <w:r w:rsidRPr="00185099">
        <w:rPr>
          <w:rFonts w:ascii="Verdana" w:hAnsi="Verdana"/>
        </w:rPr>
        <w:t>However, the data-sharing reversal did not address a parallel and arguably more acute Article 2 concern: the allocation of PSNI resources to immigration enforcement at the expense of investigations into paramilitary activity that has directly driven the displacement and harm documented in this submission.</w:t>
      </w:r>
    </w:p>
    <w:p w:rsidR="00E91637" w:rsidRPr="00185099" w:rsidP="006429D8">
      <w:pPr>
        <w:spacing w:after="160"/>
        <w:rPr>
          <w:rFonts w:ascii="Verdana" w:hAnsi="Verdana"/>
        </w:rPr>
      </w:pPr>
      <w:r w:rsidRPr="00185099">
        <w:rPr>
          <w:rFonts w:ascii="Verdana" w:hAnsi="Verdana"/>
          <w:lang w:val="en-US"/>
        </w:rPr>
        <w:t>The PSNI's own parliamentary evidence, submitted to the Northern Ireland Affairs Committee in January 2025 (written evidence FDPS0010), confirmed that the Paramilitary Crime Task Force (PCTF) — the multi-agency unit responsible for investigating organised crime with paramilitary links — had its NI Executive funding cut by 21% for 2024/25, and that further reductions 'have forced PSNI to collapse one of the three PCTF investigative teams.' The PSNI confirmed in the same evidence that approximately 32% of all organised crime gangs it investigates have paramilitary links. The Northern Ireland Affairs Committee's May 2026 report 'Police Service of Northern Ireland: 25 Years On' called for greater transparency about security funding allocation, noting that the paramilitary and terrorism threat persists. PSNI's own Assistant Chief Constable Davy Beck has publicly confirmed that members of loyalist paramilitary proscribed organisations were present at and directing disorder at multiple sites of the 2026 unrest.</w:t>
      </w:r>
    </w:p>
    <w:p w:rsidR="00E91637" w:rsidRPr="00185099" w:rsidP="006429D8">
      <w:pPr>
        <w:spacing w:after="160"/>
        <w:rPr>
          <w:rFonts w:ascii="Verdana" w:hAnsi="Verdana"/>
        </w:rPr>
      </w:pPr>
      <w:r w:rsidRPr="00185099">
        <w:rPr>
          <w:rFonts w:ascii="Verdana" w:hAnsi="Verdana"/>
          <w:lang w:val="en-US"/>
        </w:rPr>
        <w:t xml:space="preserve">During the same period, evidence submitted to the NIAC by the Migrants' Rights Network (written evidence PSNI0017, November 2025) established that Belfast has by far the highest concentration of immigration raids of any area in the United Kingdom. In the period from January 2022 to September 2023, over 15,800 raids were recorded in Northern Ireland; by the October 2023 to September 2024 period, this had risen to nearly 20,000. The MRN's evidence confirmed that 90.5% of these operations are conducted under Operation Gull, and that their operational methodology involves racial profiling — stopping racialised individuals </w:t>
      </w:r>
      <w:r w:rsidRPr="00185099">
        <w:rPr>
          <w:rFonts w:ascii="Verdana" w:hAnsi="Verdana"/>
          <w:lang w:val="en-US"/>
        </w:rPr>
        <w:t>on the basis of</w:t>
      </w:r>
      <w:r w:rsidRPr="00185099">
        <w:rPr>
          <w:rFonts w:ascii="Verdana" w:hAnsi="Verdana"/>
          <w:lang w:val="en-US"/>
        </w:rPr>
        <w:t xml:space="preserve"> appearance rather than specific intelligence. </w:t>
      </w:r>
      <w:r w:rsidRPr="00185099">
        <w:rPr>
          <w:rFonts w:ascii="Verdana" w:hAnsi="Verdana"/>
          <w:lang w:val="en-US"/>
        </w:rPr>
        <w:t>The PSNI</w:t>
      </w:r>
      <w:r w:rsidRPr="00185099">
        <w:rPr>
          <w:rFonts w:ascii="Verdana" w:hAnsi="Verdana"/>
          <w:lang w:val="en-US"/>
        </w:rPr>
        <w:t xml:space="preserve"> plays an active supporting role in these operations. The MRN documented that PSNI involvement makes it harder for people to assert their rights during </w:t>
      </w:r>
      <w:r w:rsidRPr="00185099">
        <w:rPr>
          <w:rFonts w:ascii="Verdana" w:hAnsi="Verdana"/>
          <w:lang w:val="en-US"/>
        </w:rPr>
        <w:t>raids, and</w:t>
      </w:r>
      <w:r w:rsidRPr="00185099">
        <w:rPr>
          <w:rFonts w:ascii="Verdana" w:hAnsi="Verdana"/>
          <w:lang w:val="en-US"/>
        </w:rPr>
        <w:t xml:space="preserve"> raised specific concern about the increasing use of plainclothes officers, which in the context of far-right actors conducting their own street stops creates confusion that causes additional distress in migrant communities. End Deportations Belfast, whose evidence is reported in The Canary (6 July 2026), stated that the PSNI had 'poured resources into supporting the Home Office on extremely low-level immigration enforcement activities in a manner not typical of elsewhere in the UK.'</w:t>
      </w:r>
    </w:p>
    <w:p w:rsidR="00E91637" w:rsidRPr="00185099" w:rsidP="006429D8">
      <w:pPr>
        <w:spacing w:after="160"/>
        <w:rPr>
          <w:rFonts w:ascii="Verdana" w:hAnsi="Verdana"/>
        </w:rPr>
      </w:pPr>
      <w:r w:rsidRPr="00185099">
        <w:rPr>
          <w:rFonts w:ascii="Verdana" w:hAnsi="Verdana"/>
          <w:lang w:val="en-US"/>
        </w:rPr>
        <w:t xml:space="preserve">The result is a documented inversion of the resource priorities that Article 2 demands. Investigative capacity for paramilitary criminality — including the proscribed organisations whose role in directing racist disorder the PSNI's own ACC confirmed — is being reduced. Enforcement operations that the MRN's parliamentary evidence and the PSNI's own submissions confirm involve racial profiling of the communities most at risk from that disorder are being expanded, to a scale unprecedented elsewhere in the UK. The Race Equality Directive, which survives Dillon as a directly enforceable Annex 1 instrument, prohibits direct and indirect discrimination on grounds of racial or ethnic origin, including in policing. The GFA's RSEO chapter commits to </w:t>
      </w:r>
      <w:r w:rsidRPr="00185099">
        <w:rPr>
          <w:rFonts w:ascii="Verdana" w:hAnsi="Verdana"/>
          <w:lang w:val="en-US"/>
        </w:rPr>
        <w:t>equality of</w:t>
      </w:r>
      <w:r w:rsidRPr="00185099">
        <w:rPr>
          <w:rFonts w:ascii="Verdana" w:hAnsi="Verdana"/>
          <w:lang w:val="en-US"/>
        </w:rPr>
        <w:t xml:space="preserve"> opportunity and protection from violence for </w:t>
      </w:r>
      <w:r w:rsidRPr="00185099">
        <w:rPr>
          <w:rFonts w:ascii="Verdana" w:hAnsi="Verdana"/>
          <w:lang w:val="en-US"/>
        </w:rPr>
        <w:t>everyone in the community. A policing posture that systematically reduces investigation of racist paramilitary violence while expanding racially profiled enforcement operations against the same communities would, on its face, constitute a diminution of both commitments. No Article 2 impact assessment was conducted for either the PCTF funding cut or the expansion of Operation Gull in Northern Ireland.</w:t>
      </w:r>
    </w:p>
    <w:p w:rsidR="00E91637" w:rsidRPr="00185099" w:rsidP="006429D8">
      <w:pPr>
        <w:pStyle w:val="Heading3"/>
        <w:spacing w:before="160" w:after="60"/>
        <w:rPr>
          <w:rFonts w:ascii="Verdana" w:hAnsi="Verdana"/>
          <w:color w:val="auto"/>
          <w:sz w:val="22"/>
          <w:szCs w:val="22"/>
        </w:rPr>
      </w:pPr>
      <w:r w:rsidRPr="00185099">
        <w:rPr>
          <w:rFonts w:ascii="Verdana" w:hAnsi="Verdana"/>
          <w:b/>
          <w:bCs/>
          <w:color w:val="auto"/>
          <w:sz w:val="22"/>
          <w:szCs w:val="22"/>
          <w:lang w:val="en-US"/>
        </w:rPr>
        <w:t>1.4  Displacement</w:t>
      </w:r>
      <w:r w:rsidRPr="00185099">
        <w:rPr>
          <w:rFonts w:ascii="Verdana" w:hAnsi="Verdana"/>
          <w:b/>
          <w:bCs/>
          <w:color w:val="auto"/>
          <w:sz w:val="22"/>
          <w:szCs w:val="22"/>
          <w:lang w:val="en-US"/>
        </w:rPr>
        <w:t xml:space="preserve"> as the most direct form of diminished equality of opportunity</w:t>
      </w:r>
    </w:p>
    <w:p w:rsidR="00E91637" w:rsidRPr="00185099" w:rsidP="006429D8">
      <w:pPr>
        <w:spacing w:after="160"/>
        <w:rPr>
          <w:rFonts w:ascii="Verdana" w:hAnsi="Verdana"/>
        </w:rPr>
      </w:pPr>
      <w:r w:rsidRPr="00185099">
        <w:rPr>
          <w:rFonts w:ascii="Verdana" w:hAnsi="Verdana"/>
          <w:lang w:val="en-US"/>
        </w:rPr>
        <w:t xml:space="preserve">The Good Friday Agreement's equality framework commits to equality of opportunity as a foundational value. Since June 2025, MWU-NI has supported seven households — approximately 25 people — who have left Northern Ireland because, in their assessment, the combination of ongoing racist unrest and shrinking immigration pathways made life here unlivable. These are not hypothetical Article 2 concerns. They are </w:t>
      </w:r>
      <w:r w:rsidRPr="00185099">
        <w:rPr>
          <w:rFonts w:ascii="Verdana" w:hAnsi="Verdana"/>
          <w:lang w:val="en-US"/>
        </w:rPr>
        <w:t>its</w:t>
      </w:r>
      <w:r w:rsidRPr="00185099">
        <w:rPr>
          <w:rFonts w:ascii="Verdana" w:hAnsi="Verdana"/>
          <w:lang w:val="en-US"/>
        </w:rPr>
        <w:t xml:space="preserve"> most concrete expression.</w:t>
      </w:r>
    </w:p>
    <w:p w:rsidR="00E91637" w:rsidRPr="00185099" w:rsidP="006429D8">
      <w:pPr>
        <w:spacing w:after="160"/>
        <w:rPr>
          <w:rFonts w:ascii="Verdana" w:hAnsi="Verdana"/>
        </w:rPr>
      </w:pPr>
      <w:r w:rsidRPr="00185099">
        <w:rPr>
          <w:rFonts w:ascii="Verdana" w:hAnsi="Verdana"/>
          <w:lang w:val="en-US"/>
        </w:rPr>
        <w:t>The composition of those who left matters. Approximately one quarter were migrants in skilled professional roles — university staff, medical and care workers — who could no longer sustain the combination of institutional immigration precarity and community hostility. A further quarter were local citizens of colour in high-paying professional roles — technology, teaching — who left not because of immigration status but because they did not feel safe. The remainder were recently recognised refugees and modern slavery survivors who had been formally granted protection but concluded that remaining in Northern Ireland would mean continued retraumatisation. Many of these individuals took young children with them.</w:t>
      </w:r>
    </w:p>
    <w:p w:rsidR="00E91637" w:rsidRPr="00185099" w:rsidP="006429D8">
      <w:pPr>
        <w:spacing w:after="160"/>
        <w:rPr>
          <w:rFonts w:ascii="Verdana" w:hAnsi="Verdana"/>
        </w:rPr>
      </w:pPr>
      <w:r w:rsidRPr="00185099">
        <w:rPr>
          <w:rFonts w:ascii="Verdana" w:hAnsi="Verdana"/>
          <w:lang w:val="en-US"/>
        </w:rPr>
        <w:t>We want to be direct about what this means in organisational terms: we sent these people off with well wishes and a meal, because that was what we could offer. Equality of opportunity — including the opportunity to build a life in Northern Ireland — has been foreclosed for these 25 people. The causes include both the racist unrest that state institutions have failed to adequately prevent and an immigration system whose cumulative effect makes the calculus of remaining in Northern Ireland too costly. Both are relevant to Article 2.</w:t>
      </w:r>
    </w:p>
    <w:p w:rsidR="00E91637" w:rsidRPr="00185099" w:rsidP="006429D8">
      <w:pPr>
        <w:pStyle w:val="Heading3"/>
        <w:spacing w:before="160" w:after="60"/>
        <w:rPr>
          <w:rFonts w:ascii="Verdana" w:hAnsi="Verdana"/>
          <w:color w:val="auto"/>
          <w:sz w:val="22"/>
          <w:szCs w:val="22"/>
        </w:rPr>
      </w:pPr>
      <w:r w:rsidRPr="00185099">
        <w:rPr>
          <w:rFonts w:ascii="Verdana" w:hAnsi="Verdana"/>
          <w:b/>
          <w:bCs/>
          <w:color w:val="auto"/>
          <w:sz w:val="22"/>
          <w:szCs w:val="22"/>
          <w:lang w:val="en-US"/>
        </w:rPr>
        <w:t>1.5  Visa</w:t>
      </w:r>
      <w:r w:rsidRPr="00185099">
        <w:rPr>
          <w:rFonts w:ascii="Verdana" w:hAnsi="Verdana"/>
          <w:b/>
          <w:bCs/>
          <w:color w:val="auto"/>
          <w:sz w:val="22"/>
          <w:szCs w:val="22"/>
          <w:lang w:val="en-US"/>
        </w:rPr>
        <w:t xml:space="preserve"> curtailment as a barrier to employment tribunal access — a documented sequence</w:t>
      </w:r>
    </w:p>
    <w:p w:rsidR="00E91637" w:rsidRPr="00185099" w:rsidP="006429D8">
      <w:pPr>
        <w:spacing w:after="160"/>
        <w:rPr>
          <w:rFonts w:ascii="Verdana" w:hAnsi="Verdana"/>
        </w:rPr>
      </w:pPr>
      <w:r w:rsidRPr="00185099">
        <w:rPr>
          <w:rFonts w:ascii="Verdana" w:hAnsi="Verdana"/>
          <w:lang w:val="en-US"/>
        </w:rPr>
        <w:t>MWU-NI is aware of a documented case, within our network, in which the following sequence of events occurred. An individual had active proceedings before the industrial tribunal in Northern Ireland when the Home Office curtailed their immigration status. The tribunal judge, before the curtailment, had formally refused to make the hearing remote — specifically on the basis that remote participation would be to the detriment of the claimant's position in the case. The individual provided the Home Office with formal court correspondence confirming this judicial decision, on court letterhead.</w:t>
      </w:r>
    </w:p>
    <w:p w:rsidR="00E91637" w:rsidRPr="00185099" w:rsidP="006429D8">
      <w:pPr>
        <w:spacing w:after="160"/>
        <w:rPr>
          <w:rFonts w:ascii="Verdana" w:hAnsi="Verdana"/>
        </w:rPr>
      </w:pPr>
      <w:r w:rsidRPr="00185099">
        <w:rPr>
          <w:rFonts w:ascii="Verdana" w:hAnsi="Verdana"/>
          <w:lang w:val="en-US"/>
        </w:rPr>
        <w:t xml:space="preserve">The Home Office's formal PAP response nonetheless directed the individual to attend the hearing remotely, asserting that this was sufficient to satisfy the requirements of the case. The Home Office offered this direction despite having been shown a formal judicial determination to the contrary — a </w:t>
      </w:r>
      <w:r w:rsidRPr="00185099">
        <w:rPr>
          <w:rFonts w:ascii="Verdana" w:hAnsi="Verdana"/>
          <w:lang w:val="en-US"/>
        </w:rPr>
        <w:t>determination made by a sitting judge on case management grounds to protect the claimant's interests. The Home Office does not have remit over the case management decisions of the industrial tribunal. When this was put to them, and a fourteen-day window for judicial review proceedings was formally indicated, the Home Office did not respond.</w:t>
      </w:r>
    </w:p>
    <w:p w:rsidR="00E91637" w:rsidRPr="00185099" w:rsidP="006429D8">
      <w:pPr>
        <w:spacing w:after="160"/>
        <w:rPr>
          <w:rFonts w:ascii="Verdana" w:hAnsi="Verdana"/>
        </w:rPr>
      </w:pPr>
      <w:r w:rsidRPr="00185099">
        <w:rPr>
          <w:rFonts w:ascii="Verdana" w:hAnsi="Verdana"/>
          <w:lang w:val="en-US"/>
        </w:rPr>
        <w:t>In the same correspondence, the Home Office stated it had no record of modern slavery indicators previously reported through official channels. It confirmed that a formal immigration crime report does not constitute an NRM referral and does not trigger an NRM investigation — meaning that workers who report exploitation through official immigration crime reporting channels receive no NRM protection as a result. The access-to-justice and victim-identification failures compound each other: the worker cannot safely attend the tribunal, and the exploitation they reported has not been progressed through any protective pathway.</w:t>
      </w:r>
    </w:p>
    <w:p w:rsidR="00E91637" w:rsidRPr="00185099" w:rsidP="006429D8">
      <w:pPr>
        <w:spacing w:after="160"/>
        <w:rPr>
          <w:rFonts w:ascii="Verdana" w:hAnsi="Verdana"/>
        </w:rPr>
      </w:pPr>
      <w:r w:rsidRPr="00185099">
        <w:rPr>
          <w:rFonts w:ascii="Verdana" w:hAnsi="Verdana"/>
          <w:lang w:val="en-US"/>
        </w:rPr>
        <w:t>This sequence is not an administrative irregularity. It is a documented instance of the executive attempting to instruct the judiciary on case management, being informed it lacks the remit to do so, and responding by going silent — leaving the individual with a curtailed visa, a live hearing, and a formal judicial decision the enforcing authority has declined to acknowledge. The fact that the Home Office appended to the same correspondence a warning that failure to pay any costs awarded against the individual in judicial review proceedings may affect future immigration applications illustrates the additional structural deterrent to challenging this conduct. The chilling effect on access to courts is direct, documented, and operating in cases with active Article 2 relevance.</w:t>
      </w:r>
    </w:p>
    <w:p w:rsidR="00E91637" w:rsidRPr="00185099" w:rsidP="006429D8">
      <w:pPr>
        <w:pStyle w:val="Heading1"/>
        <w:spacing w:before="240" w:after="120"/>
        <w:rPr>
          <w:rFonts w:ascii="Verdana" w:hAnsi="Verdana"/>
          <w:color w:val="auto"/>
          <w:sz w:val="22"/>
          <w:szCs w:val="22"/>
        </w:rPr>
      </w:pPr>
      <w:r w:rsidRPr="00185099">
        <w:rPr>
          <w:rFonts w:ascii="Verdana" w:hAnsi="Verdana"/>
          <w:b/>
          <w:bCs/>
          <w:color w:val="auto"/>
          <w:sz w:val="22"/>
          <w:szCs w:val="22"/>
          <w:lang w:val="en-US"/>
        </w:rPr>
        <w:t>Section 2: The Dillon Ruling — What It Means for Migrant and Racialised Communities</w:t>
      </w:r>
    </w:p>
    <w:p w:rsidR="00E91637" w:rsidRPr="00185099" w:rsidP="006429D8">
      <w:pPr>
        <w:pStyle w:val="Heading3"/>
        <w:spacing w:before="160" w:after="60"/>
        <w:rPr>
          <w:rFonts w:ascii="Verdana" w:hAnsi="Verdana"/>
          <w:color w:val="auto"/>
          <w:sz w:val="22"/>
          <w:szCs w:val="22"/>
        </w:rPr>
      </w:pPr>
      <w:r w:rsidRPr="00185099">
        <w:rPr>
          <w:rFonts w:ascii="Verdana" w:hAnsi="Verdana"/>
          <w:b/>
          <w:bCs/>
          <w:color w:val="auto"/>
          <w:sz w:val="22"/>
          <w:szCs w:val="22"/>
          <w:lang w:val="en-US"/>
        </w:rPr>
        <w:t>2.1  The</w:t>
      </w:r>
      <w:r w:rsidRPr="00185099">
        <w:rPr>
          <w:rFonts w:ascii="Verdana" w:hAnsi="Verdana"/>
          <w:b/>
          <w:bCs/>
          <w:color w:val="auto"/>
          <w:sz w:val="22"/>
          <w:szCs w:val="22"/>
          <w:lang w:val="en-US"/>
        </w:rPr>
        <w:t xml:space="preserve"> sectarian-conflict framing and its exclusion of migrant communities</w:t>
      </w:r>
    </w:p>
    <w:p w:rsidR="00E91637" w:rsidRPr="00185099" w:rsidP="006429D8">
      <w:pPr>
        <w:spacing w:after="160"/>
        <w:rPr>
          <w:rFonts w:ascii="Verdana" w:hAnsi="Verdana"/>
        </w:rPr>
      </w:pPr>
      <w:r w:rsidRPr="00185099">
        <w:rPr>
          <w:rFonts w:ascii="Verdana" w:hAnsi="Verdana"/>
          <w:lang w:val="en-US"/>
        </w:rPr>
        <w:t>The Supreme Court in Dillon [2026] UKSC 15 significantly narrowed the scope of directly enforceable rights under Article 2 by reframing the GFA's RSEO chapter as primarily concerned with ending sectarian conflict between the two historically divided communities. MWU-NI does not dispute that this was a central purpose of the Agreement. The text of the RSEO chapter, however, speaks of 'everyone in the community.' The equality and non-discrimination principles it embeds were never confined to one dimension of Northern Irish identity.</w:t>
      </w:r>
    </w:p>
    <w:p w:rsidR="00E91637" w:rsidRPr="00185099" w:rsidP="006429D8">
      <w:pPr>
        <w:spacing w:after="160"/>
        <w:rPr>
          <w:rFonts w:ascii="Verdana" w:hAnsi="Verdana"/>
        </w:rPr>
      </w:pPr>
      <w:r w:rsidRPr="00185099">
        <w:rPr>
          <w:rFonts w:ascii="Verdana" w:hAnsi="Verdana"/>
          <w:lang w:val="en-US"/>
        </w:rPr>
        <w:t xml:space="preserve">The Court's reasoning effectively marginalises migrant communities as beneficiaries of Article 2 protection, </w:t>
      </w:r>
      <w:r w:rsidRPr="00185099">
        <w:rPr>
          <w:rFonts w:ascii="Verdana" w:hAnsi="Verdana"/>
          <w:lang w:val="en-US"/>
        </w:rPr>
        <w:t>despite the fact that</w:t>
      </w:r>
      <w:r w:rsidRPr="00185099">
        <w:rPr>
          <w:rFonts w:ascii="Verdana" w:hAnsi="Verdana"/>
          <w:lang w:val="en-US"/>
        </w:rPr>
        <w:t xml:space="preserve"> it is precisely these communities who face the most acute practical diminution of rights in the current environment. An interpretation of Article 2 that treats systematic labour exploitation of migrant workers, structural inaccessibility of Race Equality Directive rights, and the displacement of 25 people including children as falling outside the Agreement's framework is one that requires the Committee's urgent attention.</w:t>
      </w:r>
    </w:p>
    <w:p w:rsidR="00E91637" w:rsidRPr="00185099" w:rsidP="006429D8">
      <w:pPr>
        <w:pStyle w:val="Heading3"/>
        <w:spacing w:before="160" w:after="60"/>
        <w:rPr>
          <w:rFonts w:ascii="Verdana" w:hAnsi="Verdana"/>
          <w:color w:val="auto"/>
          <w:sz w:val="22"/>
          <w:szCs w:val="22"/>
        </w:rPr>
      </w:pPr>
      <w:r w:rsidRPr="00185099">
        <w:rPr>
          <w:rFonts w:ascii="Verdana" w:hAnsi="Verdana"/>
          <w:b/>
          <w:bCs/>
          <w:color w:val="auto"/>
          <w:sz w:val="22"/>
          <w:szCs w:val="22"/>
          <w:lang w:val="en-US"/>
        </w:rPr>
        <w:t>2.2  The</w:t>
      </w:r>
      <w:r w:rsidRPr="00185099">
        <w:rPr>
          <w:rFonts w:ascii="Verdana" w:hAnsi="Verdana"/>
          <w:b/>
          <w:bCs/>
          <w:color w:val="auto"/>
          <w:sz w:val="22"/>
          <w:szCs w:val="22"/>
          <w:lang w:val="en-US"/>
        </w:rPr>
        <w:t xml:space="preserve"> Annex 1 directives: formally enforceable, practically inaccessible</w:t>
      </w:r>
    </w:p>
    <w:p w:rsidR="00E91637" w:rsidRPr="00185099" w:rsidP="006429D8">
      <w:pPr>
        <w:spacing w:after="160"/>
        <w:rPr>
          <w:rFonts w:ascii="Verdana" w:hAnsi="Verdana"/>
        </w:rPr>
      </w:pPr>
      <w:r w:rsidRPr="00185099">
        <w:rPr>
          <w:rFonts w:ascii="Verdana" w:hAnsi="Verdana"/>
          <w:lang w:val="en-US"/>
        </w:rPr>
        <w:t xml:space="preserve">The six Annex 1 anti-discrimination directives that survive Dillon — including the Race Equality Directive and the Employment Equality Framework Directive — are directly relevant to MWU-NI's membership. We do not dispute that these instruments remain technically enforceable. We submit, </w:t>
      </w:r>
      <w:r w:rsidRPr="00185099">
        <w:rPr>
          <w:rFonts w:ascii="Verdana" w:hAnsi="Verdana"/>
          <w:lang w:val="en-US"/>
        </w:rPr>
        <w:t>on the basis of</w:t>
      </w:r>
      <w:r w:rsidRPr="00185099">
        <w:rPr>
          <w:rFonts w:ascii="Verdana" w:hAnsi="Verdana"/>
          <w:lang w:val="en-US"/>
        </w:rPr>
        <w:t xml:space="preserve"> casework evidence in Section 1, that formal and practical enforceability are not the same thing for migrant workers in Northern Ireland.</w:t>
      </w:r>
    </w:p>
    <w:p w:rsidR="00E91637" w:rsidRPr="00185099" w:rsidP="006429D8">
      <w:pPr>
        <w:spacing w:after="160"/>
        <w:rPr>
          <w:rFonts w:ascii="Verdana" w:hAnsi="Verdana"/>
        </w:rPr>
      </w:pPr>
      <w:r w:rsidRPr="00185099">
        <w:rPr>
          <w:rFonts w:ascii="Verdana" w:hAnsi="Verdana"/>
        </w:rPr>
        <w:t>A worker on a Skilled Worker visa who faces racial discrimination can, in theory, bring a claim under the Race Equality Directive. In practice, they face: the risk that raising a complaint triggers dismissal and visa curtailment; a documented history of immigration enforcement contact following engagement with formal institutions; no legal aid for employment tribunal proceedings; a tribunal system inaccessible to workers without English-language proficiency; and employers who are aware of these vulnerabilities and exploit them deliberately. The people who most need Article 2's surviving protections to work are, structurally, the people for whom they are most inaccessible.</w:t>
      </w:r>
    </w:p>
    <w:p w:rsidR="00E91637" w:rsidRPr="00185099" w:rsidP="006429D8">
      <w:pPr>
        <w:pStyle w:val="Heading3"/>
        <w:spacing w:before="160" w:after="60"/>
        <w:rPr>
          <w:rFonts w:ascii="Verdana" w:hAnsi="Verdana"/>
          <w:color w:val="auto"/>
          <w:sz w:val="22"/>
          <w:szCs w:val="22"/>
        </w:rPr>
      </w:pPr>
      <w:r w:rsidRPr="00185099">
        <w:rPr>
          <w:rFonts w:ascii="Verdana" w:hAnsi="Verdana"/>
          <w:b/>
          <w:bCs/>
          <w:color w:val="auto"/>
          <w:sz w:val="22"/>
          <w:szCs w:val="22"/>
          <w:lang w:val="en-US"/>
        </w:rPr>
        <w:t>2.3  What</w:t>
      </w:r>
      <w:r w:rsidRPr="00185099">
        <w:rPr>
          <w:rFonts w:ascii="Verdana" w:hAnsi="Verdana"/>
          <w:b/>
          <w:bCs/>
          <w:color w:val="auto"/>
          <w:sz w:val="22"/>
          <w:szCs w:val="22"/>
          <w:lang w:val="en-US"/>
        </w:rPr>
        <w:t xml:space="preserve"> has been lost: the Anti-Trafficking Directive and the section 22 gap</w:t>
      </w:r>
    </w:p>
    <w:p w:rsidR="00E91637" w:rsidRPr="00185099" w:rsidP="006429D8">
      <w:pPr>
        <w:spacing w:after="160"/>
        <w:rPr>
          <w:rFonts w:ascii="Verdana" w:hAnsi="Verdana"/>
        </w:rPr>
      </w:pPr>
      <w:r w:rsidRPr="00185099">
        <w:rPr>
          <w:rFonts w:ascii="Verdana" w:hAnsi="Verdana"/>
          <w:lang w:val="en-US"/>
        </w:rPr>
        <w:t xml:space="preserve">Before Dillon, there was at least a </w:t>
      </w:r>
      <w:r w:rsidRPr="00185099">
        <w:rPr>
          <w:rFonts w:ascii="Verdana" w:hAnsi="Verdana"/>
          <w:lang w:val="en-US"/>
        </w:rPr>
        <w:t>plausible —</w:t>
      </w:r>
      <w:r w:rsidRPr="00185099">
        <w:rPr>
          <w:rFonts w:ascii="Verdana" w:hAnsi="Verdana"/>
          <w:lang w:val="en-US"/>
        </w:rPr>
        <w:t xml:space="preserve"> and by the government's own 2020 NIO Explainer, explicitly acknowledged — argument that the EU Anti-Trafficking Directive was within Article 2's scope. The Directive requires effective identification of trafficking victims, access to the NRM, and non-punishment for offences committed </w:t>
      </w:r>
      <w:r w:rsidRPr="00185099">
        <w:rPr>
          <w:rFonts w:ascii="Verdana" w:hAnsi="Verdana"/>
          <w:lang w:val="en-US"/>
        </w:rPr>
        <w:t>as a result of</w:t>
      </w:r>
      <w:r w:rsidRPr="00185099">
        <w:rPr>
          <w:rFonts w:ascii="Verdana" w:hAnsi="Verdana"/>
          <w:lang w:val="en-US"/>
        </w:rPr>
        <w:t xml:space="preserve"> exploitation. These obligations have direct bearing on MWU-NI's casework.</w:t>
      </w:r>
    </w:p>
    <w:p w:rsidR="00E91637" w:rsidRPr="00185099" w:rsidP="006429D8">
      <w:pPr>
        <w:spacing w:after="160"/>
        <w:rPr>
          <w:rFonts w:ascii="Verdana" w:hAnsi="Verdana"/>
        </w:rPr>
      </w:pPr>
      <w:r w:rsidRPr="00185099">
        <w:rPr>
          <w:rFonts w:ascii="Verdana" w:hAnsi="Verdana"/>
        </w:rPr>
        <w:t>We document multiple cases in which these obligations were not met: modern slavery victims whose cases received no follow-up after initial law enforcement contact; workers who reported exploitation through official channels and were told those reports did not constitute NRM referrals; a suspected child trafficking case in which frontline workers were unaware that health trusts are first responders in Northern Ireland, had no clear referral pathway, and lost contact with the victim entirely — including a young woman who later returned to a support service heavily pregnant, was made homeless when the tenancy held by her suspected exploiter ended, and has not been heard from since.</w:t>
      </w:r>
    </w:p>
    <w:p w:rsidR="00E91637" w:rsidRPr="00185099" w:rsidP="006429D8">
      <w:pPr>
        <w:spacing w:after="160"/>
        <w:rPr>
          <w:rFonts w:ascii="Verdana" w:hAnsi="Verdana"/>
        </w:rPr>
      </w:pPr>
      <w:r w:rsidRPr="00185099">
        <w:rPr>
          <w:rFonts w:ascii="Verdana" w:hAnsi="Verdana"/>
          <w:lang w:val="en-US"/>
        </w:rPr>
        <w:t>Against this backdrop, it is especially significant that the statutory defence under section 22 of the Human Trafficking and Exploitation (Criminal Justice and Support for Victims) Act (Northern Ireland) 2015 has not been used in over ten years since its enactment. Unlike section 45 of the Modern Slavery Act 2015 in England and Wales, the Northern Ireland provision does not exclude public order offences — meaning it could in principle apply to children coerced into participation in disorder. That it has never been used is a concrete indicator that Anti-Trafficking Directive obligations are not being operationalised in Northern Ireland.</w:t>
      </w:r>
    </w:p>
    <w:p w:rsidR="00E91637" w:rsidRPr="00185099" w:rsidP="006429D8">
      <w:pPr>
        <w:spacing w:after="160"/>
        <w:rPr>
          <w:rFonts w:ascii="Verdana" w:hAnsi="Verdana"/>
        </w:rPr>
      </w:pPr>
      <w:r w:rsidRPr="00185099">
        <w:rPr>
          <w:rFonts w:ascii="Verdana" w:hAnsi="Verdana"/>
          <w:lang w:val="en-US"/>
        </w:rPr>
        <w:t xml:space="preserve">Post-Dillon, the argument that this failure constitutes a breach of a protected EU instrument has been substantially foreclosed in domestic courts. The Committee should consider whether this represents a </w:t>
      </w:r>
      <w:r w:rsidRPr="00185099">
        <w:rPr>
          <w:rFonts w:ascii="Verdana" w:hAnsi="Verdana"/>
          <w:lang w:val="en-US"/>
        </w:rPr>
        <w:t>diminution of rights now beyond domestic judicial remedy, and whether legislative action is required to restore that position.</w:t>
      </w:r>
    </w:p>
    <w:p w:rsidR="00E91637" w:rsidRPr="00185099" w:rsidP="006429D8">
      <w:pPr>
        <w:pStyle w:val="Heading3"/>
        <w:spacing w:before="160" w:after="60"/>
        <w:rPr>
          <w:rFonts w:ascii="Verdana" w:hAnsi="Verdana"/>
          <w:color w:val="auto"/>
          <w:sz w:val="22"/>
          <w:szCs w:val="22"/>
        </w:rPr>
      </w:pPr>
      <w:r w:rsidRPr="00185099">
        <w:rPr>
          <w:rFonts w:ascii="Verdana" w:hAnsi="Verdana"/>
          <w:b/>
          <w:bCs/>
          <w:color w:val="auto"/>
          <w:sz w:val="22"/>
          <w:szCs w:val="22"/>
          <w:lang w:val="en-US"/>
        </w:rPr>
        <w:t>2.4  The</w:t>
      </w:r>
      <w:r w:rsidRPr="00185099">
        <w:rPr>
          <w:rFonts w:ascii="Verdana" w:hAnsi="Verdana"/>
          <w:b/>
          <w:bCs/>
          <w:color w:val="auto"/>
          <w:sz w:val="22"/>
          <w:szCs w:val="22"/>
          <w:lang w:val="en-US"/>
        </w:rPr>
        <w:t xml:space="preserve"> NIO Explainer removal: civil society without a baseline</w:t>
      </w:r>
    </w:p>
    <w:p w:rsidR="00E91637" w:rsidRPr="00185099" w:rsidP="006429D8">
      <w:pPr>
        <w:spacing w:after="160"/>
        <w:rPr>
          <w:rFonts w:ascii="Verdana" w:hAnsi="Verdana"/>
        </w:rPr>
      </w:pPr>
      <w:r w:rsidRPr="00185099">
        <w:rPr>
          <w:rFonts w:ascii="Verdana" w:hAnsi="Verdana"/>
          <w:lang w:val="en-US"/>
        </w:rPr>
        <w:t>The NIO's 2020 Explainer document, which explicitly acknowledged that Article 2 covered instruments beyond the Annex 1 directives, was removed from the NIO website the day after the Dillon judgment. MWU-NI and many other civil society organisations had relied on that document when advising community members and partner organisations about the rights they held under Article 2. Its removal without replacement or explanation leaves a practical guidance gap that compounds the legal uncertainty created by Dillon.</w:t>
      </w:r>
    </w:p>
    <w:p w:rsidR="00E91637" w:rsidRPr="00185099" w:rsidP="006429D8">
      <w:pPr>
        <w:spacing w:after="160"/>
        <w:rPr>
          <w:rFonts w:ascii="Verdana" w:hAnsi="Verdana"/>
        </w:rPr>
      </w:pPr>
      <w:r w:rsidRPr="00185099">
        <w:rPr>
          <w:rFonts w:ascii="Verdana" w:hAnsi="Verdana"/>
          <w:lang w:val="en-US"/>
        </w:rPr>
        <w:t xml:space="preserve">Civil society organisations working with vulnerable communities now have no accessible official statement of what the government believes Article 2 protections cover. This affects whether community organisations can provide accurate rights advice, whether they can identify the basis for potential legal challenges, and whether affected individuals understand the framework within which they might seek redress. The government's decision to remove its own commitments </w:t>
      </w:r>
      <w:r w:rsidRPr="00185099">
        <w:rPr>
          <w:rFonts w:ascii="Verdana" w:hAnsi="Verdana"/>
          <w:lang w:val="en-US"/>
        </w:rPr>
        <w:t>document</w:t>
      </w:r>
      <w:r w:rsidRPr="00185099">
        <w:rPr>
          <w:rFonts w:ascii="Verdana" w:hAnsi="Verdana"/>
          <w:lang w:val="en-US"/>
        </w:rPr>
        <w:t xml:space="preserve"> the day after the judgment that narrowed those commitments is itself evidence of an approach to its obligations that the Committee should scrutinise.</w:t>
      </w:r>
    </w:p>
    <w:p w:rsidR="00E91637" w:rsidRPr="00185099" w:rsidP="006429D8">
      <w:pPr>
        <w:pStyle w:val="Heading3"/>
        <w:spacing w:before="160" w:after="60"/>
        <w:rPr>
          <w:rFonts w:ascii="Verdana" w:hAnsi="Verdana"/>
          <w:color w:val="auto"/>
          <w:sz w:val="22"/>
          <w:szCs w:val="22"/>
        </w:rPr>
      </w:pPr>
      <w:r w:rsidRPr="00185099">
        <w:rPr>
          <w:rFonts w:ascii="Verdana" w:hAnsi="Verdana"/>
          <w:b/>
          <w:bCs/>
          <w:color w:val="auto"/>
          <w:sz w:val="22"/>
          <w:szCs w:val="22"/>
          <w:lang w:val="en-US"/>
        </w:rPr>
        <w:t>2.5  Devolved</w:t>
      </w:r>
      <w:r w:rsidRPr="00185099">
        <w:rPr>
          <w:rFonts w:ascii="Verdana" w:hAnsi="Verdana"/>
          <w:b/>
          <w:bCs/>
          <w:color w:val="auto"/>
          <w:sz w:val="22"/>
          <w:szCs w:val="22"/>
          <w:lang w:val="en-US"/>
        </w:rPr>
        <w:t xml:space="preserve"> paralysis: proposals in a holding pattern since November 2025</w:t>
      </w:r>
    </w:p>
    <w:p w:rsidR="00E91637" w:rsidRPr="00185099" w:rsidP="006429D8">
      <w:pPr>
        <w:spacing w:after="160"/>
        <w:rPr>
          <w:rFonts w:ascii="Verdana" w:hAnsi="Verdana"/>
        </w:rPr>
      </w:pPr>
      <w:r w:rsidRPr="00185099">
        <w:rPr>
          <w:rFonts w:ascii="Verdana" w:hAnsi="Verdana"/>
          <w:lang w:val="en-US"/>
        </w:rPr>
        <w:t>Since November 2025, MWU-NI has been working in collaboration with the Department of Justice (modern slavery division), Ending the Harm, the Gangmasters and Labour Abuse Authority, the Fair Work Agency, the All-Party Group on Modern Slavery, the Committee for Justice, and a range of MLAs, MPs, and Peers on a set of shared proposals to address the structural gaps documented in this submission: the NRM referral failures; visa-tied silencing of workers; barriers to employment tribunal access; and the absence of a functioning firewall between victim reporting and immigration enforcement.</w:t>
      </w:r>
    </w:p>
    <w:p w:rsidR="00E91637" w:rsidRPr="00185099" w:rsidP="006429D8">
      <w:pPr>
        <w:spacing w:after="160"/>
        <w:rPr>
          <w:rFonts w:ascii="Verdana" w:hAnsi="Verdana"/>
        </w:rPr>
      </w:pPr>
      <w:r w:rsidRPr="00185099">
        <w:rPr>
          <w:rFonts w:ascii="Verdana" w:hAnsi="Verdana"/>
          <w:lang w:val="en-US"/>
        </w:rPr>
        <w:t xml:space="preserve">Those proposals have been in a holding pattern for over seven months. This is partly a consequence of Northern Ireland's devolved architecture: matters that in England can be addressed through a single ministerial decision may in Northern Ireland require coordination across Westminster, the NI Executive, multiple departments, and parallel legislative processes. Proposals that engage both reserved immigration matters and devolved equality </w:t>
      </w:r>
      <w:r w:rsidRPr="00185099">
        <w:rPr>
          <w:rFonts w:ascii="Verdana" w:hAnsi="Verdana"/>
          <w:lang w:val="en-US"/>
        </w:rPr>
        <w:t>obligations — as these do —</w:t>
      </w:r>
      <w:r w:rsidRPr="00185099">
        <w:rPr>
          <w:rFonts w:ascii="Verdana" w:hAnsi="Verdana"/>
          <w:lang w:val="en-US"/>
        </w:rPr>
        <w:t xml:space="preserve"> fall into precisely the gap that neither government has clear responsibility to resolve swiftly.</w:t>
      </w:r>
    </w:p>
    <w:p w:rsidR="00E91637" w:rsidRPr="00185099" w:rsidP="006429D8">
      <w:pPr>
        <w:spacing w:after="160"/>
        <w:rPr>
          <w:rFonts w:ascii="Verdana" w:hAnsi="Verdana"/>
        </w:rPr>
      </w:pPr>
      <w:r w:rsidRPr="00185099">
        <w:rPr>
          <w:rFonts w:ascii="Verdana" w:hAnsi="Verdana"/>
          <w:lang w:val="en-US"/>
        </w:rPr>
        <w:t>This structural delay is itself a form of practical diminution. Rights that are agreed to need strengthening, by bodies with the mandate to strengthen them, but which cannot be given effect because the governance architecture moves too slowly, are rights that are being diminished in practice. The Committee should consider whether the current devolved architecture provides adequate mechanisms for addressing Article 2 compliance failures that span the reserved/devolved divide, and whether a dedicated joint mechanism with defined timescales is needed.</w:t>
      </w:r>
    </w:p>
    <w:p w:rsidR="00E91637" w:rsidRPr="00185099" w:rsidP="006429D8">
      <w:pPr>
        <w:pStyle w:val="Heading3"/>
        <w:spacing w:before="160" w:after="60"/>
        <w:rPr>
          <w:rFonts w:ascii="Verdana" w:hAnsi="Verdana"/>
          <w:color w:val="auto"/>
          <w:sz w:val="22"/>
          <w:szCs w:val="22"/>
        </w:rPr>
      </w:pPr>
      <w:r w:rsidRPr="00185099">
        <w:rPr>
          <w:rFonts w:ascii="Verdana" w:hAnsi="Verdana"/>
          <w:b/>
          <w:bCs/>
          <w:color w:val="auto"/>
          <w:sz w:val="22"/>
          <w:szCs w:val="22"/>
          <w:lang w:val="en-US"/>
        </w:rPr>
        <w:t>2.6  The</w:t>
      </w:r>
      <w:r w:rsidRPr="00185099">
        <w:rPr>
          <w:rFonts w:ascii="Verdana" w:hAnsi="Verdana"/>
          <w:b/>
          <w:bCs/>
          <w:color w:val="auto"/>
          <w:sz w:val="22"/>
          <w:szCs w:val="22"/>
          <w:lang w:val="en-US"/>
        </w:rPr>
        <w:t xml:space="preserve"> Skilled Worker salary threshold: a potential Article 2 issue that has not been assessed</w:t>
      </w:r>
    </w:p>
    <w:p w:rsidR="00E91637" w:rsidRPr="00185099" w:rsidP="006429D8">
      <w:pPr>
        <w:spacing w:after="160"/>
        <w:rPr>
          <w:rFonts w:ascii="Verdana" w:hAnsi="Verdana"/>
        </w:rPr>
      </w:pPr>
      <w:r w:rsidRPr="00185099">
        <w:rPr>
          <w:rFonts w:ascii="Verdana" w:hAnsi="Verdana"/>
          <w:lang w:val="en-US"/>
        </w:rPr>
        <w:t xml:space="preserve">MWU-NI submitted evidence to the NI Executive Office consultation on the Draft Race Relations Framework 2026–2028 documenting the disproportionate impact of the Skilled Worker visa salary threshold on Northern Ireland specifically. ONS data from the Annual Survey of Hours and Earnings 2025 (released 23 October 2025) reports median gross annual earnings for full-time UK employees at £39,039 in April 2025. The current Skilled Worker threshold of £38,700 now sits fractionally below the UK </w:t>
      </w:r>
      <w:r w:rsidRPr="00185099">
        <w:rPr>
          <w:rFonts w:ascii="Verdana" w:hAnsi="Verdana"/>
          <w:lang w:val="en-US"/>
        </w:rPr>
        <w:t>median —</w:t>
      </w:r>
      <w:r w:rsidRPr="00185099">
        <w:rPr>
          <w:rFonts w:ascii="Verdana" w:hAnsi="Verdana"/>
          <w:lang w:val="en-US"/>
        </w:rPr>
        <w:t xml:space="preserve"> meaning it is, in UK-wide terms, a near-median benchmark. However, the ONS ASHE 2025 bulletin explicitly notes that Northern Ireland's comparatively high earnings growth of 7.4% in 2025 was 'partly explained by public sector pay increases and awards that took place in early 2025.' The private sectors in which migrant and migrantised workers in Northern Ireland are most heavily concentrated — health and social care, agriculture, and food processing — did not benefit from those awards. Northern Ireland consistently records the lowest median wages of all UK nations and regions. The structural gap between what NI's migrant workforce </w:t>
      </w:r>
      <w:r w:rsidRPr="00185099">
        <w:rPr>
          <w:rFonts w:ascii="Verdana" w:hAnsi="Verdana"/>
          <w:lang w:val="en-US"/>
        </w:rPr>
        <w:t>actually earns</w:t>
      </w:r>
      <w:r w:rsidRPr="00185099">
        <w:rPr>
          <w:rFonts w:ascii="Verdana" w:hAnsi="Verdana"/>
          <w:lang w:val="en-US"/>
        </w:rPr>
        <w:t xml:space="preserve"> and what the Skilled Worker threshold demands therefore </w:t>
      </w:r>
      <w:r w:rsidRPr="00185099">
        <w:rPr>
          <w:rFonts w:ascii="Verdana" w:hAnsi="Verdana"/>
          <w:lang w:val="en-US"/>
        </w:rPr>
        <w:t>persists, and</w:t>
      </w:r>
      <w:r w:rsidRPr="00185099">
        <w:rPr>
          <w:rFonts w:ascii="Verdana" w:hAnsi="Verdana"/>
          <w:lang w:val="en-US"/>
        </w:rPr>
        <w:t xml:space="preserve"> is most acute in precisely the occupations where it causes most harm.</w:t>
      </w:r>
    </w:p>
    <w:p w:rsidR="00E91637" w:rsidRPr="00185099" w:rsidP="006429D8">
      <w:pPr>
        <w:spacing w:after="160"/>
        <w:rPr>
          <w:rFonts w:ascii="Verdana" w:hAnsi="Verdana"/>
        </w:rPr>
      </w:pPr>
      <w:r w:rsidRPr="00185099">
        <w:rPr>
          <w:rFonts w:ascii="Verdana" w:hAnsi="Verdana"/>
          <w:lang w:val="en-US"/>
        </w:rPr>
        <w:t xml:space="preserve">The practical effect is twofold. First, NI employers in these sectors face structural difficulty sponsoring skilled migrant workers who cannot reach the threshold despite performing genuinely skilled work. Second, migrant workers already in NI on legacy or transitional arrangements who move roles, change employer, or return after a period abroad face visa insecurity that their counterparts in higher-wage English regions do not. Both effects fall disproportionately on workers of </w:t>
      </w:r>
      <w:r w:rsidRPr="00185099">
        <w:rPr>
          <w:rFonts w:ascii="Verdana" w:hAnsi="Verdana"/>
          <w:lang w:val="en-US"/>
        </w:rPr>
        <w:t>particular racial</w:t>
      </w:r>
      <w:r w:rsidRPr="00185099">
        <w:rPr>
          <w:rFonts w:ascii="Verdana" w:hAnsi="Verdana"/>
          <w:lang w:val="en-US"/>
        </w:rPr>
        <w:t xml:space="preserve"> and ethnic origins — the nationalities most represented in NI's skilled migrant workforce are those concentrated in the sectors most affected by the threshold.</w:t>
      </w:r>
    </w:p>
    <w:p w:rsidR="00E91637" w:rsidRPr="00185099" w:rsidP="006429D8">
      <w:pPr>
        <w:spacing w:after="160"/>
        <w:rPr>
          <w:rFonts w:ascii="Verdana" w:hAnsi="Verdana"/>
        </w:rPr>
      </w:pPr>
      <w:r w:rsidRPr="00185099">
        <w:rPr>
          <w:rFonts w:ascii="Verdana" w:hAnsi="Verdana"/>
          <w:lang w:val="en-US"/>
        </w:rPr>
        <w:t>The Race Equality Directive (Directive 2000/43/</w:t>
      </w:r>
      <w:r w:rsidRPr="00185099">
        <w:rPr>
          <w:rFonts w:ascii="Verdana" w:hAnsi="Verdana"/>
          <w:lang w:val="en-US"/>
        </w:rPr>
        <w:t>EC) —</w:t>
      </w:r>
      <w:r w:rsidRPr="00185099">
        <w:rPr>
          <w:rFonts w:ascii="Verdana" w:hAnsi="Verdana"/>
          <w:lang w:val="en-US"/>
        </w:rPr>
        <w:t xml:space="preserve"> confirmed by the Supreme Court in Dillon as directly enforceable under Article 2 — prohibits indirect discrimination: measures that appear neutral but produce a disproportionate adverse impact on </w:t>
      </w:r>
      <w:r w:rsidRPr="00185099">
        <w:rPr>
          <w:rFonts w:ascii="Verdana" w:hAnsi="Verdana"/>
          <w:lang w:val="en-US"/>
        </w:rPr>
        <w:t>persons</w:t>
      </w:r>
      <w:r w:rsidRPr="00185099">
        <w:rPr>
          <w:rFonts w:ascii="Verdana" w:hAnsi="Verdana"/>
          <w:lang w:val="en-US"/>
        </w:rPr>
        <w:t xml:space="preserve"> of a particular racial or ethnic origin without objective justification. A salary threshold calibrated to a UK-wide median that is structurally higher than the NI median, and whose adverse impact falls with documented disproportionality on racialised workers in specific sectors, meets the prima facie definition of indirect discrimination under the Directive. Whether it ultimately constitutes a breach of the Race Equality Directive, and therefore a potential Article 2 violation, has never been tested in litigation. MWU-NI submits that the government has an obligation, at minimum, to demonstrate that it has considered this question — and that no Article 2 impact assessment for the Skilled Worker threshold has been published or, to our knowledge, conducted.</w:t>
      </w:r>
    </w:p>
    <w:p w:rsidR="00E91637" w:rsidRPr="00185099" w:rsidP="006429D8">
      <w:pPr>
        <w:pStyle w:val="Heading3"/>
        <w:spacing w:before="160" w:after="60"/>
        <w:rPr>
          <w:rFonts w:ascii="Verdana" w:hAnsi="Verdana"/>
          <w:color w:val="auto"/>
          <w:sz w:val="22"/>
          <w:szCs w:val="22"/>
        </w:rPr>
      </w:pPr>
      <w:r w:rsidRPr="00185099">
        <w:rPr>
          <w:rFonts w:ascii="Verdana" w:hAnsi="Verdana"/>
          <w:b/>
          <w:bCs/>
          <w:color w:val="auto"/>
          <w:sz w:val="22"/>
          <w:szCs w:val="22"/>
          <w:lang w:val="en-US"/>
        </w:rPr>
        <w:t>2.7  The</w:t>
      </w:r>
      <w:r w:rsidRPr="00185099">
        <w:rPr>
          <w:rFonts w:ascii="Verdana" w:hAnsi="Verdana"/>
          <w:b/>
          <w:bCs/>
          <w:color w:val="auto"/>
          <w:sz w:val="22"/>
          <w:szCs w:val="22"/>
          <w:lang w:val="en-US"/>
        </w:rPr>
        <w:t xml:space="preserve"> ILR gateway and civic exclusion: a compounding diminution</w:t>
      </w:r>
    </w:p>
    <w:p w:rsidR="00E91637" w:rsidRPr="00185099" w:rsidP="006429D8">
      <w:pPr>
        <w:spacing w:after="160"/>
        <w:rPr>
          <w:rFonts w:ascii="Verdana" w:hAnsi="Verdana"/>
        </w:rPr>
      </w:pPr>
      <w:r w:rsidRPr="00185099">
        <w:rPr>
          <w:rFonts w:ascii="Verdana" w:hAnsi="Verdana"/>
          <w:lang w:val="en-US"/>
        </w:rPr>
        <w:t xml:space="preserve">The barriers documented in Section 2.6 do not operate solely at the level of employment. Most positions in the Northern Ireland Civil Service, and most </w:t>
      </w:r>
      <w:r w:rsidRPr="00185099">
        <w:rPr>
          <w:rFonts w:ascii="Verdana" w:hAnsi="Verdana"/>
          <w:lang w:val="en-US"/>
        </w:rPr>
        <w:t xml:space="preserve">elected positions in Northern Ireland's democratic institutions, require the holder to have Indefinite Leave to Remain (ILR) or citizenship — not merely a valid visa. For non-EEA migrants in Northern Ireland, the pathway to ILR runs through five years of continuous qualifying employment under the Skilled Worker route. The structural precarity that the salary threshold creates — visa curtailment vulnerability, inability to change employer freely without jeopardising status, instability caused by sponsor withdrawal — disrupts that five-year qualifying period. Workers who have contributed to Northern Ireland's economy and community for years, who raise families and pay taxes here, find themselves systematically excluded from the civil service that serves the community they live in, and from the democratic institutions that govern it. This is not a marginal </w:t>
      </w:r>
      <w:r w:rsidRPr="00185099">
        <w:rPr>
          <w:rFonts w:ascii="Verdana" w:hAnsi="Verdana"/>
          <w:lang w:val="en-US"/>
        </w:rPr>
        <w:t>access question</w:t>
      </w:r>
      <w:r w:rsidRPr="00185099">
        <w:rPr>
          <w:rFonts w:ascii="Verdana" w:hAnsi="Verdana"/>
          <w:lang w:val="en-US"/>
        </w:rPr>
        <w:t>: it is civic exclusion compounded by the same threshold mechanism documented in Section 2.6.</w:t>
      </w:r>
    </w:p>
    <w:p w:rsidR="00E91637" w:rsidRPr="00185099" w:rsidP="006429D8">
      <w:pPr>
        <w:spacing w:after="160"/>
        <w:rPr>
          <w:rFonts w:ascii="Verdana" w:hAnsi="Verdana"/>
        </w:rPr>
      </w:pPr>
      <w:r w:rsidRPr="00185099">
        <w:rPr>
          <w:rFonts w:ascii="Verdana" w:hAnsi="Verdana"/>
          <w:lang w:val="en-US"/>
        </w:rPr>
        <w:t xml:space="preserve">This exclusion creates a two-tier system within Northern Ireland's migrant community that is racially inflected. EEA nationals — including nationals of Iceland, Norway, and Liechtenstein — with settled status under the EU Settlement Scheme hold ILR-equivalent rights and can access civil service and elected positions on the same basis as British and Irish citizens. Non-EEA migrants on Skilled Worker visas </w:t>
      </w:r>
      <w:r w:rsidRPr="00185099">
        <w:rPr>
          <w:rFonts w:ascii="Verdana" w:hAnsi="Verdana"/>
          <w:lang w:val="en-US"/>
        </w:rPr>
        <w:t>cannot,</w:t>
      </w:r>
      <w:r w:rsidRPr="00185099">
        <w:rPr>
          <w:rFonts w:ascii="Verdana" w:hAnsi="Verdana"/>
          <w:lang w:val="en-US"/>
        </w:rPr>
        <w:t xml:space="preserve"> until </w:t>
      </w:r>
      <w:r w:rsidRPr="00185099">
        <w:rPr>
          <w:rFonts w:ascii="Verdana" w:hAnsi="Verdana"/>
          <w:lang w:val="en-US"/>
        </w:rPr>
        <w:t>and</w:t>
      </w:r>
      <w:r w:rsidRPr="00185099">
        <w:rPr>
          <w:rFonts w:ascii="Verdana" w:hAnsi="Verdana"/>
          <w:lang w:val="en-US"/>
        </w:rPr>
        <w:t xml:space="preserve"> unless they navigate the full ILR pathway intact. The dividing line between who can participate in civic life and who cannot </w:t>
      </w:r>
      <w:r w:rsidRPr="00185099">
        <w:rPr>
          <w:rFonts w:ascii="Verdana" w:hAnsi="Verdana"/>
          <w:lang w:val="en-US"/>
        </w:rPr>
        <w:t>maps</w:t>
      </w:r>
      <w:r w:rsidRPr="00185099">
        <w:rPr>
          <w:rFonts w:ascii="Verdana" w:hAnsi="Verdana"/>
          <w:lang w:val="en-US"/>
        </w:rPr>
        <w:t xml:space="preserve"> closely onto racial and ethnic origin. The Good Friday Agreement's RSEO chapter commits to equality of opportunity in 'social, economic, cultural or other </w:t>
      </w:r>
      <w:r w:rsidRPr="00185099">
        <w:rPr>
          <w:rFonts w:ascii="Verdana" w:hAnsi="Verdana"/>
          <w:lang w:val="en-US"/>
        </w:rPr>
        <w:t>life' —</w:t>
      </w:r>
      <w:r w:rsidRPr="00185099">
        <w:rPr>
          <w:rFonts w:ascii="Verdana" w:hAnsi="Verdana"/>
          <w:lang w:val="en-US"/>
        </w:rPr>
        <w:t xml:space="preserve"> language explicitly broader than employment alone. Systematic exclusion from democratic participation on grounds that are racially inflected engages both the Race Equality Directive and the GFA's foundational equality of opportunity commitment. This dimension of Article 2 compliance has, to MWU-NI's knowledge, not previously been raised before this Committee.</w:t>
      </w:r>
    </w:p>
    <w:p w:rsidR="00E91637" w:rsidRPr="00185099" w:rsidP="006429D8">
      <w:pPr>
        <w:spacing w:after="160"/>
        <w:rPr>
          <w:rFonts w:ascii="Verdana" w:hAnsi="Verdana"/>
        </w:rPr>
      </w:pPr>
      <w:r w:rsidRPr="00185099">
        <w:rPr>
          <w:rFonts w:ascii="Verdana" w:hAnsi="Verdana"/>
          <w:lang w:val="en-US"/>
        </w:rPr>
        <w:t>A concrete illustration of how this exclusion operates in practice — and of the transparency gap that surrounds it — is provided by the eligibility requirements for lay magistrate positions in Northern Ireland. The Lay Magistrates (Eligibility) (Northern Ireland) Order 2004 (NISR 2004/246), Article 2, sets out the complete list of disqualifying criteria for lay magistrate appointments. These cover residency distance from the relevant court division, specified offices and occupations (including policing and legal practice), political candidacy, bankruptcy, and criminal convictions. Citizenship is not listed as a disqualifying criterion in the statutory instrument. The publicly advertised eligibility information published by the NI Judicial Appointments Commission similarly does not mention citizenship as a requirement — applicants are advised that eligibility depends on location, age, and occupation. However, MWU-NI is aware, through direct experience of the application process, that the application form itself requires British or Irish citizenship. The barrier to civic participation is therefore not disclosed to migrants at the point of recruitment: it only becomes visible at the form stage, after time has been invested in an application. This gap between the statutory criteria, the advertised criteria, and the form requirements is not a technical administrative inconsistency. It is a structural feature of civic exclusion whose practical effect is to obscure, until the last possible moment, that migrant community members are ineligible.</w:t>
      </w:r>
    </w:p>
    <w:p w:rsidR="00E91637" w:rsidRPr="00185099" w:rsidP="006429D8">
      <w:pPr>
        <w:spacing w:after="160"/>
        <w:rPr>
          <w:rFonts w:ascii="Verdana" w:hAnsi="Verdana"/>
        </w:rPr>
      </w:pPr>
      <w:r w:rsidRPr="00185099">
        <w:rPr>
          <w:rFonts w:ascii="Verdana" w:hAnsi="Verdana"/>
          <w:lang w:val="en-US"/>
        </w:rPr>
        <w:t>The significance of this is compounded by the purpose the lay magistrate system is designed to serve. The NI Judicial Appointments Commission's own materials describe lay magistrates as ordinary people from all walks of life, appointed specifically to bring diverse community perspectives to the administration of justice. A requirement that is absent from the statutory eligibility criteria and undisclosed in recruitment materials, but which systematically excludes people from migrant backgrounds who meet every published criterion and are otherwise willing and able to serve, cannot be reconciled with that stated aim. It is particularly significant that lay magistrates sit in family courts — courts that hear proceedings directly affecting migrant families, trafficking survivors, and children with migrant parents in care proceedings. These are precisely the people most in need of adjudication that reflects the lived experience of navigating institutions as a newcomer, raising children across cultural contexts, and encountering the state as a person without full citizenship. They are the least likely, by operation of an undisclosed requirement not found in the governing statutory instrument, to have that experience represented on the panel deciding their case. If the aim of the lay magistrate system is genuine diversity of community representation, and if people from migrant backgrounds who meet all published criteria are being excluded by a requirement never disclosed to them, then that aim is not being met — and the gap falls most heavily on the families and children who can least afford it.</w:t>
      </w:r>
    </w:p>
    <w:p w:rsidR="00E91637" w:rsidRPr="00185099" w:rsidP="006429D8">
      <w:pPr>
        <w:pStyle w:val="Heading3"/>
        <w:spacing w:before="160" w:after="60"/>
        <w:rPr>
          <w:rFonts w:ascii="Verdana" w:hAnsi="Verdana"/>
          <w:color w:val="auto"/>
          <w:sz w:val="22"/>
          <w:szCs w:val="22"/>
        </w:rPr>
      </w:pPr>
      <w:r w:rsidRPr="00185099">
        <w:rPr>
          <w:rFonts w:ascii="Verdana" w:hAnsi="Verdana"/>
          <w:b/>
          <w:bCs/>
          <w:color w:val="auto"/>
          <w:sz w:val="22"/>
          <w:szCs w:val="22"/>
          <w:lang w:val="en-US"/>
        </w:rPr>
        <w:t>2.8  Cumulative</w:t>
      </w:r>
      <w:r w:rsidRPr="00185099">
        <w:rPr>
          <w:rFonts w:ascii="Verdana" w:hAnsi="Verdana"/>
          <w:b/>
          <w:bCs/>
          <w:color w:val="auto"/>
          <w:sz w:val="22"/>
          <w:szCs w:val="22"/>
          <w:lang w:val="en-US"/>
        </w:rPr>
        <w:t xml:space="preserve"> democratic exclusion: a uniquely severe Northern Ireland dimension</w:t>
      </w:r>
    </w:p>
    <w:p w:rsidR="00E91637" w:rsidRPr="00185099" w:rsidP="006429D8">
      <w:pPr>
        <w:spacing w:after="160"/>
        <w:rPr>
          <w:rFonts w:ascii="Verdana" w:hAnsi="Verdana"/>
        </w:rPr>
      </w:pPr>
      <w:r w:rsidRPr="00185099">
        <w:rPr>
          <w:rFonts w:ascii="Verdana" w:hAnsi="Verdana"/>
          <w:lang w:val="en-US"/>
        </w:rPr>
        <w:t>When considered individually, each of the barriers documented in this submission might be characterised as a specific policy choice that applies, in some form, across the United Kingdom. Considered together, they constitute a comprehensive and uniquely severe democratic exclusion of migrant communities in Northern Ireland that has no parallel in any other part of the UK or Ireland.</w:t>
      </w:r>
    </w:p>
    <w:p w:rsidR="00E91637" w:rsidRPr="00185099" w:rsidP="006429D8">
      <w:pPr>
        <w:spacing w:after="160"/>
        <w:rPr>
          <w:rFonts w:ascii="Verdana" w:hAnsi="Verdana"/>
        </w:rPr>
      </w:pPr>
      <w:r w:rsidRPr="00185099">
        <w:rPr>
          <w:rFonts w:ascii="Verdana" w:hAnsi="Verdana"/>
          <w:lang w:val="en-US"/>
        </w:rPr>
        <w:t>Migrants in Northern Ireland who do not hold ILR or citizenship — the majority of MWU-NI's membership — are, in practical terms: unable to vote in any election (unlike the position in Ireland, where long-term residents can vote in local elections, and unlike EU nationals who retained local voting rights in NI after Brexit); unable to stand for elected office; unable to take most positions in the Northern Ireland Civil Service; unable in many cases to hold bank signatory status for charitable organisations, due to enhanced due diligence requirements triggered by their nationality or country of origin under anti-money laundering frameworks applied to links with 'proscribed nations'; and, as documented in Section 2.7, unable to serve as lay magistrates due to a citizenship condition disclosed in neither the governing statutory instrument nor the recruitment materials. These exclusions are not abstract. They mean that a person who has lived in Northern Ireland for years, contributed to its economy, raised children here, and built community relationships has been structurally removed from every formal mechanism of civic participation — voting, elected office, civil service, the governance of charities, and lay justice — simultaneously.</w:t>
      </w:r>
    </w:p>
    <w:p w:rsidR="00E91637" w:rsidRPr="00185099" w:rsidP="006429D8">
      <w:pPr>
        <w:spacing w:after="160"/>
        <w:rPr>
          <w:rFonts w:ascii="Verdana" w:hAnsi="Verdana"/>
        </w:rPr>
      </w:pPr>
      <w:r w:rsidRPr="00185099">
        <w:rPr>
          <w:rFonts w:ascii="Verdana" w:hAnsi="Verdana"/>
        </w:rPr>
        <w:t xml:space="preserve">This cumulative exclusion is documented and contested by the Migrants' Democracy Project, whose charter sets out the democratic participation </w:t>
      </w:r>
      <w:r w:rsidRPr="00185099">
        <w:rPr>
          <w:rFonts w:ascii="Verdana" w:hAnsi="Verdana"/>
        </w:rPr>
        <w:t>rights denied to long-term migrant residents across the UK. MWU-NI's founder serves as spokesperson for the Migrants' Democracy Project in Northern Ireland. The exclusion is not unique to NI — but its practical impact is uniquely severe here, for reasons rooted in NI's specific economic and civic structure.</w:t>
      </w:r>
    </w:p>
    <w:p w:rsidR="00E91637" w:rsidRPr="00185099" w:rsidP="006429D8">
      <w:pPr>
        <w:spacing w:after="160"/>
        <w:rPr>
          <w:rFonts w:ascii="Verdana" w:hAnsi="Verdana"/>
        </w:rPr>
      </w:pPr>
      <w:r w:rsidRPr="00185099">
        <w:rPr>
          <w:rFonts w:ascii="Verdana" w:hAnsi="Verdana"/>
          <w:lang w:val="en-US"/>
        </w:rPr>
        <w:t>The Northern Ireland public sector accounts for approximately 30% of the NI workforce — almost double the proportion in England. Exclusion from civil service employment therefore removes a substantially larger share of accessible skilled employment and civic opportunity for migrants in NI than the equivalent exclusion does in Great Britain. The voluntary and community sector in NI is proportionally larger than in GB, shaped by decades of peace process investment, EU PEACE funding, and community development infrastructure; exclusion from charity governance through nationality-based bank signatory requirements forecloses a correspondingly larger portion of civic life. Northern Ireland's consociational power-sharing arrangements mean that electoral outcomes determine the composition of every Executive department and the allocation of ministerial office by community designation; migrant exclusion from voting is therefore more consequential to the character of democratic representation in NI than in a first-past-the-post system elsewhere. And the Skilled Worker salary threshold, as documented in Sections 2.6 and 2.7, compounds these exclusions by disrupting the ILR pathway that would eventually open some of these doors — meaning that the barriers are not only wider in NI but harder to exit.</w:t>
      </w:r>
    </w:p>
    <w:p w:rsidR="00E91637" w:rsidRPr="00185099" w:rsidP="006429D8">
      <w:pPr>
        <w:spacing w:after="160"/>
        <w:rPr>
          <w:rFonts w:ascii="Verdana" w:hAnsi="Verdana"/>
        </w:rPr>
      </w:pPr>
      <w:r w:rsidRPr="00185099">
        <w:rPr>
          <w:rFonts w:ascii="Verdana" w:hAnsi="Verdana"/>
          <w:lang w:val="en-US"/>
        </w:rPr>
        <w:t xml:space="preserve">The Good Friday Agreement's RSEO chapter committed to equality of opportunity in 'social, economic, cultural or other </w:t>
      </w:r>
      <w:r w:rsidRPr="00185099">
        <w:rPr>
          <w:rFonts w:ascii="Verdana" w:hAnsi="Verdana"/>
          <w:lang w:val="en-US"/>
        </w:rPr>
        <w:t>life' —</w:t>
      </w:r>
      <w:r w:rsidRPr="00185099">
        <w:rPr>
          <w:rFonts w:ascii="Verdana" w:hAnsi="Verdana"/>
          <w:lang w:val="en-US"/>
        </w:rPr>
        <w:t xml:space="preserve"> language chosen specifically to be broader than employment alone. The cumulative effect of the exclusions documented in this submission is that migrant communities in Northern Ireland have been comprehensively removed from civic and democratic life in ways, and to a degree, not found elsewhere in the UK or Ireland. This is not the incidental effect of uncoordinated policy choices. It is a systemic pattern, documented across electoral law, employment law, charity governance, and judicial appointments, whose cumulative weight falls on the same population and whose individual components reinforce one another. MWU-NI submits that this pattern requires the Committee's attention not as a collection of individual policy concerns but as a systemic failure of the equality of opportunity commitment that lies at the heart of Article 2.</w:t>
      </w:r>
    </w:p>
    <w:p w:rsidR="00E91637" w:rsidP="006429D8">
      <w:pPr>
        <w:spacing w:after="160"/>
        <w:rPr>
          <w:rFonts w:ascii="Verdana" w:hAnsi="Verdana"/>
        </w:rPr>
      </w:pPr>
      <w:r w:rsidRPr="00185099">
        <w:rPr>
          <w:rFonts w:ascii="Verdana" w:hAnsi="Verdana"/>
        </w:rPr>
        <w:t>The practical consequence, stated plainly, is this: migrant communities in Northern Ireland are governed by representatives they did not vote for, in offices they cannot stand for, administered by a civil service they are largely excluded from joining, with disputes in community courts adjudicated by lay magistrates who are largely not drawn from their community. This is not a description of incapacity or unwillingness. It is a structural condition, created by the cumulative operation of the barriers documented in this submission. It is what the absence of equality of opportunity looks like from the inside.</w:t>
      </w:r>
    </w:p>
    <w:p w:rsidR="00185099" w:rsidP="006429D8">
      <w:pPr>
        <w:spacing w:after="160"/>
        <w:rPr>
          <w:rFonts w:ascii="Verdana" w:hAnsi="Verdana"/>
        </w:rPr>
      </w:pPr>
    </w:p>
    <w:p w:rsidR="00185099" w:rsidRPr="00185099" w:rsidP="006429D8">
      <w:pPr>
        <w:spacing w:after="160"/>
        <w:rPr>
          <w:rFonts w:ascii="Verdana" w:hAnsi="Verdana"/>
        </w:rPr>
      </w:pPr>
    </w:p>
    <w:p w:rsidR="00E91637" w:rsidRPr="00185099" w:rsidP="006429D8">
      <w:pPr>
        <w:spacing w:after="160"/>
        <w:rPr>
          <w:rFonts w:ascii="Verdana" w:hAnsi="Verdana"/>
        </w:rPr>
      </w:pPr>
      <w:r w:rsidRPr="00185099">
        <w:rPr>
          <w:rFonts w:ascii="Verdana" w:hAnsi="Verdana"/>
        </w:rPr>
        <w:t>MWU-NI makes the following recommendations to the Committee:</w:t>
      </w:r>
    </w:p>
    <w:p w:rsidR="00E91637" w:rsidRPr="00185099" w:rsidP="006429D8">
      <w:pPr>
        <w:spacing w:after="160"/>
        <w:rPr>
          <w:rFonts w:ascii="Verdana" w:hAnsi="Verdana"/>
        </w:rPr>
      </w:pPr>
      <w:r w:rsidRPr="00185099">
        <w:rPr>
          <w:rFonts w:ascii="Verdana" w:hAnsi="Verdana"/>
          <w:b/>
          <w:bCs/>
          <w:lang w:val="en-US"/>
        </w:rPr>
        <w:t>1</w:t>
      </w:r>
      <w:r w:rsidRPr="00185099">
        <w:rPr>
          <w:rFonts w:ascii="Verdana" w:hAnsi="Verdana"/>
          <w:b/>
          <w:bCs/>
          <w:lang w:val="en-US"/>
        </w:rPr>
        <w:t>.  Legislative</w:t>
      </w:r>
      <w:r w:rsidRPr="00185099">
        <w:rPr>
          <w:rFonts w:ascii="Verdana" w:hAnsi="Verdana"/>
          <w:b/>
          <w:bCs/>
          <w:lang w:val="en-US"/>
        </w:rPr>
        <w:t xml:space="preserve"> restoration of pre-Dillon Article 2 scope.</w:t>
      </w:r>
    </w:p>
    <w:p w:rsidR="00E91637" w:rsidRPr="00185099" w:rsidP="006429D8">
      <w:pPr>
        <w:spacing w:after="160"/>
        <w:rPr>
          <w:rFonts w:ascii="Verdana" w:hAnsi="Verdana"/>
        </w:rPr>
      </w:pPr>
      <w:r w:rsidRPr="00185099">
        <w:rPr>
          <w:rFonts w:ascii="Verdana" w:hAnsi="Verdana"/>
        </w:rPr>
        <w:t>Parliament should legislate to restore Article 2's application to the full range of instruments acknowledged in the government's 2020 NIO Explainer, including the Anti-Trafficking Directive and the Victims' Directive. The narrowing achieved in Dillon was a judicial interpretation of existing text; it can be corrected legislatively without reopening the Windsor Framework itself.</w:t>
      </w:r>
    </w:p>
    <w:p w:rsidR="00E91637" w:rsidRPr="00185099" w:rsidP="006429D8">
      <w:pPr>
        <w:spacing w:after="160"/>
        <w:rPr>
          <w:rFonts w:ascii="Verdana" w:hAnsi="Verdana"/>
        </w:rPr>
      </w:pPr>
      <w:r w:rsidRPr="00185099">
        <w:rPr>
          <w:rFonts w:ascii="Verdana" w:hAnsi="Verdana"/>
          <w:b/>
          <w:bCs/>
          <w:lang w:val="en-US"/>
        </w:rPr>
        <w:t>2</w:t>
      </w:r>
      <w:r w:rsidRPr="00185099">
        <w:rPr>
          <w:rFonts w:ascii="Verdana" w:hAnsi="Verdana"/>
          <w:b/>
          <w:bCs/>
          <w:lang w:val="en-US"/>
        </w:rPr>
        <w:t>.  A</w:t>
      </w:r>
      <w:r w:rsidRPr="00185099">
        <w:rPr>
          <w:rFonts w:ascii="Verdana" w:hAnsi="Verdana"/>
          <w:b/>
          <w:bCs/>
          <w:lang w:val="en-US"/>
        </w:rPr>
        <w:t xml:space="preserve"> formal firewall between employment equality proceedings and immigration enforcement.</w:t>
      </w:r>
    </w:p>
    <w:p w:rsidR="00E91637" w:rsidRPr="00185099" w:rsidP="006429D8">
      <w:pPr>
        <w:spacing w:after="160"/>
        <w:rPr>
          <w:rFonts w:ascii="Verdana" w:hAnsi="Verdana"/>
        </w:rPr>
      </w:pPr>
      <w:r w:rsidRPr="00185099">
        <w:rPr>
          <w:rFonts w:ascii="Verdana" w:hAnsi="Verdana"/>
        </w:rPr>
        <w:t>Workers bringing claims under the Race Equality Directive or other Annex 1 directives should have explicit legal protection against immigration enforcement action connected to or arising from those proceedings. The current structural vulnerability — in which asserting equality rights can trigger visa jeopardy, and in which enforcement bodies routinely warn claimants about litigation costs affecting future immigration applications — is incompatible with the Directive's requirement for effective access to judicial procedures.</w:t>
      </w:r>
    </w:p>
    <w:p w:rsidR="00E91637" w:rsidRPr="00185099" w:rsidP="006429D8">
      <w:pPr>
        <w:spacing w:after="160"/>
        <w:rPr>
          <w:rFonts w:ascii="Verdana" w:hAnsi="Verdana"/>
        </w:rPr>
      </w:pPr>
      <w:r w:rsidRPr="00185099">
        <w:rPr>
          <w:rFonts w:ascii="Verdana" w:hAnsi="Verdana"/>
          <w:b/>
          <w:bCs/>
        </w:rPr>
        <w:t>3.  Mandatory Article 2 impact assessments for immigration legislation applying to Northern Ireland, with specific review of the Skilled Worker salary threshold.</w:t>
      </w:r>
    </w:p>
    <w:p w:rsidR="00E91637" w:rsidRPr="00185099" w:rsidP="006429D8">
      <w:pPr>
        <w:spacing w:after="160"/>
        <w:rPr>
          <w:rFonts w:ascii="Verdana" w:hAnsi="Verdana"/>
        </w:rPr>
      </w:pPr>
      <w:r w:rsidRPr="00185099">
        <w:rPr>
          <w:rFonts w:ascii="Verdana" w:hAnsi="Verdana"/>
        </w:rPr>
        <w:t>The Illegal Migration Act 2023, the Skilled Worker salary threshold, and visa curtailment powers have each had documented negative impacts on the rights and equality of opportunity of people in Northern Ireland. No Article 2 impact assessment was published for any of these measures. As set out in Section 2.6, the Skilled Worker threshold produces a prima facie case of indirect racial discrimination under the Race Equality Directive — a directly enforceable Annex 1 instrument — in the NI context. This should be a statutory requirement for all primary and secondary immigration legislation with effect in Northern Ireland, with the threshold subject to immediate review against Race Equality Directive standards and NI wage data.</w:t>
      </w:r>
    </w:p>
    <w:p w:rsidR="00E91637" w:rsidRPr="00185099" w:rsidP="006429D8">
      <w:pPr>
        <w:spacing w:after="160"/>
        <w:rPr>
          <w:rFonts w:ascii="Verdana" w:hAnsi="Verdana"/>
        </w:rPr>
      </w:pPr>
      <w:r w:rsidRPr="00185099">
        <w:rPr>
          <w:rFonts w:ascii="Verdana" w:hAnsi="Verdana"/>
          <w:b/>
          <w:bCs/>
          <w:lang w:val="en-US"/>
        </w:rPr>
        <w:t>4</w:t>
      </w:r>
      <w:r w:rsidRPr="00185099">
        <w:rPr>
          <w:rFonts w:ascii="Verdana" w:hAnsi="Verdana"/>
          <w:b/>
          <w:bCs/>
          <w:lang w:val="en-US"/>
        </w:rPr>
        <w:t>.  Re</w:t>
      </w:r>
      <w:r w:rsidRPr="00185099">
        <w:rPr>
          <w:rFonts w:ascii="Verdana" w:hAnsi="Verdana"/>
          <w:b/>
          <w:bCs/>
          <w:lang w:val="en-US"/>
        </w:rPr>
        <w:t>-commitment to the full scope of Article 2 obligations.</w:t>
      </w:r>
    </w:p>
    <w:p w:rsidR="00E91637" w:rsidRPr="00185099" w:rsidP="006429D8">
      <w:pPr>
        <w:spacing w:after="160"/>
        <w:rPr>
          <w:rFonts w:ascii="Verdana" w:hAnsi="Verdana"/>
        </w:rPr>
      </w:pPr>
      <w:r w:rsidRPr="00185099">
        <w:rPr>
          <w:rFonts w:ascii="Verdana" w:hAnsi="Verdana"/>
          <w:lang w:val="en-US"/>
        </w:rPr>
        <w:t>The government should publish a new accessible document, replacing the withdrawn 2020 NIO Explainer, confirming its understanding of the full range of Article 2 commitments — including those not directly enforceable under Dillon but which remain obligations of constitutional and political significance. Civil society organisations and the people they advise need this baseline.</w:t>
      </w:r>
    </w:p>
    <w:p w:rsidR="00E91637" w:rsidRPr="00185099" w:rsidP="006429D8">
      <w:pPr>
        <w:spacing w:after="160"/>
        <w:rPr>
          <w:rFonts w:ascii="Verdana" w:hAnsi="Verdana"/>
        </w:rPr>
      </w:pPr>
      <w:r w:rsidRPr="00185099">
        <w:rPr>
          <w:rFonts w:ascii="Verdana" w:hAnsi="Verdana"/>
          <w:b/>
          <w:bCs/>
          <w:lang w:val="en-US"/>
        </w:rPr>
        <w:t>5</w:t>
      </w:r>
      <w:r w:rsidRPr="00185099">
        <w:rPr>
          <w:rFonts w:ascii="Verdana" w:hAnsi="Verdana"/>
          <w:b/>
          <w:bCs/>
          <w:lang w:val="en-US"/>
        </w:rPr>
        <w:t>.  Operationalisation</w:t>
      </w:r>
      <w:r w:rsidRPr="00185099">
        <w:rPr>
          <w:rFonts w:ascii="Verdana" w:hAnsi="Verdana"/>
          <w:b/>
          <w:bCs/>
          <w:lang w:val="en-US"/>
        </w:rPr>
        <w:t xml:space="preserve"> of </w:t>
      </w:r>
      <w:r w:rsidRPr="00185099">
        <w:rPr>
          <w:rFonts w:ascii="Verdana" w:hAnsi="Verdana"/>
          <w:b/>
          <w:bCs/>
          <w:lang w:val="en-US"/>
        </w:rPr>
        <w:t>the section</w:t>
      </w:r>
      <w:r w:rsidRPr="00185099">
        <w:rPr>
          <w:rFonts w:ascii="Verdana" w:hAnsi="Verdana"/>
          <w:b/>
          <w:bCs/>
          <w:lang w:val="en-US"/>
        </w:rPr>
        <w:t xml:space="preserve"> 22 statutory defence and annual reporting.</w:t>
      </w:r>
    </w:p>
    <w:p w:rsidR="00E91637" w:rsidRPr="00185099" w:rsidP="006429D8">
      <w:pPr>
        <w:spacing w:after="160"/>
        <w:rPr>
          <w:rFonts w:ascii="Verdana" w:hAnsi="Verdana"/>
        </w:rPr>
      </w:pPr>
      <w:r w:rsidRPr="00185099">
        <w:rPr>
          <w:rFonts w:ascii="Verdana" w:hAnsi="Verdana"/>
          <w:lang w:val="en-US"/>
        </w:rPr>
        <w:t xml:space="preserve">The ten-year non-use of the section 22 statutory defence in Northern Ireland requires urgent investigation. The Committee should recommend that the NI Department of Justice audit cases in which the defence could have been applicable, report on why it has not been used, and commit to annual reporting on its use. The legislative gap created by Dillon's </w:t>
      </w:r>
      <w:r w:rsidRPr="00185099">
        <w:rPr>
          <w:rFonts w:ascii="Verdana" w:hAnsi="Verdana"/>
          <w:lang w:val="en-US"/>
        </w:rPr>
        <w:t>foreclosure of Anti-Trafficking Directive arguments under Article 2 should be addressed through domestic legislation if it cannot be addressed at the Windsor Framework level.</w:t>
      </w:r>
    </w:p>
    <w:p w:rsidR="00E91637" w:rsidRPr="00185099" w:rsidP="006429D8">
      <w:pPr>
        <w:spacing w:after="160"/>
        <w:rPr>
          <w:rFonts w:ascii="Verdana" w:hAnsi="Verdana"/>
        </w:rPr>
      </w:pPr>
      <w:r w:rsidRPr="00185099">
        <w:rPr>
          <w:rFonts w:ascii="Verdana" w:hAnsi="Verdana"/>
          <w:b/>
          <w:bCs/>
          <w:lang w:val="en-US"/>
        </w:rPr>
        <w:t>6</w:t>
      </w:r>
      <w:r w:rsidRPr="00185099">
        <w:rPr>
          <w:rFonts w:ascii="Verdana" w:hAnsi="Verdana"/>
          <w:b/>
          <w:bCs/>
          <w:lang w:val="en-US"/>
        </w:rPr>
        <w:t>.  A</w:t>
      </w:r>
      <w:r w:rsidRPr="00185099">
        <w:rPr>
          <w:rFonts w:ascii="Verdana" w:hAnsi="Verdana"/>
          <w:b/>
          <w:bCs/>
          <w:lang w:val="en-US"/>
        </w:rPr>
        <w:t xml:space="preserve"> dedicated joint mechanism for Article 2 compliance across the reserved/devolved divide.</w:t>
      </w:r>
    </w:p>
    <w:p w:rsidR="00E91637" w:rsidRPr="00185099" w:rsidP="006429D8">
      <w:pPr>
        <w:spacing w:after="160"/>
        <w:rPr>
          <w:rFonts w:ascii="Verdana" w:hAnsi="Verdana"/>
        </w:rPr>
      </w:pPr>
      <w:r w:rsidRPr="00185099">
        <w:rPr>
          <w:rFonts w:ascii="Verdana" w:hAnsi="Verdana"/>
          <w:lang w:val="en-US"/>
        </w:rPr>
        <w:t>The current situation — cross-sector consensus on needed reforms stalled for over six months due to structural ambiguity between Westminster and the NI Executive — is not acceptable when the rights at stake are protected by international obligation. The Committee should recommend a dedicated joint mechanism with defined timescales for resolving Article 2 compliance failures that span reserved immigration matters and devolved equality obligations.</w:t>
      </w:r>
    </w:p>
    <w:p w:rsidR="00E91637" w:rsidRPr="00185099" w:rsidP="006429D8">
      <w:pPr>
        <w:spacing w:after="160"/>
        <w:rPr>
          <w:rFonts w:ascii="Verdana" w:hAnsi="Verdana"/>
        </w:rPr>
      </w:pPr>
      <w:r w:rsidRPr="00185099">
        <w:rPr>
          <w:rFonts w:ascii="Verdana" w:hAnsi="Verdana"/>
          <w:b/>
          <w:bCs/>
        </w:rPr>
        <w:t>7.  A democratic participation audit for Northern Ireland, and review of civic exclusion barriers for long-term migrant residents.</w:t>
      </w:r>
    </w:p>
    <w:p w:rsidR="00E91637" w:rsidRPr="00185099" w:rsidP="006429D8">
      <w:pPr>
        <w:spacing w:after="160"/>
        <w:rPr>
          <w:rFonts w:ascii="Verdana" w:hAnsi="Verdana"/>
        </w:rPr>
      </w:pPr>
      <w:r w:rsidRPr="00185099">
        <w:rPr>
          <w:rFonts w:ascii="Verdana" w:hAnsi="Verdana"/>
          <w:lang w:val="en-US"/>
        </w:rPr>
        <w:t>The cumulative exclusion documented in Section 2.8 — from voting, elected office, civil service employment, charity governance, and lay justice — constitutes a systemic pattern whose aggregate impact in Northern Ireland is uniquely severe due to the structural features of NI's economy and civic life. The government should commission a democratic participation audit specifically for Northern Ireland that maps each of these exclusions, assesses their combined impact on equality of opportunity under the GFA's RSEO chapter, and produces recommendations for reform. The Migrants' Democracy Project's charter provides an existing framework for this work. As a minimum, the government should review the ILR requirement for NICS posts and elected positions for compatibility with Article 2, require banks and the Charity Commission to review nationality-based signatory restrictions for their equality of opportunity implications in the NI context, and direct the NI Judicial Appointments Commission to publish its full eligibility criteria — including any citizenship requirements — transparently at the point of recruitment rather than at the application stage.</w:t>
      </w:r>
    </w:p>
    <w:p w:rsidR="00E91637" w:rsidRPr="00185099" w:rsidP="006429D8">
      <w:pPr>
        <w:pStyle w:val="Heading1"/>
        <w:spacing w:before="240" w:after="120"/>
        <w:rPr>
          <w:rFonts w:ascii="Verdana" w:hAnsi="Verdana"/>
          <w:color w:val="auto"/>
          <w:sz w:val="22"/>
          <w:szCs w:val="22"/>
        </w:rPr>
      </w:pPr>
      <w:r w:rsidRPr="00185099">
        <w:rPr>
          <w:rFonts w:ascii="Verdana" w:hAnsi="Verdana"/>
          <w:b/>
          <w:bCs/>
          <w:color w:val="auto"/>
          <w:sz w:val="22"/>
          <w:szCs w:val="22"/>
        </w:rPr>
        <w:t>Key Sources and References</w:t>
      </w:r>
    </w:p>
    <w:p w:rsidR="00E91637" w:rsidRPr="00185099" w:rsidP="006429D8">
      <w:pPr>
        <w:spacing w:after="160"/>
        <w:rPr>
          <w:rFonts w:ascii="Verdana" w:hAnsi="Verdana"/>
        </w:rPr>
      </w:pPr>
      <w:r w:rsidRPr="00185099">
        <w:rPr>
          <w:rFonts w:ascii="Verdana" w:hAnsi="Verdana"/>
        </w:rPr>
        <w:t>The following sources are referenced in this submission and are available to the Committee:</w:t>
      </w:r>
    </w:p>
    <w:p w:rsidR="00E91637" w:rsidRPr="00185099" w:rsidP="006429D8">
      <w:pPr>
        <w:spacing w:after="160"/>
        <w:rPr>
          <w:rFonts w:ascii="Verdana" w:hAnsi="Verdana"/>
        </w:rPr>
      </w:pPr>
      <w:r w:rsidRPr="00185099">
        <w:rPr>
          <w:rFonts w:ascii="Verdana" w:hAnsi="Verdana"/>
          <w:b/>
          <w:bCs/>
        </w:rPr>
        <w:t xml:space="preserve">1. </w:t>
      </w:r>
      <w:r w:rsidRPr="00185099">
        <w:rPr>
          <w:rFonts w:ascii="Verdana" w:hAnsi="Verdana"/>
        </w:rPr>
        <w:t>PSNI written evidence to NIAC (FDPS0010, January 2025): https://committees.parliament.uk/writtenevidence/134462/pdf/</w:t>
      </w:r>
    </w:p>
    <w:p w:rsidR="00E91637" w:rsidRPr="00185099" w:rsidP="006429D8">
      <w:pPr>
        <w:spacing w:after="160"/>
        <w:rPr>
          <w:rFonts w:ascii="Verdana" w:hAnsi="Verdana"/>
        </w:rPr>
      </w:pPr>
      <w:r w:rsidRPr="00185099">
        <w:rPr>
          <w:rFonts w:ascii="Verdana" w:hAnsi="Verdana"/>
          <w:b/>
          <w:bCs/>
        </w:rPr>
        <w:t xml:space="preserve">2. </w:t>
      </w:r>
      <w:r w:rsidRPr="00185099">
        <w:rPr>
          <w:rFonts w:ascii="Verdana" w:hAnsi="Verdana"/>
        </w:rPr>
        <w:t>Migrants' Rights Network written evidence to NIAC (PSNI0017, November 2025): https://committees.parliament.uk/writtenevidence/151769/pdf/</w:t>
      </w:r>
    </w:p>
    <w:p w:rsidR="00E91637" w:rsidRPr="00185099" w:rsidP="006429D8">
      <w:pPr>
        <w:spacing w:after="160"/>
        <w:rPr>
          <w:rFonts w:ascii="Verdana" w:hAnsi="Verdana"/>
        </w:rPr>
      </w:pPr>
      <w:r w:rsidRPr="00185099">
        <w:rPr>
          <w:rFonts w:ascii="Verdana" w:hAnsi="Verdana"/>
          <w:b/>
          <w:bCs/>
        </w:rPr>
        <w:t xml:space="preserve">3. </w:t>
      </w:r>
      <w:r w:rsidRPr="00185099">
        <w:rPr>
          <w:rFonts w:ascii="Verdana" w:hAnsi="Verdana"/>
        </w:rPr>
        <w:t>Migrants' Rights Network, 'Immigration Raids Report' (September 2024): https://migrantsrights.org.uk/wp-content/uploads/2024/09/immigration-raids-report.pdf</w:t>
      </w:r>
    </w:p>
    <w:p w:rsidR="00E91637" w:rsidRPr="00185099" w:rsidP="006429D8">
      <w:pPr>
        <w:spacing w:after="160"/>
        <w:rPr>
          <w:rFonts w:ascii="Verdana" w:hAnsi="Verdana"/>
        </w:rPr>
      </w:pPr>
      <w:r w:rsidRPr="00185099">
        <w:rPr>
          <w:rFonts w:ascii="Verdana" w:hAnsi="Verdana"/>
          <w:b/>
          <w:bCs/>
        </w:rPr>
        <w:t xml:space="preserve">4. </w:t>
      </w:r>
      <w:r w:rsidRPr="00185099">
        <w:rPr>
          <w:rFonts w:ascii="Verdana" w:hAnsi="Verdana"/>
        </w:rPr>
        <w:t>NIAC, 'Police Service of Northern Ireland: 25 Years On' (May 2026): https://committees.parliament.uk/committee/120/northern-ireland-affairs-committee/news/213700/</w:t>
      </w:r>
    </w:p>
    <w:p w:rsidR="00E91637" w:rsidRPr="00185099" w:rsidP="006429D8">
      <w:pPr>
        <w:spacing w:after="160"/>
        <w:rPr>
          <w:rFonts w:ascii="Verdana" w:hAnsi="Verdana"/>
        </w:rPr>
      </w:pPr>
      <w:r w:rsidRPr="00185099">
        <w:rPr>
          <w:rFonts w:ascii="Verdana" w:hAnsi="Verdana"/>
          <w:b/>
          <w:bCs/>
        </w:rPr>
        <w:t xml:space="preserve">5. </w:t>
      </w:r>
      <w:r w:rsidRPr="00185099">
        <w:rPr>
          <w:rFonts w:ascii="Verdana" w:hAnsi="Verdana"/>
        </w:rPr>
        <w:t>The Canary, 'PSNI slammed for paramilitary policing cutbacks' (6 July 2026): https://www.thecanary.co/global/world-analysis/2026/07/06/paramilitary-policing-cutbacks-belfast/</w:t>
      </w:r>
    </w:p>
    <w:p w:rsidR="00E91637" w:rsidRPr="00185099" w:rsidP="006429D8">
      <w:pPr>
        <w:spacing w:after="160"/>
        <w:rPr>
          <w:rFonts w:ascii="Verdana" w:hAnsi="Verdana"/>
        </w:rPr>
      </w:pPr>
      <w:r w:rsidRPr="00185099">
        <w:rPr>
          <w:rFonts w:ascii="Verdana" w:hAnsi="Verdana"/>
          <w:b/>
          <w:bCs/>
        </w:rPr>
        <w:t xml:space="preserve">6. </w:t>
      </w:r>
      <w:r w:rsidRPr="00185099">
        <w:rPr>
          <w:rFonts w:ascii="Verdana" w:hAnsi="Verdana"/>
        </w:rPr>
        <w:t>Colin Murray, 'Hollowing out Northern Ireland's Post-Brexit Rights Protections in Re Dillon [2026] UKSC 15', UK Constitutional Law Blog (14 May 2026).</w:t>
      </w:r>
    </w:p>
    <w:p w:rsidR="00E91637" w:rsidRPr="00185099" w:rsidP="006429D8">
      <w:pPr>
        <w:spacing w:after="160"/>
        <w:rPr>
          <w:rFonts w:ascii="Verdana" w:hAnsi="Verdana"/>
        </w:rPr>
      </w:pPr>
      <w:r w:rsidRPr="00185099">
        <w:rPr>
          <w:rFonts w:ascii="Verdana" w:hAnsi="Verdana"/>
          <w:b/>
          <w:bCs/>
        </w:rPr>
        <w:t xml:space="preserve">7. </w:t>
      </w:r>
      <w:r w:rsidRPr="00185099">
        <w:rPr>
          <w:rFonts w:ascii="Verdana" w:hAnsi="Verdana"/>
        </w:rPr>
        <w:t>Re Dillon [2026] UKSC 15, UK Supreme Court.</w:t>
      </w:r>
    </w:p>
    <w:p w:rsidR="00E91637" w:rsidRPr="00185099" w:rsidP="006429D8">
      <w:pPr>
        <w:spacing w:after="160"/>
        <w:rPr>
          <w:rFonts w:ascii="Verdana" w:hAnsi="Verdana"/>
        </w:rPr>
      </w:pPr>
      <w:r w:rsidRPr="00185099">
        <w:rPr>
          <w:rFonts w:ascii="Verdana" w:hAnsi="Verdana"/>
          <w:b/>
          <w:bCs/>
          <w:lang w:val="en-US"/>
        </w:rPr>
        <w:t xml:space="preserve">8. </w:t>
      </w:r>
      <w:r w:rsidRPr="00185099">
        <w:rPr>
          <w:rFonts w:ascii="Verdana" w:hAnsi="Verdana"/>
          <w:lang w:val="en-US"/>
        </w:rPr>
        <w:t>MWU-NI, 'Submission to the NI Executive Office Consultation on the Draft Race Relations Framework 2026–2028' (June 2026) — includes analysis of the Skilled Worker salary threshold's disproportionate impact in Northern Ireland relative to NI wage data.</w:t>
      </w:r>
    </w:p>
    <w:p w:rsidR="00E91637" w:rsidRPr="00185099" w:rsidP="006429D8">
      <w:pPr>
        <w:spacing w:after="160"/>
        <w:rPr>
          <w:rFonts w:ascii="Verdana" w:hAnsi="Verdana"/>
        </w:rPr>
      </w:pPr>
      <w:r w:rsidRPr="00185099">
        <w:rPr>
          <w:rFonts w:ascii="Verdana" w:hAnsi="Verdana"/>
          <w:b/>
          <w:bCs/>
        </w:rPr>
        <w:t xml:space="preserve">9. </w:t>
      </w:r>
      <w:r w:rsidRPr="00185099">
        <w:rPr>
          <w:rFonts w:ascii="Verdana" w:hAnsi="Verdana"/>
        </w:rPr>
        <w:t>ONS, 'Employee earnings in the UK: 2025' (ASHE 2025, released 23 October 2025): https://www.ons.gov.uk/employmentandlabourmarket/peopleinwork/earningsandworkinghours/bulletins/annualsurveyofhoursandearnings/2025</w:t>
      </w:r>
    </w:p>
    <w:p w:rsidR="00E91637" w:rsidRPr="00185099" w:rsidP="006429D8">
      <w:pPr>
        <w:spacing w:after="160"/>
        <w:rPr>
          <w:rFonts w:ascii="Verdana" w:hAnsi="Verdana"/>
        </w:rPr>
      </w:pPr>
      <w:r w:rsidRPr="00185099">
        <w:rPr>
          <w:rFonts w:ascii="Verdana" w:hAnsi="Verdana"/>
          <w:b/>
          <w:bCs/>
        </w:rPr>
        <w:t xml:space="preserve">10. </w:t>
      </w:r>
      <w:r w:rsidRPr="00185099">
        <w:rPr>
          <w:rFonts w:ascii="Verdana" w:hAnsi="Verdana"/>
        </w:rPr>
        <w:t>Lay Magistrates (Eligibility) (Northern Ireland) Order 2004 (NISR 2004/246), Article 2: https://www.legislation.gov.uk/nisr/2004/246/article/2</w:t>
      </w:r>
    </w:p>
    <w:p w:rsidR="00E91637" w:rsidRPr="00185099" w:rsidP="006429D8">
      <w:pPr>
        <w:spacing w:after="160"/>
        <w:rPr>
          <w:rFonts w:ascii="Verdana" w:hAnsi="Verdana"/>
        </w:rPr>
      </w:pPr>
      <w:r w:rsidRPr="00185099">
        <w:rPr>
          <w:rFonts w:ascii="Verdana" w:hAnsi="Verdana"/>
          <w:b/>
          <w:bCs/>
        </w:rPr>
        <w:t xml:space="preserve">11. </w:t>
      </w:r>
      <w:r w:rsidRPr="00185099">
        <w:rPr>
          <w:rFonts w:ascii="Verdana" w:hAnsi="Verdana"/>
        </w:rPr>
        <w:t>Migrants' Democracy Project, 'Our Charter' — democratic participation rights for long-term migrant residents: https://www.migrantdemos.org.uk/charter</w:t>
      </w:r>
    </w:p>
    <w:p w:rsidR="00E91637" w:rsidRPr="00185099" w:rsidP="006429D8">
      <w:pPr>
        <w:pBdr>
          <w:bottom w:val="single" w:sz="6" w:space="0" w:color="1A3A5C"/>
        </w:pBdr>
        <w:spacing w:before="120" w:after="120"/>
        <w:rPr>
          <w:rFonts w:ascii="Verdana" w:hAnsi="Verdana"/>
        </w:rPr>
      </w:pPr>
    </w:p>
    <w:p w:rsidR="00E91637" w:rsidRPr="00185099" w:rsidP="006429D8">
      <w:pPr>
        <w:spacing w:before="120" w:after="40"/>
        <w:rPr>
          <w:rFonts w:ascii="Verdana" w:hAnsi="Verdana"/>
        </w:rPr>
      </w:pPr>
      <w:r w:rsidRPr="00185099">
        <w:rPr>
          <w:rFonts w:ascii="Verdana" w:hAnsi="Verdana"/>
          <w:i/>
          <w:iCs/>
        </w:rPr>
        <w:t>Submitted by the Migrant Workers' Union — Northern Ireland (MWU-NI), July 2026.</w:t>
      </w:r>
    </w:p>
    <w:p w:rsidR="00E91637" w:rsidP="006429D8">
      <w:pPr>
        <w:spacing w:after="120"/>
        <w:rPr>
          <w:rFonts w:ascii="Verdana" w:hAnsi="Verdana"/>
          <w:i/>
          <w:iCs/>
          <w:lang w:val="en-US"/>
        </w:rPr>
      </w:pPr>
      <w:r w:rsidRPr="00185099">
        <w:rPr>
          <w:rFonts w:ascii="Verdana" w:hAnsi="Verdana"/>
          <w:i/>
          <w:iCs/>
          <w:lang w:val="en-US"/>
        </w:rPr>
        <w:t>MWU-NI is willing to give oral evidence to the Committee if invited to do so.</w:t>
      </w:r>
    </w:p>
    <w:p w:rsidR="00185099" w:rsidP="006429D8">
      <w:pPr>
        <w:spacing w:after="120"/>
        <w:rPr>
          <w:rFonts w:ascii="Verdana" w:hAnsi="Verdana"/>
          <w:i/>
          <w:iCs/>
          <w:lang w:val="en-US"/>
        </w:rPr>
      </w:pPr>
    </w:p>
    <w:p w:rsidR="00185099" w:rsidRPr="00185099" w:rsidP="006429D8">
      <w:pPr>
        <w:spacing w:after="120"/>
        <w:rPr>
          <w:rFonts w:ascii="Verdana" w:hAnsi="Verdana"/>
          <w:b/>
          <w:bCs/>
        </w:rPr>
      </w:pPr>
      <w:r w:rsidRPr="00185099">
        <w:rPr>
          <w:rFonts w:ascii="Verdana" w:hAnsi="Verdana"/>
          <w:b/>
          <w:bCs/>
          <w:i/>
          <w:iCs/>
          <w:lang w:val="en-US"/>
        </w:rPr>
        <w:t>8 July 2026</w:t>
      </w:r>
    </w:p>
    <w:sectPr>
      <w:footerReference w:type="default" r:id="rId4"/>
      <w:pgSz w:w="11906" w:h="16838"/>
      <w:pgMar w:top="1440" w:right="1727" w:bottom="1440" w:left="1727"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1637">
    <w:pPr>
      <w:jc w:val="right"/>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C54C7E5"/>
    <w:multiLevelType w:val="hybridMultilevel"/>
    <w:tmpl w:val="00000000"/>
    <w:lvl w:ilvl="0" w:tentative="1">
      <w:start w:val="1"/>
      <w:numFmt w:val="bullet"/>
      <w:lvlText w:val="●"/>
      <w:lvlJc w:val="left"/>
      <w:pPr>
        <w:ind w:left="720" w:hanging="360"/>
      </w:pPr>
    </w:lvl>
    <w:lvl w:ilvl="1" w:tentative="1">
      <w:start w:val="1"/>
      <w:numFmt w:val="bullet"/>
      <w:lvlText w:val="○"/>
      <w:lvlJc w:val="left"/>
      <w:pPr>
        <w:ind w:left="1440" w:hanging="360"/>
      </w:pPr>
    </w:lvl>
    <w:lvl w:ilvl="2" w:tentative="1">
      <w:start w:val="1"/>
      <w:numFmt w:val="bullet"/>
      <w:lvlText w:val="■"/>
      <w:lvlJc w:val="left"/>
      <w:pPr>
        <w:ind w:left="2160" w:hanging="360"/>
      </w:pPr>
    </w:lvl>
    <w:lvl w:ilvl="3" w:tentative="1">
      <w:start w:val="1"/>
      <w:numFmt w:val="bullet"/>
      <w:lvlText w:val="●"/>
      <w:lvlJc w:val="left"/>
      <w:pPr>
        <w:ind w:left="2880" w:hanging="360"/>
      </w:pPr>
    </w:lvl>
    <w:lvl w:ilvl="4" w:tentative="1">
      <w:start w:val="1"/>
      <w:numFmt w:val="bullet"/>
      <w:lvlText w:val="○"/>
      <w:lvlJc w:val="left"/>
      <w:pPr>
        <w:ind w:left="3600" w:hanging="360"/>
      </w:pPr>
    </w:lvl>
    <w:lvl w:ilvl="5" w:tentative="1">
      <w:start w:val="1"/>
      <w:numFmt w:val="bullet"/>
      <w:lvlText w:val="■"/>
      <w:lvlJc w:val="left"/>
      <w:pPr>
        <w:ind w:left="4320" w:hanging="360"/>
      </w:pPr>
    </w:lvl>
    <w:lvl w:ilvl="6" w:tentative="1">
      <w:start w:val="1"/>
      <w:numFmt w:val="bullet"/>
      <w:lvlText w:val="●"/>
      <w:lvlJc w:val="left"/>
      <w:pPr>
        <w:ind w:left="5040" w:hanging="360"/>
      </w:pPr>
    </w:lvl>
    <w:lvl w:ilvl="7" w:tentative="1">
      <w:start w:val="1"/>
      <w:numFmt w:val="bullet"/>
      <w:lvlText w:val="●"/>
      <w:lvlJc w:val="left"/>
      <w:pPr>
        <w:ind w:left="5760" w:hanging="360"/>
      </w:pPr>
    </w:lvl>
    <w:lvl w:ilvl="8" w:tentative="1">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77B5"/>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6429D8"/>
    <w:pPr>
      <w:tabs>
        <w:tab w:val="center" w:pos="4513"/>
        <w:tab w:val="right" w:pos="9026"/>
      </w:tabs>
    </w:pPr>
  </w:style>
  <w:style w:type="character" w:customStyle="1" w:styleId="HeaderChar">
    <w:name w:val="Header Char"/>
    <w:basedOn w:val="DefaultParagraphFont"/>
    <w:link w:val="Header"/>
    <w:uiPriority w:val="99"/>
    <w:rsid w:val="006429D8"/>
  </w:style>
  <w:style w:type="paragraph" w:styleId="Footer">
    <w:name w:val="footer"/>
    <w:basedOn w:val="Normal"/>
    <w:link w:val="FooterChar"/>
    <w:uiPriority w:val="99"/>
    <w:unhideWhenUsed/>
    <w:rsid w:val="006429D8"/>
    <w:pPr>
      <w:tabs>
        <w:tab w:val="center" w:pos="4513"/>
        <w:tab w:val="right" w:pos="9026"/>
      </w:tabs>
    </w:pPr>
  </w:style>
  <w:style w:type="character" w:customStyle="1" w:styleId="FooterChar">
    <w:name w:val="Footer Char"/>
    <w:basedOn w:val="DefaultParagraphFont"/>
    <w:link w:val="Footer"/>
    <w:uiPriority w:val="99"/>
    <w:rsid w:val="006429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ART0010</dc:title>
  <cp:revision>0</cp:revision>
</cp:coreProperties>
</file>