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2A38" w:rsidRPr="008C4C42">
      <w:pPr>
        <w:rPr>
          <w:rFonts w:ascii="Verdana" w:hAnsi="Verdana"/>
          <w:sz w:val="28"/>
          <w:szCs w:val="28"/>
        </w:rPr>
      </w:pPr>
      <w:r w:rsidRPr="008C4C42">
        <w:rPr>
          <w:rFonts w:ascii="Verdana" w:hAnsi="Verdana"/>
          <w:b/>
          <w:bCs/>
          <w:color w:val="000000"/>
          <w:sz w:val="28"/>
          <w:szCs w:val="28"/>
        </w:rPr>
        <w:t>Anonymous</w:t>
      </w:r>
      <w:r w:rsidRPr="008C4C42" w:rsidR="000B718C">
        <w:rPr>
          <w:rFonts w:ascii="Verdana" w:hAnsi="Verdana"/>
          <w:b/>
          <w:bCs/>
          <w:color w:val="000000"/>
          <w:sz w:val="28"/>
          <w:szCs w:val="28"/>
        </w:rPr>
        <w:t xml:space="preserve"> – Written </w:t>
      </w:r>
      <w:r w:rsidR="008C4C42">
        <w:rPr>
          <w:rFonts w:ascii="Verdana" w:hAnsi="Verdana"/>
          <w:b/>
          <w:bCs/>
          <w:color w:val="000000"/>
          <w:sz w:val="28"/>
          <w:szCs w:val="28"/>
        </w:rPr>
        <w:t xml:space="preserve">evidence </w:t>
      </w:r>
      <w:r w:rsidRPr="008C4C42" w:rsidR="000B718C">
        <w:rPr>
          <w:rFonts w:ascii="Verdana" w:hAnsi="Verdana"/>
          <w:b/>
          <w:bCs/>
          <w:color w:val="000000"/>
          <w:sz w:val="28"/>
          <w:szCs w:val="28"/>
        </w:rPr>
        <w:t>(ART0009)</w:t>
      </w:r>
    </w:p>
    <w:p w:rsidR="004E2A38" w:rsidRPr="008C4C42">
      <w:pPr>
        <w:rPr>
          <w:rFonts w:ascii="Verdana" w:hAnsi="Verdana"/>
        </w:rPr>
      </w:pPr>
    </w:p>
    <w:p w:rsidR="004C5F45" w:rsidRPr="008C4C42">
      <w:pPr>
        <w:rPr>
          <w:rFonts w:ascii="Verdana" w:hAnsi="Verdana"/>
        </w:rPr>
      </w:pPr>
      <w:r w:rsidRPr="008C4C42">
        <w:rPr>
          <w:rFonts w:ascii="Verdana" w:hAnsi="Verdana"/>
        </w:rPr>
        <w:t>03/07/2026</w:t>
      </w:r>
    </w:p>
    <w:p w:rsidR="004C5F45" w:rsidRPr="008C4C42">
      <w:pPr>
        <w:pStyle w:val="Heading1"/>
        <w:keepNext w:val="0"/>
        <w:keepLines w:val="0"/>
        <w:spacing w:before="480"/>
        <w:rPr>
          <w:rFonts w:ascii="Verdana" w:hAnsi="Verdana"/>
          <w:b/>
          <w:bCs/>
          <w:sz w:val="22"/>
          <w:szCs w:val="22"/>
        </w:rPr>
      </w:pPr>
      <w:bookmarkStart w:id="0" w:name="_7qtvi1534ds5" w:colFirst="0" w:colLast="0"/>
      <w:bookmarkEnd w:id="0"/>
      <w:r w:rsidRPr="008C4C42">
        <w:rPr>
          <w:rFonts w:ascii="Verdana" w:hAnsi="Verdana"/>
          <w:b/>
          <w:bCs/>
          <w:sz w:val="22"/>
          <w:szCs w:val="22"/>
        </w:rPr>
        <w:t>Written Evidence Submission</w:t>
      </w:r>
    </w:p>
    <w:p w:rsidR="004C5F45" w:rsidRPr="008C4C42">
      <w:pPr>
        <w:pStyle w:val="Heading2"/>
        <w:keepNext w:val="0"/>
        <w:keepLines w:val="0"/>
        <w:spacing w:after="80"/>
        <w:jc w:val="center"/>
        <w:rPr>
          <w:rFonts w:ascii="Verdana" w:hAnsi="Verdana"/>
          <w:b/>
          <w:bCs/>
          <w:sz w:val="22"/>
          <w:szCs w:val="22"/>
        </w:rPr>
      </w:pPr>
      <w:bookmarkStart w:id="1" w:name="_7b3tef9eptwt" w:colFirst="0" w:colLast="0"/>
      <w:bookmarkEnd w:id="1"/>
      <w:r w:rsidRPr="008C4C42">
        <w:rPr>
          <w:rFonts w:ascii="Verdana" w:hAnsi="Verdana"/>
          <w:b/>
          <w:bCs/>
          <w:sz w:val="22"/>
          <w:szCs w:val="22"/>
          <w:u w:val="single"/>
        </w:rPr>
        <w:t>Inquiry</w:t>
      </w:r>
    </w:p>
    <w:p w:rsidR="004C5F45" w:rsidRPr="008C4C42">
      <w:pPr>
        <w:pStyle w:val="Heading2"/>
        <w:keepNext w:val="0"/>
        <w:keepLines w:val="0"/>
        <w:spacing w:after="80"/>
        <w:jc w:val="center"/>
        <w:rPr>
          <w:rFonts w:ascii="Verdana" w:hAnsi="Verdana"/>
          <w:b/>
          <w:bCs/>
          <w:i/>
          <w:iCs/>
          <w:sz w:val="22"/>
          <w:szCs w:val="22"/>
        </w:rPr>
      </w:pPr>
      <w:bookmarkStart w:id="2" w:name="_d46e7e775722" w:colFirst="0" w:colLast="0"/>
      <w:bookmarkEnd w:id="2"/>
      <w:r w:rsidRPr="008C4C42">
        <w:rPr>
          <w:rFonts w:ascii="Verdana" w:hAnsi="Verdana"/>
          <w:b/>
          <w:bCs/>
          <w:i/>
          <w:iCs/>
          <w:sz w:val="22"/>
          <w:szCs w:val="22"/>
        </w:rPr>
        <w:t>Article 2 of the Windsor Framework</w:t>
      </w:r>
    </w:p>
    <w:p w:rsidR="004C5F45" w:rsidRPr="008C4C42">
      <w:pPr>
        <w:pStyle w:val="Heading3"/>
        <w:keepNext w:val="0"/>
        <w:keepLines w:val="0"/>
        <w:spacing w:before="280"/>
        <w:rPr>
          <w:rFonts w:ascii="Verdana" w:hAnsi="Verdana"/>
          <w:b/>
          <w:bCs/>
          <w:color w:val="000000"/>
          <w:sz w:val="22"/>
          <w:szCs w:val="22"/>
        </w:rPr>
      </w:pPr>
      <w:bookmarkStart w:id="3" w:name="_r9q1kwalt0u3" w:colFirst="0" w:colLast="0"/>
      <w:bookmarkEnd w:id="3"/>
      <w:r w:rsidRPr="008C4C42">
        <w:rPr>
          <w:rFonts w:ascii="Verdana" w:hAnsi="Verdana"/>
          <w:b/>
          <w:bCs/>
          <w:color w:val="000000"/>
          <w:sz w:val="22"/>
          <w:szCs w:val="22"/>
        </w:rPr>
        <w:t>Submitted by: Anonymous Contributor</w:t>
      </w:r>
    </w:p>
    <w:p w:rsidR="004C5F45" w:rsidRPr="008C4C42">
      <w:pPr>
        <w:pStyle w:val="Heading2"/>
        <w:keepNext w:val="0"/>
        <w:keepLines w:val="0"/>
        <w:spacing w:after="80"/>
        <w:rPr>
          <w:rFonts w:ascii="Verdana" w:hAnsi="Verdana"/>
          <w:b/>
          <w:bCs/>
          <w:sz w:val="22"/>
          <w:szCs w:val="22"/>
        </w:rPr>
      </w:pPr>
      <w:bookmarkStart w:id="4" w:name="_a8opufbs352u" w:colFirst="0" w:colLast="0"/>
      <w:bookmarkEnd w:id="4"/>
      <w:r w:rsidRPr="008C4C42">
        <w:rPr>
          <w:rFonts w:ascii="Verdana" w:hAnsi="Verdana"/>
          <w:b/>
          <w:bCs/>
          <w:sz w:val="22"/>
          <w:szCs w:val="22"/>
        </w:rPr>
        <w:t>Title:</w:t>
      </w:r>
    </w:p>
    <w:p w:rsidR="004C5F45" w:rsidRPr="008C4C42">
      <w:pPr>
        <w:spacing w:before="240" w:after="240" w:line="240" w:lineRule="auto"/>
        <w:rPr>
          <w:rFonts w:ascii="Verdana" w:hAnsi="Verdana"/>
          <w:i/>
          <w:iCs/>
        </w:rPr>
      </w:pPr>
      <w:r w:rsidRPr="008C4C42">
        <w:rPr>
          <w:rFonts w:ascii="Verdana" w:hAnsi="Verdana"/>
          <w:i/>
          <w:iCs/>
        </w:rPr>
        <w:t xml:space="preserve">Ireland the Windsor Framework and the Future of Democratic Stability: </w:t>
      </w:r>
    </w:p>
    <w:p w:rsidR="004C5F45" w:rsidRPr="008C4C42">
      <w:pPr>
        <w:spacing w:before="240" w:after="240" w:line="240" w:lineRule="auto"/>
        <w:jc w:val="center"/>
        <w:rPr>
          <w:rFonts w:ascii="Verdana" w:hAnsi="Verdana"/>
          <w:b/>
          <w:bCs/>
        </w:rPr>
      </w:pPr>
      <w:r w:rsidRPr="008C4C42">
        <w:rPr>
          <w:rFonts w:ascii="Verdana" w:hAnsi="Verdana"/>
          <w:b/>
          <w:bCs/>
        </w:rPr>
        <w:t>Human Rights, Sovereignty, Accountability and UK–Ireland Relations</w:t>
      </w:r>
    </w:p>
    <w:p w:rsidR="004C5F45" w:rsidRPr="008C4C42">
      <w:pPr>
        <w:pStyle w:val="Heading1"/>
        <w:keepNext w:val="0"/>
        <w:keepLines w:val="0"/>
        <w:spacing w:before="480"/>
        <w:rPr>
          <w:rFonts w:ascii="Verdana" w:hAnsi="Verdana"/>
          <w:b/>
          <w:bCs/>
          <w:sz w:val="22"/>
          <w:szCs w:val="22"/>
        </w:rPr>
      </w:pPr>
      <w:bookmarkStart w:id="5" w:name="_ryaoabbrxmwb" w:colFirst="0" w:colLast="0"/>
      <w:bookmarkEnd w:id="5"/>
      <w:r w:rsidRPr="008C4C42">
        <w:rPr>
          <w:rFonts w:ascii="Verdana" w:hAnsi="Verdana"/>
          <w:b/>
          <w:bCs/>
          <w:sz w:val="22"/>
          <w:szCs w:val="22"/>
        </w:rPr>
        <w:t>Executive Summary</w:t>
      </w:r>
    </w:p>
    <w:p w:rsidR="004C5F45" w:rsidRPr="008C4C42">
      <w:pPr>
        <w:spacing w:before="240" w:after="240" w:line="240" w:lineRule="auto"/>
        <w:rPr>
          <w:rFonts w:ascii="Verdana" w:hAnsi="Verdana"/>
        </w:rPr>
      </w:pPr>
      <w:r w:rsidRPr="008C4C42">
        <w:rPr>
          <w:rFonts w:ascii="Verdana" w:hAnsi="Verdana"/>
        </w:rPr>
        <w:t>This submission considers the operation of Article 2 of the Windsor Framework and the wider constitutional, political and economic questions surrounding Northern Ireland, Ireland and the United Kingdom following Brexit.</w:t>
      </w:r>
    </w:p>
    <w:p w:rsidR="004C5F45" w:rsidRPr="008C4C42">
      <w:pPr>
        <w:spacing w:before="240" w:after="240" w:line="240" w:lineRule="auto"/>
        <w:rPr>
          <w:rFonts w:ascii="Verdana" w:hAnsi="Verdana"/>
        </w:rPr>
      </w:pPr>
      <w:r w:rsidRPr="008C4C42">
        <w:rPr>
          <w:rFonts w:ascii="Verdana" w:hAnsi="Verdana"/>
        </w:rPr>
        <w:t>The Windsor Framework represents an important attempt to balance multiple obligations: Protecting the Belfast/Good Friday Agreement, maintaining peace and stability, supporting trade and respecting the constitutional position of Northern Ireland.</w:t>
      </w:r>
    </w:p>
    <w:p w:rsidR="004C5F45" w:rsidRPr="008C4C42">
      <w:pPr>
        <w:spacing w:before="240" w:after="240" w:line="240" w:lineRule="auto"/>
        <w:rPr>
          <w:rFonts w:ascii="Verdana" w:hAnsi="Verdana"/>
        </w:rPr>
      </w:pPr>
      <w:r w:rsidRPr="008C4C42">
        <w:rPr>
          <w:rFonts w:ascii="Verdana" w:hAnsi="Verdana"/>
        </w:rPr>
        <w:t>This submission argues that future policy should focus on:</w:t>
      </w:r>
    </w:p>
    <w:p w:rsidR="004C5F45" w:rsidRPr="008C4C42">
      <w:pPr>
        <w:numPr>
          <w:ilvl w:val="0"/>
          <w:numId w:val="12"/>
        </w:numPr>
        <w:spacing w:before="240" w:line="240" w:lineRule="auto"/>
        <w:rPr>
          <w:rFonts w:ascii="Verdana" w:hAnsi="Verdana"/>
        </w:rPr>
      </w:pPr>
      <w:r w:rsidRPr="008C4C42">
        <w:rPr>
          <w:rFonts w:ascii="Verdana" w:hAnsi="Verdana"/>
        </w:rPr>
        <w:t>Protecting human rights and equality commitments.</w:t>
      </w:r>
    </w:p>
    <w:p w:rsidR="004C5F45" w:rsidRPr="008C4C42">
      <w:pPr>
        <w:numPr>
          <w:ilvl w:val="0"/>
          <w:numId w:val="12"/>
        </w:numPr>
        <w:spacing w:line="240" w:lineRule="auto"/>
        <w:rPr>
          <w:rFonts w:ascii="Verdana" w:hAnsi="Verdana"/>
        </w:rPr>
      </w:pPr>
      <w:r w:rsidRPr="008C4C42">
        <w:rPr>
          <w:rFonts w:ascii="Verdana" w:hAnsi="Verdana"/>
        </w:rPr>
        <w:t>Strengthening democratic accountability.</w:t>
      </w:r>
    </w:p>
    <w:p w:rsidR="004C5F45" w:rsidRPr="008C4C42">
      <w:pPr>
        <w:numPr>
          <w:ilvl w:val="0"/>
          <w:numId w:val="12"/>
        </w:numPr>
        <w:spacing w:line="240" w:lineRule="auto"/>
        <w:rPr>
          <w:rFonts w:ascii="Verdana" w:hAnsi="Verdana"/>
        </w:rPr>
      </w:pPr>
      <w:r w:rsidRPr="008C4C42">
        <w:rPr>
          <w:rFonts w:ascii="Verdana" w:hAnsi="Verdana"/>
        </w:rPr>
        <w:t>Ensuring transparent decision-making regarding international agreements.</w:t>
      </w:r>
    </w:p>
    <w:p w:rsidR="004C5F45" w:rsidRPr="008C4C42">
      <w:pPr>
        <w:numPr>
          <w:ilvl w:val="0"/>
          <w:numId w:val="12"/>
        </w:numPr>
        <w:spacing w:line="240" w:lineRule="auto"/>
        <w:rPr>
          <w:rFonts w:ascii="Verdana" w:hAnsi="Verdana"/>
        </w:rPr>
      </w:pPr>
      <w:r w:rsidRPr="008C4C42">
        <w:rPr>
          <w:rFonts w:ascii="Verdana" w:hAnsi="Verdana"/>
        </w:rPr>
        <w:t>Supporting economic prosperity across all communities.</w:t>
      </w:r>
    </w:p>
    <w:p w:rsidR="004C5F45" w:rsidRPr="008C4C42">
      <w:pPr>
        <w:numPr>
          <w:ilvl w:val="0"/>
          <w:numId w:val="12"/>
        </w:numPr>
        <w:spacing w:line="240" w:lineRule="auto"/>
        <w:rPr>
          <w:rFonts w:ascii="Verdana" w:hAnsi="Verdana"/>
        </w:rPr>
      </w:pPr>
      <w:r w:rsidRPr="008C4C42">
        <w:rPr>
          <w:rFonts w:ascii="Verdana" w:hAnsi="Verdana"/>
        </w:rPr>
        <w:t>Developing a constructive and respectful UK–Ireland relationship.</w:t>
      </w:r>
    </w:p>
    <w:p w:rsidR="004C5F45" w:rsidRPr="008C4C42">
      <w:pPr>
        <w:numPr>
          <w:ilvl w:val="0"/>
          <w:numId w:val="12"/>
        </w:numPr>
        <w:spacing w:after="240" w:line="240" w:lineRule="auto"/>
        <w:rPr>
          <w:rFonts w:ascii="Verdana" w:hAnsi="Verdana"/>
        </w:rPr>
      </w:pPr>
      <w:r w:rsidRPr="008C4C42">
        <w:rPr>
          <w:rFonts w:ascii="Verdana" w:hAnsi="Verdana"/>
        </w:rPr>
        <w:t>Maintaining national sovereignty while cooperating internationally.</w:t>
      </w:r>
    </w:p>
    <w:p w:rsidR="004C5F45" w:rsidRPr="008C4C42">
      <w:pPr>
        <w:spacing w:before="240" w:after="240" w:line="240" w:lineRule="auto"/>
        <w:rPr>
          <w:rFonts w:ascii="Verdana" w:hAnsi="Verdana"/>
        </w:rPr>
      </w:pPr>
      <w:r w:rsidRPr="008C4C42">
        <w:rPr>
          <w:rFonts w:ascii="Verdana" w:hAnsi="Verdana"/>
        </w:rPr>
        <w:t>The submission recognises the importance of the Good Friday Agreement as a historic peace settlement and proposes that future discussions should build upon its principles rather than weaken them.</w:t>
      </w:r>
    </w:p>
    <w:p w:rsidR="004C5F45" w:rsidRPr="008C4C42">
      <w:pPr>
        <w:pStyle w:val="Heading1"/>
        <w:keepNext w:val="0"/>
        <w:keepLines w:val="0"/>
        <w:spacing w:before="480"/>
        <w:jc w:val="center"/>
        <w:rPr>
          <w:rFonts w:ascii="Verdana" w:hAnsi="Verdana"/>
          <w:b/>
          <w:bCs/>
          <w:sz w:val="22"/>
          <w:szCs w:val="22"/>
          <w:u w:val="single"/>
        </w:rPr>
      </w:pPr>
      <w:bookmarkStart w:id="6" w:name="_glxj3lvktnk4" w:colFirst="0" w:colLast="0"/>
      <w:bookmarkStart w:id="7" w:name="_vjlfjh9uvti" w:colFirst="0" w:colLast="0"/>
      <w:bookmarkEnd w:id="6"/>
      <w:bookmarkEnd w:id="7"/>
      <w:r w:rsidRPr="008C4C42">
        <w:rPr>
          <w:rFonts w:ascii="Verdana" w:hAnsi="Verdana"/>
          <w:b/>
          <w:bCs/>
          <w:sz w:val="22"/>
          <w:szCs w:val="22"/>
          <w:u w:val="single"/>
        </w:rPr>
        <w:t>Introduction and Background</w:t>
      </w:r>
    </w:p>
    <w:p w:rsidR="004C5F45" w:rsidRPr="008C4C42">
      <w:pPr>
        <w:spacing w:before="240" w:after="240" w:line="240" w:lineRule="auto"/>
        <w:rPr>
          <w:rFonts w:ascii="Verdana" w:hAnsi="Verdana"/>
        </w:rPr>
      </w:pPr>
      <w:r w:rsidRPr="008C4C42">
        <w:rPr>
          <w:rFonts w:ascii="Verdana" w:hAnsi="Verdana"/>
        </w:rPr>
        <w:t>The relationship between Northern Ireland, Ireland and Great Britain has been shaped by centuries of political, cultural and constitutional developments.</w:t>
      </w:r>
    </w:p>
    <w:p w:rsidR="004C5F45" w:rsidRPr="008C4C42">
      <w:pPr>
        <w:spacing w:before="240" w:after="240" w:line="240" w:lineRule="auto"/>
        <w:rPr>
          <w:rFonts w:ascii="Verdana" w:hAnsi="Verdana"/>
        </w:rPr>
      </w:pPr>
      <w:r w:rsidRPr="008C4C42">
        <w:rPr>
          <w:rFonts w:ascii="Verdana" w:hAnsi="Verdana"/>
        </w:rPr>
        <w:t>The Belfast/Good Friday Agreement of 1998 represented a significant achievement by establishing:</w:t>
      </w:r>
    </w:p>
    <w:p w:rsidR="004C5F45" w:rsidRPr="008C4C42">
      <w:pPr>
        <w:numPr>
          <w:ilvl w:val="0"/>
          <w:numId w:val="8"/>
        </w:numPr>
        <w:spacing w:before="240" w:line="240" w:lineRule="auto"/>
        <w:rPr>
          <w:rFonts w:ascii="Verdana" w:hAnsi="Verdana"/>
        </w:rPr>
      </w:pPr>
      <w:r w:rsidRPr="008C4C42">
        <w:rPr>
          <w:rFonts w:ascii="Verdana" w:hAnsi="Verdana"/>
        </w:rPr>
        <w:t>Power-sharing government</w:t>
      </w:r>
    </w:p>
    <w:p w:rsidR="004C5F45" w:rsidRPr="008C4C42">
      <w:pPr>
        <w:numPr>
          <w:ilvl w:val="0"/>
          <w:numId w:val="8"/>
        </w:numPr>
        <w:spacing w:line="240" w:lineRule="auto"/>
        <w:rPr>
          <w:rFonts w:ascii="Verdana" w:hAnsi="Verdana"/>
        </w:rPr>
      </w:pPr>
      <w:r w:rsidRPr="008C4C42">
        <w:rPr>
          <w:rFonts w:ascii="Verdana" w:hAnsi="Verdana"/>
        </w:rPr>
        <w:t>Recognition of different constitutional identities</w:t>
      </w:r>
    </w:p>
    <w:p w:rsidR="004C5F45" w:rsidRPr="008C4C42">
      <w:pPr>
        <w:numPr>
          <w:ilvl w:val="0"/>
          <w:numId w:val="8"/>
        </w:numPr>
        <w:spacing w:line="240" w:lineRule="auto"/>
        <w:rPr>
          <w:rFonts w:ascii="Verdana" w:hAnsi="Verdana"/>
        </w:rPr>
      </w:pPr>
      <w:r w:rsidRPr="008C4C42">
        <w:rPr>
          <w:rFonts w:ascii="Verdana" w:hAnsi="Verdana"/>
        </w:rPr>
        <w:t>Human rights protections</w:t>
      </w:r>
    </w:p>
    <w:p w:rsidR="004C5F45" w:rsidRPr="008C4C42">
      <w:pPr>
        <w:numPr>
          <w:ilvl w:val="0"/>
          <w:numId w:val="8"/>
        </w:numPr>
        <w:spacing w:line="240" w:lineRule="auto"/>
        <w:rPr>
          <w:rFonts w:ascii="Verdana" w:hAnsi="Verdana"/>
        </w:rPr>
      </w:pPr>
      <w:r w:rsidRPr="008C4C42">
        <w:rPr>
          <w:rFonts w:ascii="Verdana" w:hAnsi="Verdana"/>
        </w:rPr>
        <w:t>Cross-border cooperation</w:t>
      </w:r>
    </w:p>
    <w:p w:rsidR="004C5F45" w:rsidRPr="008C4C42">
      <w:pPr>
        <w:numPr>
          <w:ilvl w:val="0"/>
          <w:numId w:val="8"/>
        </w:numPr>
        <w:spacing w:after="240" w:line="240" w:lineRule="auto"/>
        <w:rPr>
          <w:rFonts w:ascii="Verdana" w:hAnsi="Verdana"/>
        </w:rPr>
      </w:pPr>
      <w:r w:rsidRPr="008C4C42">
        <w:rPr>
          <w:rFonts w:ascii="Verdana" w:hAnsi="Verdana"/>
        </w:rPr>
        <w:t>The principle of consent regarding Northern Ireland’s constitutional future</w:t>
      </w:r>
    </w:p>
    <w:p w:rsidR="004C5F45" w:rsidRPr="008C4C42">
      <w:pPr>
        <w:spacing w:before="240" w:after="240" w:line="240" w:lineRule="auto"/>
        <w:rPr>
          <w:rFonts w:ascii="Verdana" w:hAnsi="Verdana"/>
        </w:rPr>
      </w:pPr>
      <w:r w:rsidRPr="008C4C42">
        <w:rPr>
          <w:rFonts w:ascii="Verdana" w:hAnsi="Verdana"/>
        </w:rPr>
        <w:t>Following the United Kingdom’s departure from the European Union, the Northern Ireland Protocol was introduced to address the unique position of Northern Ireland. The Windsor Framework was subsequently agreed in 2023 to address concerns regarding trade arrangements and political confidence.</w:t>
      </w:r>
    </w:p>
    <w:p w:rsidR="004C5F45" w:rsidRPr="008C4C42">
      <w:pPr>
        <w:spacing w:before="240" w:after="240" w:line="240" w:lineRule="auto"/>
        <w:rPr>
          <w:rFonts w:ascii="Verdana" w:hAnsi="Verdana"/>
        </w:rPr>
      </w:pPr>
      <w:r w:rsidRPr="008C4C42">
        <w:rPr>
          <w:rFonts w:ascii="Verdana" w:hAnsi="Verdana"/>
        </w:rPr>
        <w:t>Article 2 of the Windsor Framework commits to maintaining certain rights, safeguards and equality protections contained in the Belfast/Good Friday Agreement.</w:t>
      </w:r>
    </w:p>
    <w:p w:rsidR="004C5F45" w:rsidRPr="008C4C42">
      <w:pPr>
        <w:pStyle w:val="Heading1"/>
        <w:keepNext w:val="0"/>
        <w:keepLines w:val="0"/>
        <w:spacing w:before="480"/>
        <w:rPr>
          <w:rFonts w:ascii="Verdana" w:hAnsi="Verdana"/>
          <w:b/>
          <w:bCs/>
          <w:sz w:val="22"/>
          <w:szCs w:val="22"/>
        </w:rPr>
      </w:pPr>
      <w:bookmarkStart w:id="8" w:name="_3ierpwypwldb" w:colFirst="0" w:colLast="0"/>
      <w:bookmarkEnd w:id="8"/>
      <w:r w:rsidRPr="008C4C42">
        <w:rPr>
          <w:rFonts w:ascii="Verdana" w:hAnsi="Verdana"/>
          <w:b/>
          <w:bCs/>
          <w:sz w:val="22"/>
          <w:szCs w:val="22"/>
        </w:rPr>
        <w:t xml:space="preserve">2. Article 2 of the Windsor Framework: </w:t>
      </w:r>
    </w:p>
    <w:p w:rsidR="004C5F45" w:rsidRPr="008C4C42">
      <w:pPr>
        <w:pStyle w:val="Heading1"/>
        <w:keepNext w:val="0"/>
        <w:keepLines w:val="0"/>
        <w:spacing w:before="480"/>
        <w:jc w:val="center"/>
        <w:rPr>
          <w:rFonts w:ascii="Verdana" w:hAnsi="Verdana"/>
          <w:b/>
          <w:bCs/>
          <w:sz w:val="22"/>
          <w:szCs w:val="22"/>
          <w:u w:val="single"/>
        </w:rPr>
      </w:pPr>
      <w:bookmarkStart w:id="9" w:name="_8hpq1d49fsy8" w:colFirst="0" w:colLast="0"/>
      <w:bookmarkEnd w:id="9"/>
      <w:r w:rsidRPr="008C4C42">
        <w:rPr>
          <w:rFonts w:ascii="Verdana" w:hAnsi="Verdana"/>
          <w:b/>
          <w:bCs/>
          <w:sz w:val="22"/>
          <w:szCs w:val="22"/>
          <w:u w:val="single"/>
        </w:rPr>
        <w:t>Human Rights and Equality</w:t>
      </w:r>
    </w:p>
    <w:p w:rsidR="004C5F45" w:rsidRPr="008C4C42">
      <w:pPr>
        <w:spacing w:before="240" w:after="240" w:line="240" w:lineRule="auto"/>
        <w:rPr>
          <w:rFonts w:ascii="Verdana" w:hAnsi="Verdana"/>
        </w:rPr>
      </w:pPr>
      <w:r w:rsidRPr="008C4C42">
        <w:rPr>
          <w:rFonts w:ascii="Verdana" w:hAnsi="Verdana"/>
        </w:rPr>
        <w:t>Human rights protections remain fundamental to maintaining peace and political confidence.</w:t>
      </w:r>
    </w:p>
    <w:p w:rsidR="004C5F45" w:rsidRPr="008C4C42">
      <w:pPr>
        <w:spacing w:before="240" w:after="240" w:line="240" w:lineRule="auto"/>
        <w:rPr>
          <w:rFonts w:ascii="Verdana" w:hAnsi="Verdana"/>
        </w:rPr>
      </w:pPr>
      <w:r w:rsidRPr="008C4C42">
        <w:rPr>
          <w:rFonts w:ascii="Verdana" w:hAnsi="Verdana"/>
        </w:rPr>
        <w:t>The implementation of Article 2 should continue to ensure:</w:t>
      </w:r>
    </w:p>
    <w:p w:rsidR="004C5F45" w:rsidRPr="008C4C42">
      <w:pPr>
        <w:numPr>
          <w:ilvl w:val="0"/>
          <w:numId w:val="11"/>
        </w:numPr>
        <w:spacing w:before="240" w:line="240" w:lineRule="auto"/>
        <w:rPr>
          <w:rFonts w:ascii="Verdana" w:hAnsi="Verdana"/>
        </w:rPr>
      </w:pPr>
      <w:r w:rsidRPr="008C4C42">
        <w:rPr>
          <w:rFonts w:ascii="Verdana" w:hAnsi="Verdana"/>
        </w:rPr>
        <w:t>Equality before the law.</w:t>
      </w:r>
    </w:p>
    <w:p w:rsidR="004C5F45" w:rsidRPr="008C4C42">
      <w:pPr>
        <w:numPr>
          <w:ilvl w:val="0"/>
          <w:numId w:val="11"/>
        </w:numPr>
        <w:spacing w:line="240" w:lineRule="auto"/>
        <w:rPr>
          <w:rFonts w:ascii="Verdana" w:hAnsi="Verdana"/>
        </w:rPr>
      </w:pPr>
      <w:r w:rsidRPr="008C4C42">
        <w:rPr>
          <w:rFonts w:ascii="Verdana" w:hAnsi="Verdana"/>
        </w:rPr>
        <w:t>Protection against discrimination.</w:t>
      </w:r>
    </w:p>
    <w:p w:rsidR="004C5F45" w:rsidRPr="008C4C42">
      <w:pPr>
        <w:numPr>
          <w:ilvl w:val="0"/>
          <w:numId w:val="11"/>
        </w:numPr>
        <w:spacing w:line="240" w:lineRule="auto"/>
        <w:rPr>
          <w:rFonts w:ascii="Verdana" w:hAnsi="Verdana"/>
        </w:rPr>
      </w:pPr>
      <w:r w:rsidRPr="008C4C42">
        <w:rPr>
          <w:rFonts w:ascii="Verdana" w:hAnsi="Verdana"/>
        </w:rPr>
        <w:t>Access to justice.</w:t>
      </w:r>
    </w:p>
    <w:p w:rsidR="004C5F45" w:rsidRPr="008C4C42">
      <w:pPr>
        <w:numPr>
          <w:ilvl w:val="0"/>
          <w:numId w:val="11"/>
        </w:numPr>
        <w:spacing w:line="240" w:lineRule="auto"/>
        <w:rPr>
          <w:rFonts w:ascii="Verdana" w:hAnsi="Verdana"/>
        </w:rPr>
      </w:pPr>
      <w:r w:rsidRPr="008C4C42">
        <w:rPr>
          <w:rFonts w:ascii="Verdana" w:hAnsi="Verdana"/>
        </w:rPr>
        <w:t>Respect for individual rights.</w:t>
      </w:r>
    </w:p>
    <w:p w:rsidR="004C5F45" w:rsidRPr="008C4C42">
      <w:pPr>
        <w:numPr>
          <w:ilvl w:val="0"/>
          <w:numId w:val="11"/>
        </w:numPr>
        <w:spacing w:after="240" w:line="240" w:lineRule="auto"/>
        <w:rPr>
          <w:rFonts w:ascii="Verdana" w:hAnsi="Verdana"/>
        </w:rPr>
      </w:pPr>
      <w:r w:rsidRPr="008C4C42">
        <w:rPr>
          <w:rFonts w:ascii="Verdana" w:hAnsi="Verdana"/>
        </w:rPr>
        <w:t>Continued monitoring of equality commitments.</w:t>
      </w:r>
    </w:p>
    <w:p w:rsidR="004C5F45" w:rsidRPr="008C4C42">
      <w:pPr>
        <w:spacing w:before="240" w:after="240" w:line="240" w:lineRule="auto"/>
        <w:rPr>
          <w:rFonts w:ascii="Verdana" w:hAnsi="Verdana"/>
        </w:rPr>
      </w:pPr>
      <w:r w:rsidRPr="008C4C42">
        <w:rPr>
          <w:rFonts w:ascii="Verdana" w:hAnsi="Verdana"/>
        </w:rPr>
        <w:t>However, there is a need for increased transparency regarding:</w:t>
      </w:r>
    </w:p>
    <w:p w:rsidR="004C5F45" w:rsidRPr="008C4C42">
      <w:pPr>
        <w:numPr>
          <w:ilvl w:val="0"/>
          <w:numId w:val="16"/>
        </w:numPr>
        <w:spacing w:before="240" w:line="240" w:lineRule="auto"/>
        <w:rPr>
          <w:rFonts w:ascii="Verdana" w:hAnsi="Verdana"/>
        </w:rPr>
      </w:pPr>
      <w:r w:rsidRPr="008C4C42">
        <w:rPr>
          <w:rFonts w:ascii="Verdana" w:hAnsi="Verdana"/>
        </w:rPr>
        <w:t>How Article 2 obligations are interpreted.</w:t>
      </w:r>
    </w:p>
    <w:p w:rsidR="004C5F45" w:rsidRPr="008C4C42">
      <w:pPr>
        <w:numPr>
          <w:ilvl w:val="0"/>
          <w:numId w:val="16"/>
        </w:numPr>
        <w:spacing w:line="240" w:lineRule="auto"/>
        <w:rPr>
          <w:rFonts w:ascii="Verdana" w:hAnsi="Verdana"/>
        </w:rPr>
      </w:pPr>
      <w:r w:rsidRPr="008C4C42">
        <w:rPr>
          <w:rFonts w:ascii="Verdana" w:hAnsi="Verdana"/>
        </w:rPr>
        <w:t>How citizens can challenge potential breaches.</w:t>
      </w:r>
    </w:p>
    <w:p w:rsidR="004C5F45" w:rsidRPr="008C4C42">
      <w:pPr>
        <w:numPr>
          <w:ilvl w:val="0"/>
          <w:numId w:val="16"/>
        </w:numPr>
        <w:spacing w:after="240" w:line="240" w:lineRule="auto"/>
        <w:rPr>
          <w:rFonts w:ascii="Verdana" w:hAnsi="Verdana"/>
        </w:rPr>
      </w:pPr>
      <w:r w:rsidRPr="008C4C42">
        <w:rPr>
          <w:rFonts w:ascii="Verdana" w:hAnsi="Verdana"/>
        </w:rPr>
        <w:t>How oversight mechanisms operate.</w:t>
      </w:r>
    </w:p>
    <w:p w:rsidR="004C5F45" w:rsidRPr="008C4C42">
      <w:pPr>
        <w:spacing w:before="240" w:after="240" w:line="240" w:lineRule="auto"/>
        <w:rPr>
          <w:rFonts w:ascii="Verdana" w:hAnsi="Verdana"/>
        </w:rPr>
      </w:pPr>
      <w:r w:rsidRPr="008C4C42">
        <w:rPr>
          <w:rFonts w:ascii="Verdana" w:hAnsi="Verdana"/>
        </w:rPr>
        <w:t>A strong rights framework requires public confidence, independent monitoring and accessible information.</w:t>
      </w:r>
    </w:p>
    <w:p w:rsidR="004C5F45" w:rsidRPr="008C4C42">
      <w:pPr>
        <w:pStyle w:val="Heading1"/>
        <w:keepNext w:val="0"/>
        <w:keepLines w:val="0"/>
        <w:spacing w:before="480"/>
        <w:rPr>
          <w:rFonts w:ascii="Verdana" w:hAnsi="Verdana"/>
          <w:b/>
          <w:bCs/>
          <w:sz w:val="22"/>
          <w:szCs w:val="22"/>
        </w:rPr>
      </w:pPr>
      <w:bookmarkStart w:id="10" w:name="_ejb4yyql859" w:colFirst="0" w:colLast="0"/>
      <w:bookmarkEnd w:id="10"/>
      <w:r w:rsidRPr="008C4C42">
        <w:rPr>
          <w:rFonts w:ascii="Verdana" w:hAnsi="Verdana"/>
          <w:b/>
          <w:bCs/>
          <w:sz w:val="22"/>
          <w:szCs w:val="22"/>
        </w:rPr>
        <w:t>3. Democratic Accountability and Constitutional Stability</w:t>
      </w:r>
    </w:p>
    <w:p w:rsidR="004C5F45" w:rsidRPr="008C4C42">
      <w:pPr>
        <w:spacing w:before="240" w:after="240" w:line="240" w:lineRule="auto"/>
        <w:rPr>
          <w:rFonts w:ascii="Verdana" w:hAnsi="Verdana"/>
        </w:rPr>
      </w:pPr>
      <w:r w:rsidRPr="008C4C42">
        <w:rPr>
          <w:rFonts w:ascii="Verdana" w:hAnsi="Verdana"/>
        </w:rPr>
        <w:t>The Windsor Framework operates within a complex constitutional environment involving:</w:t>
      </w:r>
    </w:p>
    <w:p w:rsidR="004C5F45" w:rsidRPr="008C4C42">
      <w:pPr>
        <w:numPr>
          <w:ilvl w:val="0"/>
          <w:numId w:val="14"/>
        </w:numPr>
        <w:spacing w:before="240" w:line="240" w:lineRule="auto"/>
        <w:rPr>
          <w:rFonts w:ascii="Verdana" w:hAnsi="Verdana"/>
        </w:rPr>
      </w:pPr>
      <w:r w:rsidRPr="008C4C42">
        <w:rPr>
          <w:rFonts w:ascii="Verdana" w:hAnsi="Verdana"/>
        </w:rPr>
        <w:t>The United Kingdom Government.</w:t>
      </w:r>
    </w:p>
    <w:p w:rsidR="004C5F45" w:rsidRPr="008C4C42">
      <w:pPr>
        <w:numPr>
          <w:ilvl w:val="0"/>
          <w:numId w:val="14"/>
        </w:numPr>
        <w:spacing w:line="240" w:lineRule="auto"/>
        <w:rPr>
          <w:rFonts w:ascii="Verdana" w:hAnsi="Verdana"/>
        </w:rPr>
      </w:pPr>
      <w:r w:rsidRPr="008C4C42">
        <w:rPr>
          <w:rFonts w:ascii="Verdana" w:hAnsi="Verdana"/>
        </w:rPr>
        <w:t>The Northern Ireland Executive.</w:t>
      </w:r>
    </w:p>
    <w:p w:rsidR="004C5F45" w:rsidRPr="008C4C42">
      <w:pPr>
        <w:numPr>
          <w:ilvl w:val="0"/>
          <w:numId w:val="14"/>
        </w:numPr>
        <w:spacing w:line="240" w:lineRule="auto"/>
        <w:rPr>
          <w:rFonts w:ascii="Verdana" w:hAnsi="Verdana"/>
        </w:rPr>
      </w:pPr>
      <w:r w:rsidRPr="008C4C42">
        <w:rPr>
          <w:rFonts w:ascii="Verdana" w:hAnsi="Verdana"/>
        </w:rPr>
        <w:t>The European Union.</w:t>
      </w:r>
    </w:p>
    <w:p w:rsidR="004C5F45" w:rsidRPr="008C4C42">
      <w:pPr>
        <w:numPr>
          <w:ilvl w:val="0"/>
          <w:numId w:val="14"/>
        </w:numPr>
        <w:spacing w:line="240" w:lineRule="auto"/>
        <w:rPr>
          <w:rFonts w:ascii="Verdana" w:hAnsi="Verdana"/>
        </w:rPr>
      </w:pPr>
      <w:r w:rsidRPr="008C4C42">
        <w:rPr>
          <w:rFonts w:ascii="Verdana" w:hAnsi="Verdana"/>
        </w:rPr>
        <w:t>The Government of Ireland.</w:t>
      </w:r>
    </w:p>
    <w:p w:rsidR="004C5F45" w:rsidRPr="008C4C42">
      <w:pPr>
        <w:numPr>
          <w:ilvl w:val="0"/>
          <w:numId w:val="14"/>
        </w:numPr>
        <w:spacing w:after="240" w:line="240" w:lineRule="auto"/>
        <w:rPr>
          <w:rFonts w:ascii="Verdana" w:hAnsi="Verdana"/>
        </w:rPr>
      </w:pPr>
      <w:r w:rsidRPr="008C4C42">
        <w:rPr>
          <w:rFonts w:ascii="Verdana" w:hAnsi="Verdana"/>
        </w:rPr>
        <w:t>Local communities.</w:t>
      </w:r>
    </w:p>
    <w:p w:rsidR="004C5F45" w:rsidRPr="008C4C42">
      <w:pPr>
        <w:spacing w:before="240" w:after="240" w:line="240" w:lineRule="auto"/>
        <w:rPr>
          <w:rFonts w:ascii="Verdana" w:hAnsi="Verdana"/>
        </w:rPr>
      </w:pPr>
      <w:r w:rsidRPr="008C4C42">
        <w:rPr>
          <w:rFonts w:ascii="Verdana" w:hAnsi="Verdana"/>
        </w:rPr>
        <w:t>For long-term stability, democratic accountability should remain central.</w:t>
      </w:r>
    </w:p>
    <w:p w:rsidR="004C5F45" w:rsidRPr="008C4C42">
      <w:pPr>
        <w:spacing w:before="240" w:after="240" w:line="240" w:lineRule="auto"/>
        <w:rPr>
          <w:rFonts w:ascii="Verdana" w:hAnsi="Verdana"/>
        </w:rPr>
      </w:pPr>
      <w:r w:rsidRPr="008C4C42">
        <w:rPr>
          <w:rFonts w:ascii="Verdana" w:hAnsi="Verdana"/>
        </w:rPr>
        <w:t>Recommendations include:</w:t>
      </w:r>
    </w:p>
    <w:p w:rsidR="004C5F45" w:rsidRPr="008C4C42">
      <w:pPr>
        <w:numPr>
          <w:ilvl w:val="0"/>
          <w:numId w:val="6"/>
        </w:numPr>
        <w:spacing w:before="240" w:line="240" w:lineRule="auto"/>
        <w:rPr>
          <w:rFonts w:ascii="Verdana" w:hAnsi="Verdana"/>
        </w:rPr>
      </w:pPr>
      <w:r w:rsidRPr="008C4C42">
        <w:rPr>
          <w:rFonts w:ascii="Verdana" w:hAnsi="Verdana"/>
        </w:rPr>
        <w:t>Regular parliamentary scrutiny.</w:t>
      </w:r>
    </w:p>
    <w:p w:rsidR="004C5F45" w:rsidRPr="008C4C42">
      <w:pPr>
        <w:numPr>
          <w:ilvl w:val="0"/>
          <w:numId w:val="6"/>
        </w:numPr>
        <w:spacing w:line="240" w:lineRule="auto"/>
        <w:rPr>
          <w:rFonts w:ascii="Verdana" w:hAnsi="Verdana"/>
        </w:rPr>
      </w:pPr>
      <w:r w:rsidRPr="008C4C42">
        <w:rPr>
          <w:rFonts w:ascii="Verdana" w:hAnsi="Verdana"/>
        </w:rPr>
        <w:t>Clear reporting mechanisms.</w:t>
      </w:r>
    </w:p>
    <w:p w:rsidR="004C5F45" w:rsidRPr="008C4C42">
      <w:pPr>
        <w:numPr>
          <w:ilvl w:val="0"/>
          <w:numId w:val="6"/>
        </w:numPr>
        <w:spacing w:line="240" w:lineRule="auto"/>
        <w:rPr>
          <w:rFonts w:ascii="Verdana" w:hAnsi="Verdana"/>
        </w:rPr>
      </w:pPr>
      <w:r w:rsidRPr="008C4C42">
        <w:rPr>
          <w:rFonts w:ascii="Verdana" w:hAnsi="Verdana"/>
        </w:rPr>
        <w:t>Greater engagement with Northern Ireland communities.</w:t>
      </w:r>
    </w:p>
    <w:p w:rsidR="004C5F45" w:rsidRPr="008C4C42">
      <w:pPr>
        <w:numPr>
          <w:ilvl w:val="0"/>
          <w:numId w:val="6"/>
        </w:numPr>
        <w:spacing w:after="240" w:line="240" w:lineRule="auto"/>
        <w:rPr>
          <w:rFonts w:ascii="Verdana" w:hAnsi="Verdana"/>
        </w:rPr>
      </w:pPr>
      <w:r w:rsidRPr="008C4C42">
        <w:rPr>
          <w:rFonts w:ascii="Verdana" w:hAnsi="Verdana"/>
        </w:rPr>
        <w:t>Transparent publication of impact assessments.</w:t>
      </w:r>
    </w:p>
    <w:p w:rsidR="004C5F45" w:rsidRPr="008C4C42">
      <w:pPr>
        <w:spacing w:before="240" w:after="240" w:line="240" w:lineRule="auto"/>
        <w:rPr>
          <w:rFonts w:ascii="Verdana" w:hAnsi="Verdana"/>
        </w:rPr>
      </w:pPr>
      <w:r w:rsidRPr="008C4C42">
        <w:rPr>
          <w:rFonts w:ascii="Verdana" w:hAnsi="Verdana"/>
        </w:rPr>
        <w:t>Political arrangements affecting citizens must maintain democratic legitimacy.</w:t>
      </w:r>
    </w:p>
    <w:p w:rsidR="004C5F45" w:rsidRPr="008C4C42">
      <w:pPr>
        <w:pStyle w:val="Heading1"/>
        <w:keepNext w:val="0"/>
        <w:keepLines w:val="0"/>
        <w:spacing w:before="480"/>
        <w:rPr>
          <w:rFonts w:ascii="Verdana" w:hAnsi="Verdana"/>
          <w:b/>
          <w:bCs/>
          <w:sz w:val="22"/>
          <w:szCs w:val="22"/>
        </w:rPr>
      </w:pPr>
      <w:bookmarkStart w:id="11" w:name="_qxkezrrr2im9" w:colFirst="0" w:colLast="0"/>
      <w:bookmarkEnd w:id="11"/>
      <w:r w:rsidRPr="008C4C42">
        <w:rPr>
          <w:rFonts w:ascii="Verdana" w:hAnsi="Verdana"/>
          <w:b/>
          <w:bCs/>
          <w:sz w:val="22"/>
          <w:szCs w:val="22"/>
        </w:rPr>
        <w:t>4. The Good Friday Agreement and Future UK–Ireland Relations</w:t>
      </w:r>
    </w:p>
    <w:p w:rsidR="004C5F45" w:rsidRPr="008C4C42">
      <w:pPr>
        <w:spacing w:before="240" w:after="240" w:line="240" w:lineRule="auto"/>
        <w:rPr>
          <w:rFonts w:ascii="Verdana" w:hAnsi="Verdana"/>
        </w:rPr>
      </w:pPr>
      <w:r w:rsidRPr="008C4C42">
        <w:rPr>
          <w:rFonts w:ascii="Verdana" w:hAnsi="Verdana"/>
        </w:rPr>
        <w:t>The Good Friday Agreement remains one of the most significant examples of conflict resolution in modern European history.</w:t>
      </w:r>
    </w:p>
    <w:p w:rsidR="004C5F45" w:rsidRPr="008C4C42">
      <w:pPr>
        <w:spacing w:before="240" w:after="240" w:line="240" w:lineRule="auto"/>
        <w:rPr>
          <w:rFonts w:ascii="Verdana" w:hAnsi="Verdana"/>
        </w:rPr>
      </w:pPr>
      <w:r w:rsidRPr="008C4C42">
        <w:rPr>
          <w:rFonts w:ascii="Verdana" w:hAnsi="Verdana"/>
        </w:rPr>
        <w:t>Any future agreement or renewal of cooperation should preserve:</w:t>
      </w:r>
    </w:p>
    <w:p w:rsidR="004C5F45" w:rsidRPr="008C4C42">
      <w:pPr>
        <w:numPr>
          <w:ilvl w:val="0"/>
          <w:numId w:val="4"/>
        </w:numPr>
        <w:spacing w:before="240" w:line="240" w:lineRule="auto"/>
        <w:rPr>
          <w:rFonts w:ascii="Verdana" w:hAnsi="Verdana"/>
        </w:rPr>
      </w:pPr>
      <w:r w:rsidRPr="008C4C42">
        <w:rPr>
          <w:rFonts w:ascii="Verdana" w:hAnsi="Verdana"/>
        </w:rPr>
        <w:t>Peace.</w:t>
      </w:r>
    </w:p>
    <w:p w:rsidR="004C5F45" w:rsidRPr="008C4C42">
      <w:pPr>
        <w:numPr>
          <w:ilvl w:val="0"/>
          <w:numId w:val="4"/>
        </w:numPr>
        <w:spacing w:line="240" w:lineRule="auto"/>
        <w:rPr>
          <w:rFonts w:ascii="Verdana" w:hAnsi="Verdana"/>
        </w:rPr>
      </w:pPr>
      <w:r w:rsidRPr="008C4C42">
        <w:rPr>
          <w:rFonts w:ascii="Verdana" w:hAnsi="Verdana"/>
        </w:rPr>
        <w:t>Consent.</w:t>
      </w:r>
    </w:p>
    <w:p w:rsidR="004C5F45" w:rsidRPr="008C4C42">
      <w:pPr>
        <w:numPr>
          <w:ilvl w:val="0"/>
          <w:numId w:val="4"/>
        </w:numPr>
        <w:spacing w:line="240" w:lineRule="auto"/>
        <w:rPr>
          <w:rFonts w:ascii="Verdana" w:hAnsi="Verdana"/>
        </w:rPr>
      </w:pPr>
      <w:r w:rsidRPr="008C4C42">
        <w:rPr>
          <w:rFonts w:ascii="Verdana" w:hAnsi="Verdana"/>
        </w:rPr>
        <w:t>Human rights.</w:t>
      </w:r>
    </w:p>
    <w:p w:rsidR="004C5F45" w:rsidRPr="008C4C42">
      <w:pPr>
        <w:numPr>
          <w:ilvl w:val="0"/>
          <w:numId w:val="4"/>
        </w:numPr>
        <w:spacing w:after="240" w:line="240" w:lineRule="auto"/>
        <w:rPr>
          <w:rFonts w:ascii="Verdana" w:hAnsi="Verdana"/>
        </w:rPr>
      </w:pPr>
      <w:r w:rsidRPr="008C4C42">
        <w:rPr>
          <w:rFonts w:ascii="Verdana" w:hAnsi="Verdana"/>
        </w:rPr>
        <w:t>Community participation.</w:t>
      </w:r>
    </w:p>
    <w:p w:rsidR="004C5F45" w:rsidRPr="008C4C42">
      <w:pPr>
        <w:spacing w:before="240" w:after="240" w:line="240" w:lineRule="auto"/>
        <w:rPr>
          <w:rFonts w:ascii="Verdana" w:hAnsi="Verdana"/>
        </w:rPr>
      </w:pPr>
      <w:r w:rsidRPr="008C4C42">
        <w:rPr>
          <w:rFonts w:ascii="Verdana" w:hAnsi="Verdana"/>
        </w:rPr>
        <w:t>A future UK–Ireland framework should focus on practical cooperation including:</w:t>
      </w:r>
    </w:p>
    <w:p w:rsidR="004C5F45" w:rsidRPr="008C4C42">
      <w:pPr>
        <w:numPr>
          <w:ilvl w:val="0"/>
          <w:numId w:val="3"/>
        </w:numPr>
        <w:spacing w:before="240" w:line="240" w:lineRule="auto"/>
        <w:rPr>
          <w:rFonts w:ascii="Verdana" w:hAnsi="Verdana"/>
        </w:rPr>
      </w:pPr>
      <w:r w:rsidRPr="008C4C42">
        <w:rPr>
          <w:rFonts w:ascii="Verdana" w:hAnsi="Verdana"/>
        </w:rPr>
        <w:t>Trade.</w:t>
      </w:r>
    </w:p>
    <w:p w:rsidR="004C5F45" w:rsidRPr="008C4C42">
      <w:pPr>
        <w:numPr>
          <w:ilvl w:val="0"/>
          <w:numId w:val="3"/>
        </w:numPr>
        <w:spacing w:line="240" w:lineRule="auto"/>
        <w:rPr>
          <w:rFonts w:ascii="Verdana" w:hAnsi="Verdana"/>
        </w:rPr>
      </w:pPr>
      <w:r w:rsidRPr="008C4C42">
        <w:rPr>
          <w:rFonts w:ascii="Verdana" w:hAnsi="Verdana"/>
        </w:rPr>
        <w:t>Investment.</w:t>
      </w:r>
    </w:p>
    <w:p w:rsidR="004C5F45" w:rsidRPr="008C4C42">
      <w:pPr>
        <w:numPr>
          <w:ilvl w:val="0"/>
          <w:numId w:val="3"/>
        </w:numPr>
        <w:spacing w:line="240" w:lineRule="auto"/>
        <w:rPr>
          <w:rFonts w:ascii="Verdana" w:hAnsi="Verdana"/>
        </w:rPr>
      </w:pPr>
      <w:r w:rsidRPr="008C4C42">
        <w:rPr>
          <w:rFonts w:ascii="Verdana" w:hAnsi="Verdana"/>
        </w:rPr>
        <w:t>Education.</w:t>
      </w:r>
    </w:p>
    <w:p w:rsidR="004C5F45" w:rsidRPr="008C4C42">
      <w:pPr>
        <w:numPr>
          <w:ilvl w:val="0"/>
          <w:numId w:val="3"/>
        </w:numPr>
        <w:spacing w:line="240" w:lineRule="auto"/>
        <w:rPr>
          <w:rFonts w:ascii="Verdana" w:hAnsi="Verdana"/>
        </w:rPr>
      </w:pPr>
      <w:r w:rsidRPr="008C4C42">
        <w:rPr>
          <w:rFonts w:ascii="Verdana" w:hAnsi="Verdana"/>
        </w:rPr>
        <w:t>Climate action.</w:t>
      </w:r>
    </w:p>
    <w:p w:rsidR="004C5F45" w:rsidRPr="008C4C42">
      <w:pPr>
        <w:numPr>
          <w:ilvl w:val="0"/>
          <w:numId w:val="3"/>
        </w:numPr>
        <w:spacing w:line="240" w:lineRule="auto"/>
        <w:rPr>
          <w:rFonts w:ascii="Verdana" w:hAnsi="Verdana"/>
        </w:rPr>
      </w:pPr>
      <w:r w:rsidRPr="008C4C42">
        <w:rPr>
          <w:rFonts w:ascii="Verdana" w:hAnsi="Verdana"/>
        </w:rPr>
        <w:t>Security cooperation.</w:t>
      </w:r>
    </w:p>
    <w:p w:rsidR="004C5F45" w:rsidRPr="008C4C42">
      <w:pPr>
        <w:numPr>
          <w:ilvl w:val="0"/>
          <w:numId w:val="3"/>
        </w:numPr>
        <w:spacing w:after="240" w:line="240" w:lineRule="auto"/>
        <w:rPr>
          <w:rFonts w:ascii="Verdana" w:hAnsi="Verdana"/>
        </w:rPr>
      </w:pPr>
      <w:r w:rsidRPr="008C4C42">
        <w:rPr>
          <w:rFonts w:ascii="Verdana" w:hAnsi="Verdana"/>
        </w:rPr>
        <w:t>Cultural exchange.</w:t>
      </w:r>
    </w:p>
    <w:p w:rsidR="004C5F45" w:rsidRPr="008C4C42">
      <w:pPr>
        <w:spacing w:before="240" w:after="240" w:line="240" w:lineRule="auto"/>
        <w:rPr>
          <w:rFonts w:ascii="Verdana" w:hAnsi="Verdana"/>
        </w:rPr>
      </w:pPr>
      <w:r w:rsidRPr="008C4C42">
        <w:rPr>
          <w:rFonts w:ascii="Verdana" w:hAnsi="Verdana"/>
        </w:rPr>
        <w:t>The future relationship between Ireland and the United Kingdom should not be defined solely by historic disagreements but by shared opportunities.</w:t>
      </w:r>
    </w:p>
    <w:p w:rsidR="004C5F45" w:rsidRPr="008C4C42">
      <w:pPr>
        <w:pStyle w:val="Heading1"/>
        <w:keepNext w:val="0"/>
        <w:keepLines w:val="0"/>
        <w:spacing w:before="480"/>
        <w:rPr>
          <w:rFonts w:ascii="Verdana" w:hAnsi="Verdana"/>
          <w:b/>
          <w:bCs/>
          <w:sz w:val="22"/>
          <w:szCs w:val="22"/>
        </w:rPr>
      </w:pPr>
      <w:bookmarkStart w:id="12" w:name="_ekhqf1pducu4" w:colFirst="0" w:colLast="0"/>
      <w:bookmarkEnd w:id="12"/>
      <w:r w:rsidRPr="008C4C42">
        <w:rPr>
          <w:rFonts w:ascii="Verdana" w:hAnsi="Verdana"/>
          <w:b/>
          <w:bCs/>
          <w:sz w:val="22"/>
          <w:szCs w:val="22"/>
        </w:rPr>
        <w:t>5. Sovereignty, International Cooperation and the Commonwealth</w:t>
      </w:r>
    </w:p>
    <w:p w:rsidR="004C5F45" w:rsidRPr="008C4C42">
      <w:pPr>
        <w:spacing w:before="240" w:after="240" w:line="240" w:lineRule="auto"/>
        <w:rPr>
          <w:rFonts w:ascii="Verdana" w:hAnsi="Verdana"/>
        </w:rPr>
      </w:pPr>
      <w:r w:rsidRPr="008C4C42">
        <w:rPr>
          <w:rFonts w:ascii="Verdana" w:hAnsi="Verdana"/>
        </w:rPr>
        <w:t>The United Kingdom is a sovereign state consisting of four nations:</w:t>
      </w:r>
    </w:p>
    <w:p w:rsidR="004C5F45" w:rsidRPr="008C4C42">
      <w:pPr>
        <w:numPr>
          <w:ilvl w:val="0"/>
          <w:numId w:val="10"/>
        </w:numPr>
        <w:spacing w:before="240" w:line="240" w:lineRule="auto"/>
        <w:rPr>
          <w:rFonts w:ascii="Verdana" w:hAnsi="Verdana"/>
        </w:rPr>
      </w:pPr>
      <w:r w:rsidRPr="008C4C42">
        <w:rPr>
          <w:rFonts w:ascii="Verdana" w:hAnsi="Verdana"/>
        </w:rPr>
        <w:t>England</w:t>
      </w:r>
    </w:p>
    <w:p w:rsidR="004C5F45" w:rsidRPr="008C4C42">
      <w:pPr>
        <w:numPr>
          <w:ilvl w:val="0"/>
          <w:numId w:val="10"/>
        </w:numPr>
        <w:spacing w:line="240" w:lineRule="auto"/>
        <w:rPr>
          <w:rFonts w:ascii="Verdana" w:hAnsi="Verdana"/>
        </w:rPr>
      </w:pPr>
      <w:r w:rsidRPr="008C4C42">
        <w:rPr>
          <w:rFonts w:ascii="Verdana" w:hAnsi="Verdana"/>
        </w:rPr>
        <w:t>Scotland</w:t>
      </w:r>
    </w:p>
    <w:p w:rsidR="004C5F45" w:rsidRPr="008C4C42">
      <w:pPr>
        <w:numPr>
          <w:ilvl w:val="0"/>
          <w:numId w:val="10"/>
        </w:numPr>
        <w:spacing w:line="240" w:lineRule="auto"/>
        <w:rPr>
          <w:rFonts w:ascii="Verdana" w:hAnsi="Verdana"/>
        </w:rPr>
      </w:pPr>
      <w:r w:rsidRPr="008C4C42">
        <w:rPr>
          <w:rFonts w:ascii="Verdana" w:hAnsi="Verdana"/>
        </w:rPr>
        <w:t>Wales</w:t>
      </w:r>
    </w:p>
    <w:p w:rsidR="004C5F45" w:rsidRPr="008C4C42">
      <w:pPr>
        <w:numPr>
          <w:ilvl w:val="0"/>
          <w:numId w:val="10"/>
        </w:numPr>
        <w:spacing w:after="240" w:line="240" w:lineRule="auto"/>
        <w:rPr>
          <w:rFonts w:ascii="Verdana" w:hAnsi="Verdana"/>
        </w:rPr>
      </w:pPr>
      <w:r w:rsidRPr="008C4C42">
        <w:rPr>
          <w:rFonts w:ascii="Verdana" w:hAnsi="Verdana"/>
        </w:rPr>
        <w:t>Northern Ireland</w:t>
      </w:r>
    </w:p>
    <w:p w:rsidR="004C5F45" w:rsidRPr="008C4C42">
      <w:pPr>
        <w:spacing w:before="240" w:after="240" w:line="240" w:lineRule="auto"/>
        <w:rPr>
          <w:rFonts w:ascii="Verdana" w:hAnsi="Verdana"/>
        </w:rPr>
      </w:pPr>
      <w:r w:rsidRPr="008C4C42">
        <w:rPr>
          <w:rFonts w:ascii="Verdana" w:hAnsi="Verdana"/>
        </w:rPr>
        <w:t>A modern understanding of sovereignty should include:</w:t>
      </w:r>
    </w:p>
    <w:p w:rsidR="004C5F45" w:rsidRPr="008C4C42">
      <w:pPr>
        <w:numPr>
          <w:ilvl w:val="0"/>
          <w:numId w:val="2"/>
        </w:numPr>
        <w:spacing w:before="240" w:line="240" w:lineRule="auto"/>
        <w:rPr>
          <w:rFonts w:ascii="Verdana" w:hAnsi="Verdana"/>
        </w:rPr>
      </w:pPr>
      <w:r w:rsidRPr="008C4C42">
        <w:rPr>
          <w:rFonts w:ascii="Verdana" w:hAnsi="Verdana"/>
        </w:rPr>
        <w:t>Democratic accountability.</w:t>
      </w:r>
    </w:p>
    <w:p w:rsidR="004C5F45" w:rsidRPr="008C4C42">
      <w:pPr>
        <w:numPr>
          <w:ilvl w:val="0"/>
          <w:numId w:val="2"/>
        </w:numPr>
        <w:spacing w:line="240" w:lineRule="auto"/>
        <w:rPr>
          <w:rFonts w:ascii="Verdana" w:hAnsi="Verdana"/>
        </w:rPr>
      </w:pPr>
      <w:r w:rsidRPr="008C4C42">
        <w:rPr>
          <w:rFonts w:ascii="Verdana" w:hAnsi="Verdana"/>
        </w:rPr>
        <w:t>Protection of citizens’ rights.</w:t>
      </w:r>
    </w:p>
    <w:p w:rsidR="004C5F45" w:rsidRPr="008C4C42">
      <w:pPr>
        <w:numPr>
          <w:ilvl w:val="0"/>
          <w:numId w:val="2"/>
        </w:numPr>
        <w:spacing w:line="240" w:lineRule="auto"/>
        <w:rPr>
          <w:rFonts w:ascii="Verdana" w:hAnsi="Verdana"/>
        </w:rPr>
      </w:pPr>
      <w:r w:rsidRPr="008C4C42">
        <w:rPr>
          <w:rFonts w:ascii="Verdana" w:hAnsi="Verdana"/>
        </w:rPr>
        <w:t>Economic resilience.</w:t>
      </w:r>
    </w:p>
    <w:p w:rsidR="004C5F45" w:rsidRPr="008C4C42">
      <w:pPr>
        <w:numPr>
          <w:ilvl w:val="0"/>
          <w:numId w:val="2"/>
        </w:numPr>
        <w:spacing w:after="240" w:line="240" w:lineRule="auto"/>
        <w:rPr>
          <w:rFonts w:ascii="Verdana" w:hAnsi="Verdana"/>
        </w:rPr>
      </w:pPr>
      <w:r w:rsidRPr="008C4C42">
        <w:rPr>
          <w:rFonts w:ascii="Verdana" w:hAnsi="Verdana"/>
        </w:rPr>
        <w:t>Responsible international engagement.</w:t>
      </w:r>
    </w:p>
    <w:p w:rsidR="004C5F45" w:rsidRPr="008C4C42">
      <w:pPr>
        <w:spacing w:before="240" w:after="240" w:line="240" w:lineRule="auto"/>
        <w:rPr>
          <w:rFonts w:ascii="Verdana" w:hAnsi="Verdana"/>
        </w:rPr>
      </w:pPr>
      <w:r w:rsidRPr="008C4C42">
        <w:rPr>
          <w:rFonts w:ascii="Verdana" w:hAnsi="Verdana"/>
        </w:rPr>
        <w:t>The Commonwealth Charter identifies principles including:</w:t>
      </w:r>
    </w:p>
    <w:p w:rsidR="004C5F45" w:rsidRPr="008C4C42">
      <w:pPr>
        <w:numPr>
          <w:ilvl w:val="0"/>
          <w:numId w:val="13"/>
        </w:numPr>
        <w:spacing w:before="240" w:line="240" w:lineRule="auto"/>
        <w:rPr>
          <w:rFonts w:ascii="Verdana" w:hAnsi="Verdana"/>
        </w:rPr>
      </w:pPr>
      <w:r w:rsidRPr="008C4C42">
        <w:rPr>
          <w:rFonts w:ascii="Verdana" w:hAnsi="Verdana"/>
        </w:rPr>
        <w:t>Democracy.</w:t>
      </w:r>
    </w:p>
    <w:p w:rsidR="004C5F45" w:rsidRPr="008C4C42">
      <w:pPr>
        <w:numPr>
          <w:ilvl w:val="0"/>
          <w:numId w:val="13"/>
        </w:numPr>
        <w:spacing w:line="240" w:lineRule="auto"/>
        <w:rPr>
          <w:rFonts w:ascii="Verdana" w:hAnsi="Verdana"/>
        </w:rPr>
      </w:pPr>
      <w:r w:rsidRPr="008C4C42">
        <w:rPr>
          <w:rFonts w:ascii="Verdana" w:hAnsi="Verdana"/>
        </w:rPr>
        <w:t>Human rights.</w:t>
      </w:r>
    </w:p>
    <w:p w:rsidR="004C5F45" w:rsidRPr="008C4C42">
      <w:pPr>
        <w:numPr>
          <w:ilvl w:val="0"/>
          <w:numId w:val="13"/>
        </w:numPr>
        <w:spacing w:line="240" w:lineRule="auto"/>
        <w:rPr>
          <w:rFonts w:ascii="Verdana" w:hAnsi="Verdana"/>
        </w:rPr>
      </w:pPr>
      <w:r w:rsidRPr="008C4C42">
        <w:rPr>
          <w:rFonts w:ascii="Verdana" w:hAnsi="Verdana"/>
        </w:rPr>
        <w:t>Sustainable development.</w:t>
      </w:r>
    </w:p>
    <w:p w:rsidR="004C5F45" w:rsidRPr="008C4C42">
      <w:pPr>
        <w:numPr>
          <w:ilvl w:val="0"/>
          <w:numId w:val="13"/>
        </w:numPr>
        <w:spacing w:line="240" w:lineRule="auto"/>
        <w:rPr>
          <w:rFonts w:ascii="Verdana" w:hAnsi="Verdana"/>
        </w:rPr>
      </w:pPr>
      <w:r w:rsidRPr="008C4C42">
        <w:rPr>
          <w:rFonts w:ascii="Verdana" w:hAnsi="Verdana"/>
        </w:rPr>
        <w:t>The rule of law.</w:t>
      </w:r>
    </w:p>
    <w:p w:rsidR="004C5F45" w:rsidRPr="008C4C42">
      <w:pPr>
        <w:numPr>
          <w:ilvl w:val="0"/>
          <w:numId w:val="13"/>
        </w:numPr>
        <w:spacing w:after="240" w:line="240" w:lineRule="auto"/>
        <w:rPr>
          <w:rFonts w:ascii="Verdana" w:hAnsi="Verdana"/>
        </w:rPr>
      </w:pPr>
      <w:r w:rsidRPr="008C4C42">
        <w:rPr>
          <w:rFonts w:ascii="Verdana" w:hAnsi="Verdana"/>
        </w:rPr>
        <w:t>Peace and security.</w:t>
      </w:r>
    </w:p>
    <w:p w:rsidR="004C5F45" w:rsidRPr="008C4C42">
      <w:pPr>
        <w:spacing w:before="240" w:after="240" w:line="240" w:lineRule="auto"/>
        <w:rPr>
          <w:rFonts w:ascii="Verdana" w:hAnsi="Verdana"/>
        </w:rPr>
      </w:pPr>
      <w:r w:rsidRPr="008C4C42">
        <w:rPr>
          <w:rFonts w:ascii="Verdana" w:hAnsi="Verdana"/>
        </w:rPr>
        <w:t>Future international policy should seek partnerships that advance these principles.</w:t>
      </w:r>
    </w:p>
    <w:p w:rsidR="004C5F45" w:rsidRPr="008C4C42">
      <w:pPr>
        <w:spacing w:before="240" w:after="240" w:line="240" w:lineRule="auto"/>
        <w:rPr>
          <w:rFonts w:ascii="Verdana" w:hAnsi="Verdana"/>
        </w:rPr>
      </w:pPr>
      <w:r w:rsidRPr="008C4C42">
        <w:rPr>
          <w:rFonts w:ascii="Verdana" w:hAnsi="Verdana"/>
        </w:rPr>
        <w:t>Sovereignty and international cooperation are not mutually exclusive; successful states maintain both.</w:t>
      </w:r>
    </w:p>
    <w:p w:rsidR="004C5F45" w:rsidRPr="008C4C42">
      <w:pPr>
        <w:pStyle w:val="Heading1"/>
        <w:keepNext w:val="0"/>
        <w:keepLines w:val="0"/>
        <w:spacing w:before="480"/>
        <w:rPr>
          <w:rFonts w:ascii="Verdana" w:hAnsi="Verdana"/>
          <w:b/>
          <w:bCs/>
          <w:sz w:val="22"/>
          <w:szCs w:val="22"/>
        </w:rPr>
      </w:pPr>
      <w:bookmarkStart w:id="13" w:name="_hr3v7m2fz7jd" w:colFirst="0" w:colLast="0"/>
      <w:bookmarkEnd w:id="13"/>
      <w:r w:rsidRPr="008C4C42">
        <w:rPr>
          <w:rFonts w:ascii="Verdana" w:hAnsi="Verdana"/>
          <w:b/>
          <w:bCs/>
          <w:sz w:val="22"/>
          <w:szCs w:val="22"/>
        </w:rPr>
        <w:t>6. International Health Agreements and Public Accountability</w:t>
      </w:r>
    </w:p>
    <w:p w:rsidR="004C5F45" w:rsidRPr="008C4C42">
      <w:pPr>
        <w:spacing w:before="240" w:after="240" w:line="240" w:lineRule="auto"/>
        <w:rPr>
          <w:rFonts w:ascii="Verdana" w:hAnsi="Verdana"/>
        </w:rPr>
      </w:pPr>
      <w:r w:rsidRPr="008C4C42">
        <w:rPr>
          <w:rFonts w:ascii="Verdana" w:hAnsi="Verdana"/>
        </w:rPr>
        <w:t>The COVID-19 pandemic demonstrated the importance of global cooperation in responding to public health challenges.</w:t>
      </w:r>
    </w:p>
    <w:p w:rsidR="004C5F45" w:rsidRPr="008C4C42">
      <w:pPr>
        <w:spacing w:before="240" w:after="240" w:line="240" w:lineRule="auto"/>
        <w:rPr>
          <w:rFonts w:ascii="Verdana" w:hAnsi="Verdana"/>
        </w:rPr>
      </w:pPr>
      <w:r w:rsidRPr="008C4C42">
        <w:rPr>
          <w:rFonts w:ascii="Verdana" w:hAnsi="Verdana"/>
        </w:rPr>
        <w:t>International health partnerships, including those involving the World Health Organization, should maintain public trust through:</w:t>
      </w:r>
    </w:p>
    <w:p w:rsidR="004C5F45" w:rsidRPr="008C4C42">
      <w:pPr>
        <w:numPr>
          <w:ilvl w:val="0"/>
          <w:numId w:val="5"/>
        </w:numPr>
        <w:spacing w:before="240" w:line="240" w:lineRule="auto"/>
        <w:rPr>
          <w:rFonts w:ascii="Verdana" w:hAnsi="Verdana"/>
        </w:rPr>
      </w:pPr>
      <w:r w:rsidRPr="008C4C42">
        <w:rPr>
          <w:rFonts w:ascii="Verdana" w:hAnsi="Verdana"/>
        </w:rPr>
        <w:t>Transparency</w:t>
      </w:r>
    </w:p>
    <w:p w:rsidR="004C5F45" w:rsidRPr="008C4C42">
      <w:pPr>
        <w:numPr>
          <w:ilvl w:val="0"/>
          <w:numId w:val="5"/>
        </w:numPr>
        <w:spacing w:line="240" w:lineRule="auto"/>
        <w:rPr>
          <w:rFonts w:ascii="Verdana" w:hAnsi="Verdana"/>
        </w:rPr>
      </w:pPr>
      <w:r w:rsidRPr="008C4C42">
        <w:rPr>
          <w:rFonts w:ascii="Verdana" w:hAnsi="Verdana"/>
        </w:rPr>
        <w:t>Parliamentary oversight</w:t>
      </w:r>
    </w:p>
    <w:p w:rsidR="004C5F45" w:rsidRPr="008C4C42">
      <w:pPr>
        <w:numPr>
          <w:ilvl w:val="0"/>
          <w:numId w:val="5"/>
        </w:numPr>
        <w:spacing w:line="240" w:lineRule="auto"/>
        <w:rPr>
          <w:rFonts w:ascii="Verdana" w:hAnsi="Verdana"/>
        </w:rPr>
      </w:pPr>
      <w:r w:rsidRPr="008C4C42">
        <w:rPr>
          <w:rFonts w:ascii="Verdana" w:hAnsi="Verdana"/>
        </w:rPr>
        <w:t>Independent evaluation</w:t>
      </w:r>
    </w:p>
    <w:p w:rsidR="004C5F45" w:rsidRPr="008C4C42">
      <w:pPr>
        <w:numPr>
          <w:ilvl w:val="0"/>
          <w:numId w:val="5"/>
        </w:numPr>
        <w:spacing w:line="240" w:lineRule="auto"/>
        <w:rPr>
          <w:rFonts w:ascii="Verdana" w:hAnsi="Verdana"/>
        </w:rPr>
      </w:pPr>
      <w:r w:rsidRPr="008C4C42">
        <w:rPr>
          <w:rFonts w:ascii="Verdana" w:hAnsi="Verdana"/>
        </w:rPr>
        <w:t>Clear limits on authority</w:t>
      </w:r>
    </w:p>
    <w:p w:rsidR="004C5F45" w:rsidRPr="008C4C42">
      <w:pPr>
        <w:numPr>
          <w:ilvl w:val="0"/>
          <w:numId w:val="5"/>
        </w:numPr>
        <w:spacing w:after="240" w:line="240" w:lineRule="auto"/>
        <w:rPr>
          <w:rFonts w:ascii="Verdana" w:hAnsi="Verdana"/>
        </w:rPr>
      </w:pPr>
      <w:r w:rsidRPr="008C4C42">
        <w:rPr>
          <w:rFonts w:ascii="Verdana" w:hAnsi="Verdana"/>
        </w:rPr>
        <w:t>Protection of national democratic decision-making</w:t>
      </w:r>
    </w:p>
    <w:p w:rsidR="004C5F45" w:rsidRPr="008C4C42">
      <w:pPr>
        <w:spacing w:before="240" w:after="240" w:line="240" w:lineRule="auto"/>
        <w:rPr>
          <w:rFonts w:ascii="Verdana" w:hAnsi="Verdana"/>
        </w:rPr>
      </w:pPr>
      <w:r w:rsidRPr="008C4C42">
        <w:rPr>
          <w:rFonts w:ascii="Verdana" w:hAnsi="Verdana"/>
        </w:rPr>
        <w:t>Public confidence depends on ensuring that international cooperation supports citizens while respecting national accountability.</w:t>
      </w:r>
    </w:p>
    <w:p w:rsidR="004C5F45" w:rsidRPr="008C4C42">
      <w:pPr>
        <w:spacing w:before="240" w:after="240" w:line="240" w:lineRule="auto"/>
        <w:rPr>
          <w:rFonts w:ascii="Verdana" w:hAnsi="Verdana"/>
        </w:rPr>
      </w:pPr>
      <w:r w:rsidRPr="008C4C42">
        <w:rPr>
          <w:rFonts w:ascii="Verdana" w:hAnsi="Verdana"/>
        </w:rPr>
        <w:t>Future agreements should include robust scrutiny processes.</w:t>
      </w:r>
    </w:p>
    <w:p w:rsidR="004C5F45" w:rsidRPr="008C4C42">
      <w:pPr>
        <w:pStyle w:val="Heading1"/>
        <w:keepNext w:val="0"/>
        <w:keepLines w:val="0"/>
        <w:spacing w:before="480"/>
        <w:rPr>
          <w:rFonts w:ascii="Verdana" w:hAnsi="Verdana"/>
          <w:b/>
          <w:bCs/>
          <w:sz w:val="22"/>
          <w:szCs w:val="22"/>
        </w:rPr>
      </w:pPr>
      <w:bookmarkStart w:id="14" w:name="_178gm3jyzasx" w:colFirst="0" w:colLast="0"/>
      <w:bookmarkEnd w:id="14"/>
      <w:r w:rsidRPr="008C4C42">
        <w:rPr>
          <w:rFonts w:ascii="Verdana" w:hAnsi="Verdana"/>
          <w:b/>
          <w:bCs/>
          <w:sz w:val="22"/>
          <w:szCs w:val="22"/>
        </w:rPr>
        <w:t>7. Economic Considerations and Trade</w:t>
      </w:r>
    </w:p>
    <w:p w:rsidR="004C5F45" w:rsidRPr="008C4C42">
      <w:pPr>
        <w:spacing w:before="240" w:after="240" w:line="240" w:lineRule="auto"/>
        <w:rPr>
          <w:rFonts w:ascii="Verdana" w:hAnsi="Verdana"/>
        </w:rPr>
      </w:pPr>
      <w:r w:rsidRPr="008C4C42">
        <w:rPr>
          <w:rFonts w:ascii="Verdana" w:hAnsi="Verdana"/>
        </w:rPr>
        <w:t>Economic stability is essential for Northern Ireland, Ireland and the wider United Kingdom.</w:t>
      </w:r>
    </w:p>
    <w:p w:rsidR="004C5F45" w:rsidRPr="008C4C42">
      <w:pPr>
        <w:spacing w:before="240" w:after="240" w:line="240" w:lineRule="auto"/>
        <w:rPr>
          <w:rFonts w:ascii="Verdana" w:hAnsi="Verdana"/>
        </w:rPr>
      </w:pPr>
      <w:r w:rsidRPr="008C4C42">
        <w:rPr>
          <w:rFonts w:ascii="Verdana" w:hAnsi="Verdana"/>
        </w:rPr>
        <w:t>Evidence from economic research following Brexit demonstrates that businesses have experienced both challenges and opportunities due to changing trade arrangements.</w:t>
      </w:r>
    </w:p>
    <w:p w:rsidR="004C5F45" w:rsidRPr="008C4C42">
      <w:pPr>
        <w:spacing w:before="240" w:after="240" w:line="240" w:lineRule="auto"/>
        <w:rPr>
          <w:rFonts w:ascii="Verdana" w:hAnsi="Verdana"/>
        </w:rPr>
      </w:pPr>
      <w:r w:rsidRPr="008C4C42">
        <w:rPr>
          <w:rFonts w:ascii="Verdana" w:hAnsi="Verdana"/>
        </w:rPr>
        <w:t>Policy priorities should include:</w:t>
      </w:r>
    </w:p>
    <w:p w:rsidR="004C5F45" w:rsidRPr="008C4C42">
      <w:pPr>
        <w:numPr>
          <w:ilvl w:val="0"/>
          <w:numId w:val="9"/>
        </w:numPr>
        <w:spacing w:before="240" w:line="240" w:lineRule="auto"/>
        <w:rPr>
          <w:rFonts w:ascii="Verdana" w:hAnsi="Verdana"/>
        </w:rPr>
      </w:pPr>
      <w:r w:rsidRPr="008C4C42">
        <w:rPr>
          <w:rFonts w:ascii="Verdana" w:hAnsi="Verdana"/>
        </w:rPr>
        <w:t>Reducing unnecessary administrative burdens</w:t>
      </w:r>
    </w:p>
    <w:p w:rsidR="004C5F45" w:rsidRPr="008C4C42">
      <w:pPr>
        <w:numPr>
          <w:ilvl w:val="0"/>
          <w:numId w:val="9"/>
        </w:numPr>
        <w:spacing w:line="240" w:lineRule="auto"/>
        <w:rPr>
          <w:rFonts w:ascii="Verdana" w:hAnsi="Verdana"/>
        </w:rPr>
      </w:pPr>
      <w:r w:rsidRPr="008C4C42">
        <w:rPr>
          <w:rFonts w:ascii="Verdana" w:hAnsi="Verdana"/>
        </w:rPr>
        <w:t>Supporting small businesses</w:t>
      </w:r>
    </w:p>
    <w:p w:rsidR="004C5F45" w:rsidRPr="008C4C42">
      <w:pPr>
        <w:numPr>
          <w:ilvl w:val="0"/>
          <w:numId w:val="9"/>
        </w:numPr>
        <w:spacing w:line="240" w:lineRule="auto"/>
        <w:rPr>
          <w:rFonts w:ascii="Verdana" w:hAnsi="Verdana"/>
        </w:rPr>
      </w:pPr>
      <w:r w:rsidRPr="008C4C42">
        <w:rPr>
          <w:rFonts w:ascii="Verdana" w:hAnsi="Verdana"/>
        </w:rPr>
        <w:t>Encouraging investment</w:t>
      </w:r>
    </w:p>
    <w:p w:rsidR="004C5F45" w:rsidRPr="008C4C42">
      <w:pPr>
        <w:numPr>
          <w:ilvl w:val="0"/>
          <w:numId w:val="9"/>
        </w:numPr>
        <w:spacing w:line="240" w:lineRule="auto"/>
        <w:rPr>
          <w:rFonts w:ascii="Verdana" w:hAnsi="Verdana"/>
        </w:rPr>
      </w:pPr>
      <w:r w:rsidRPr="008C4C42">
        <w:rPr>
          <w:rFonts w:ascii="Verdana" w:hAnsi="Verdana"/>
        </w:rPr>
        <w:t>Expanding international trade opportunities</w:t>
      </w:r>
    </w:p>
    <w:p w:rsidR="004C5F45" w:rsidRPr="008C4C42">
      <w:pPr>
        <w:numPr>
          <w:ilvl w:val="0"/>
          <w:numId w:val="9"/>
        </w:numPr>
        <w:spacing w:after="240" w:line="240" w:lineRule="auto"/>
        <w:rPr>
          <w:rFonts w:ascii="Verdana" w:hAnsi="Verdana"/>
        </w:rPr>
      </w:pPr>
      <w:r w:rsidRPr="008C4C42">
        <w:rPr>
          <w:rFonts w:ascii="Verdana" w:hAnsi="Verdana"/>
        </w:rPr>
        <w:t>Improving economic cooperation between communities</w:t>
      </w:r>
    </w:p>
    <w:p w:rsidR="004C5F45" w:rsidRPr="008C4C42">
      <w:pPr>
        <w:spacing w:before="240" w:after="240" w:line="240" w:lineRule="auto"/>
        <w:rPr>
          <w:rFonts w:ascii="Verdana" w:hAnsi="Verdana"/>
        </w:rPr>
      </w:pPr>
      <w:r w:rsidRPr="008C4C42">
        <w:rPr>
          <w:rFonts w:ascii="Verdana" w:hAnsi="Verdana"/>
        </w:rPr>
        <w:t>Economic policy should prioritise prosperity for citizens rather than political division.</w:t>
      </w:r>
    </w:p>
    <w:p w:rsidR="004C5F45" w:rsidRPr="008C4C42">
      <w:pPr>
        <w:pStyle w:val="Heading1"/>
        <w:keepNext w:val="0"/>
        <w:keepLines w:val="0"/>
        <w:spacing w:before="480"/>
        <w:rPr>
          <w:rFonts w:ascii="Verdana" w:hAnsi="Verdana"/>
          <w:b/>
          <w:bCs/>
          <w:sz w:val="22"/>
          <w:szCs w:val="22"/>
        </w:rPr>
      </w:pPr>
      <w:bookmarkStart w:id="15" w:name="_f55l76ym66r9" w:colFirst="0" w:colLast="0"/>
      <w:bookmarkEnd w:id="15"/>
      <w:r w:rsidRPr="008C4C42">
        <w:rPr>
          <w:rFonts w:ascii="Verdana" w:hAnsi="Verdana"/>
          <w:b/>
          <w:bCs/>
          <w:sz w:val="22"/>
          <w:szCs w:val="22"/>
        </w:rPr>
        <w:t>8. Evidence and Research Context</w:t>
      </w:r>
    </w:p>
    <w:p w:rsidR="004C5F45" w:rsidRPr="008C4C42">
      <w:pPr>
        <w:pStyle w:val="Heading2"/>
        <w:keepNext w:val="0"/>
        <w:keepLines w:val="0"/>
        <w:spacing w:after="80"/>
        <w:jc w:val="center"/>
        <w:rPr>
          <w:rFonts w:ascii="Verdana" w:hAnsi="Verdana"/>
          <w:b/>
          <w:bCs/>
          <w:sz w:val="22"/>
          <w:szCs w:val="22"/>
          <w:u w:val="single"/>
        </w:rPr>
      </w:pPr>
      <w:bookmarkStart w:id="16" w:name="_h06hbkml4u99" w:colFirst="0" w:colLast="0"/>
      <w:bookmarkEnd w:id="16"/>
      <w:r w:rsidRPr="008C4C42">
        <w:rPr>
          <w:rFonts w:ascii="Verdana" w:hAnsi="Verdana"/>
          <w:b/>
          <w:bCs/>
          <w:sz w:val="22"/>
          <w:szCs w:val="22"/>
          <w:u w:val="single"/>
        </w:rPr>
        <w:t>Historical Evidence</w:t>
      </w:r>
    </w:p>
    <w:p w:rsidR="004C5F45" w:rsidRPr="008C4C42">
      <w:pPr>
        <w:spacing w:before="240" w:after="240" w:line="240" w:lineRule="auto"/>
        <w:rPr>
          <w:rFonts w:ascii="Verdana" w:hAnsi="Verdana"/>
        </w:rPr>
      </w:pPr>
      <w:r w:rsidRPr="008C4C42">
        <w:rPr>
          <w:rFonts w:ascii="Verdana" w:hAnsi="Verdana"/>
        </w:rPr>
        <w:t>The Good Friday Agreement demonstrated that:</w:t>
      </w:r>
    </w:p>
    <w:p w:rsidR="004C5F45" w:rsidRPr="008C4C42">
      <w:pPr>
        <w:numPr>
          <w:ilvl w:val="0"/>
          <w:numId w:val="1"/>
        </w:numPr>
        <w:spacing w:before="240" w:line="240" w:lineRule="auto"/>
        <w:rPr>
          <w:rFonts w:ascii="Verdana" w:hAnsi="Verdana"/>
        </w:rPr>
      </w:pPr>
      <w:r w:rsidRPr="008C4C42">
        <w:rPr>
          <w:rFonts w:ascii="Verdana" w:hAnsi="Verdana"/>
        </w:rPr>
        <w:t>Inclusive political structures reduce conflict.</w:t>
      </w:r>
    </w:p>
    <w:p w:rsidR="004C5F45" w:rsidRPr="008C4C42">
      <w:pPr>
        <w:numPr>
          <w:ilvl w:val="0"/>
          <w:numId w:val="1"/>
        </w:numPr>
        <w:spacing w:line="240" w:lineRule="auto"/>
        <w:rPr>
          <w:rFonts w:ascii="Verdana" w:hAnsi="Verdana"/>
        </w:rPr>
      </w:pPr>
      <w:r w:rsidRPr="008C4C42">
        <w:rPr>
          <w:rFonts w:ascii="Verdana" w:hAnsi="Verdana"/>
        </w:rPr>
        <w:t>Human rights protections strengthen trust.</w:t>
      </w:r>
    </w:p>
    <w:p w:rsidR="004C5F45" w:rsidRPr="008C4C42">
      <w:pPr>
        <w:numPr>
          <w:ilvl w:val="0"/>
          <w:numId w:val="1"/>
        </w:numPr>
        <w:spacing w:after="240" w:line="240" w:lineRule="auto"/>
        <w:rPr>
          <w:rFonts w:ascii="Verdana" w:hAnsi="Verdana"/>
        </w:rPr>
      </w:pPr>
      <w:r w:rsidRPr="008C4C42">
        <w:rPr>
          <w:rFonts w:ascii="Verdana" w:hAnsi="Verdana"/>
        </w:rPr>
        <w:t>Cooperation supports peace.</w:t>
      </w:r>
    </w:p>
    <w:p w:rsidR="004C5F45" w:rsidRPr="008C4C42">
      <w:pPr>
        <w:pStyle w:val="Heading2"/>
        <w:keepNext w:val="0"/>
        <w:keepLines w:val="0"/>
        <w:spacing w:after="80"/>
        <w:jc w:val="center"/>
        <w:rPr>
          <w:rFonts w:ascii="Verdana" w:hAnsi="Verdana"/>
          <w:b/>
          <w:bCs/>
          <w:sz w:val="22"/>
          <w:szCs w:val="22"/>
          <w:u w:val="single"/>
        </w:rPr>
      </w:pPr>
      <w:bookmarkStart w:id="17" w:name="_2caonvhjyfyf" w:colFirst="0" w:colLast="0"/>
      <w:bookmarkEnd w:id="17"/>
      <w:r w:rsidRPr="008C4C42">
        <w:rPr>
          <w:rFonts w:ascii="Verdana" w:hAnsi="Verdana"/>
          <w:b/>
          <w:bCs/>
          <w:sz w:val="22"/>
          <w:szCs w:val="22"/>
          <w:u w:val="single"/>
        </w:rPr>
        <w:t>Academic and Expert Perspectives</w:t>
      </w:r>
    </w:p>
    <w:p w:rsidR="004C5F45" w:rsidRPr="008C4C42">
      <w:pPr>
        <w:spacing w:before="240" w:after="240" w:line="240" w:lineRule="auto"/>
        <w:rPr>
          <w:rFonts w:ascii="Verdana" w:hAnsi="Verdana"/>
        </w:rPr>
      </w:pPr>
      <w:r w:rsidRPr="008C4C42">
        <w:rPr>
          <w:rFonts w:ascii="Verdana" w:hAnsi="Verdana"/>
        </w:rPr>
        <w:t>Conflict resolution research consistently identifies:</w:t>
      </w:r>
    </w:p>
    <w:p w:rsidR="004C5F45" w:rsidRPr="008C4C42">
      <w:pPr>
        <w:numPr>
          <w:ilvl w:val="0"/>
          <w:numId w:val="15"/>
        </w:numPr>
        <w:spacing w:before="240" w:line="240" w:lineRule="auto"/>
        <w:rPr>
          <w:rFonts w:ascii="Verdana" w:hAnsi="Verdana"/>
        </w:rPr>
      </w:pPr>
      <w:r w:rsidRPr="008C4C42">
        <w:rPr>
          <w:rFonts w:ascii="Verdana" w:hAnsi="Verdana"/>
        </w:rPr>
        <w:t>Inclusive governance.</w:t>
      </w:r>
    </w:p>
    <w:p w:rsidR="004C5F45" w:rsidRPr="008C4C42">
      <w:pPr>
        <w:numPr>
          <w:ilvl w:val="0"/>
          <w:numId w:val="15"/>
        </w:numPr>
        <w:spacing w:line="240" w:lineRule="auto"/>
        <w:rPr>
          <w:rFonts w:ascii="Verdana" w:hAnsi="Verdana"/>
        </w:rPr>
      </w:pPr>
      <w:r w:rsidRPr="008C4C42">
        <w:rPr>
          <w:rFonts w:ascii="Verdana" w:hAnsi="Verdana"/>
        </w:rPr>
        <w:t>Economic opportunity.</w:t>
      </w:r>
    </w:p>
    <w:p w:rsidR="004C5F45" w:rsidRPr="008C4C42">
      <w:pPr>
        <w:numPr>
          <w:ilvl w:val="0"/>
          <w:numId w:val="15"/>
        </w:numPr>
        <w:spacing w:line="240" w:lineRule="auto"/>
        <w:rPr>
          <w:rFonts w:ascii="Verdana" w:hAnsi="Verdana"/>
        </w:rPr>
      </w:pPr>
      <w:r w:rsidRPr="008C4C42">
        <w:rPr>
          <w:rFonts w:ascii="Verdana" w:hAnsi="Verdana"/>
        </w:rPr>
        <w:t>Community participation.</w:t>
      </w:r>
    </w:p>
    <w:p w:rsidR="004C5F45" w:rsidRPr="008C4C42">
      <w:pPr>
        <w:numPr>
          <w:ilvl w:val="0"/>
          <w:numId w:val="15"/>
        </w:numPr>
        <w:spacing w:after="240" w:line="240" w:lineRule="auto"/>
        <w:rPr>
          <w:rFonts w:ascii="Verdana" w:hAnsi="Verdana"/>
        </w:rPr>
      </w:pPr>
      <w:r w:rsidRPr="008C4C42">
        <w:rPr>
          <w:rFonts w:ascii="Verdana" w:hAnsi="Verdana"/>
        </w:rPr>
        <w:t>Rule of law.</w:t>
      </w:r>
    </w:p>
    <w:p w:rsidR="004C5F45" w:rsidRPr="008C4C42">
      <w:pPr>
        <w:spacing w:before="240" w:after="240" w:line="240" w:lineRule="auto"/>
        <w:rPr>
          <w:rFonts w:ascii="Verdana" w:hAnsi="Verdana"/>
        </w:rPr>
      </w:pPr>
      <w:r w:rsidRPr="008C4C42">
        <w:rPr>
          <w:rFonts w:ascii="Verdana" w:hAnsi="Verdana"/>
        </w:rPr>
        <w:t>As important factors in sustaining peace agreements. Researchers studying Brexit and Northern Ireland have highlighted the complexity of maintaining an open border on the island of Ireland while respecting the UK's withdrawal from EU structures.</w:t>
      </w:r>
    </w:p>
    <w:p w:rsidR="004C5F45" w:rsidRPr="008C4C42">
      <w:pPr>
        <w:pStyle w:val="Heading1"/>
        <w:keepNext w:val="0"/>
        <w:keepLines w:val="0"/>
        <w:spacing w:before="480"/>
        <w:rPr>
          <w:rFonts w:ascii="Verdana" w:hAnsi="Verdana"/>
          <w:b/>
          <w:bCs/>
          <w:sz w:val="22"/>
          <w:szCs w:val="22"/>
        </w:rPr>
      </w:pPr>
      <w:bookmarkStart w:id="18" w:name="_j07mv1jfcd2z" w:colFirst="0" w:colLast="0"/>
      <w:bookmarkStart w:id="19" w:name="_7ed1yki4jjod" w:colFirst="0" w:colLast="0"/>
      <w:bookmarkEnd w:id="18"/>
      <w:bookmarkEnd w:id="19"/>
      <w:r w:rsidRPr="008C4C42">
        <w:rPr>
          <w:rFonts w:ascii="Verdana" w:hAnsi="Verdana"/>
          <w:b/>
          <w:bCs/>
          <w:sz w:val="22"/>
          <w:szCs w:val="22"/>
        </w:rPr>
        <w:t>9. Policy Recommendations</w:t>
      </w:r>
    </w:p>
    <w:p w:rsidR="004C5F45" w:rsidRPr="008C4C42">
      <w:pPr>
        <w:pStyle w:val="Heading2"/>
        <w:keepNext w:val="0"/>
        <w:keepLines w:val="0"/>
        <w:spacing w:after="80"/>
        <w:rPr>
          <w:rFonts w:ascii="Verdana" w:hAnsi="Verdana"/>
          <w:b/>
          <w:bCs/>
          <w:sz w:val="22"/>
          <w:szCs w:val="22"/>
        </w:rPr>
      </w:pPr>
      <w:bookmarkStart w:id="20" w:name="_i2i5efxd6yqq" w:colFirst="0" w:colLast="0"/>
      <w:bookmarkEnd w:id="20"/>
      <w:r w:rsidRPr="008C4C42">
        <w:rPr>
          <w:rFonts w:ascii="Verdana" w:hAnsi="Verdana"/>
          <w:b/>
          <w:bCs/>
          <w:sz w:val="22"/>
          <w:szCs w:val="22"/>
        </w:rPr>
        <w:t>Recommendation 1:</w:t>
      </w:r>
    </w:p>
    <w:p w:rsidR="004C5F45" w:rsidRPr="008C4C42">
      <w:pPr>
        <w:spacing w:before="240" w:after="240" w:line="240" w:lineRule="auto"/>
        <w:rPr>
          <w:rFonts w:ascii="Verdana" w:hAnsi="Verdana"/>
        </w:rPr>
      </w:pPr>
      <w:r w:rsidRPr="008C4C42">
        <w:rPr>
          <w:rFonts w:ascii="Verdana" w:hAnsi="Verdana"/>
        </w:rPr>
        <w:t>Establish an independent annual review of Article 2 implementation, including community impact assessments.</w:t>
      </w:r>
    </w:p>
    <w:p w:rsidR="004C5F45" w:rsidRPr="008C4C42">
      <w:pPr>
        <w:pStyle w:val="Heading2"/>
        <w:keepNext w:val="0"/>
        <w:keepLines w:val="0"/>
        <w:spacing w:after="80"/>
        <w:rPr>
          <w:rFonts w:ascii="Verdana" w:hAnsi="Verdana"/>
          <w:b/>
          <w:bCs/>
          <w:sz w:val="22"/>
          <w:szCs w:val="22"/>
        </w:rPr>
      </w:pPr>
      <w:bookmarkStart w:id="21" w:name="_eb61z4lzsr39" w:colFirst="0" w:colLast="0"/>
      <w:bookmarkEnd w:id="21"/>
      <w:r w:rsidRPr="008C4C42">
        <w:rPr>
          <w:rFonts w:ascii="Verdana" w:hAnsi="Verdana"/>
          <w:b/>
          <w:bCs/>
          <w:sz w:val="22"/>
          <w:szCs w:val="22"/>
        </w:rPr>
        <w:t>Recommendation 2:</w:t>
      </w:r>
    </w:p>
    <w:p w:rsidR="004C5F45" w:rsidRPr="008C4C42">
      <w:pPr>
        <w:spacing w:before="240" w:after="240" w:line="240" w:lineRule="auto"/>
        <w:rPr>
          <w:rFonts w:ascii="Verdana" w:hAnsi="Verdana"/>
        </w:rPr>
      </w:pPr>
      <w:r w:rsidRPr="008C4C42">
        <w:rPr>
          <w:rFonts w:ascii="Verdana" w:hAnsi="Verdana"/>
        </w:rPr>
        <w:t>Strengthen democratic scrutiny of Windsor Framework arrangements through Parliament and Northern Ireland institutions.</w:t>
      </w:r>
    </w:p>
    <w:p w:rsidR="004C5F45" w:rsidRPr="008C4C42">
      <w:pPr>
        <w:pStyle w:val="Heading2"/>
        <w:keepNext w:val="0"/>
        <w:keepLines w:val="0"/>
        <w:spacing w:after="80"/>
        <w:rPr>
          <w:rFonts w:ascii="Verdana" w:hAnsi="Verdana"/>
          <w:b/>
          <w:bCs/>
          <w:sz w:val="22"/>
          <w:szCs w:val="22"/>
        </w:rPr>
      </w:pPr>
      <w:bookmarkStart w:id="22" w:name="_ujah2j4q6a5g" w:colFirst="0" w:colLast="0"/>
      <w:bookmarkEnd w:id="22"/>
      <w:r w:rsidRPr="008C4C42">
        <w:rPr>
          <w:rFonts w:ascii="Verdana" w:hAnsi="Verdana"/>
          <w:b/>
          <w:bCs/>
          <w:sz w:val="22"/>
          <w:szCs w:val="22"/>
        </w:rPr>
        <w:t>Recommendation 3:</w:t>
      </w:r>
    </w:p>
    <w:p w:rsidR="004C5F45" w:rsidRPr="008C4C42">
      <w:pPr>
        <w:spacing w:before="240" w:after="240" w:line="240" w:lineRule="auto"/>
        <w:rPr>
          <w:rFonts w:ascii="Verdana" w:hAnsi="Verdana"/>
        </w:rPr>
      </w:pPr>
      <w:r w:rsidRPr="008C4C42">
        <w:rPr>
          <w:rFonts w:ascii="Verdana" w:hAnsi="Verdana"/>
        </w:rPr>
        <w:t>Create a renewed UK–Ireland cooperation strategy focused on economic growth, peace and shared challenges.</w:t>
      </w:r>
    </w:p>
    <w:p w:rsidR="004C5F45" w:rsidRPr="008C4C42">
      <w:pPr>
        <w:pStyle w:val="Heading2"/>
        <w:keepNext w:val="0"/>
        <w:keepLines w:val="0"/>
        <w:spacing w:after="80"/>
        <w:rPr>
          <w:rFonts w:ascii="Verdana" w:hAnsi="Verdana"/>
          <w:b/>
          <w:bCs/>
          <w:sz w:val="22"/>
          <w:szCs w:val="22"/>
        </w:rPr>
      </w:pPr>
      <w:bookmarkStart w:id="23" w:name="_1tkfefqhoc4r" w:colFirst="0" w:colLast="0"/>
      <w:bookmarkEnd w:id="23"/>
      <w:r w:rsidRPr="008C4C42">
        <w:rPr>
          <w:rFonts w:ascii="Verdana" w:hAnsi="Verdana"/>
          <w:b/>
          <w:bCs/>
          <w:sz w:val="22"/>
          <w:szCs w:val="22"/>
        </w:rPr>
        <w:t>Recommendation 4:</w:t>
      </w:r>
    </w:p>
    <w:p w:rsidR="004C5F45" w:rsidRPr="008C4C42">
      <w:pPr>
        <w:spacing w:before="240" w:after="240" w:line="240" w:lineRule="auto"/>
        <w:rPr>
          <w:rFonts w:ascii="Verdana" w:hAnsi="Verdana"/>
        </w:rPr>
      </w:pPr>
      <w:r w:rsidRPr="008C4C42">
        <w:rPr>
          <w:rFonts w:ascii="Verdana" w:hAnsi="Verdana"/>
        </w:rPr>
        <w:t>Ensure international agreements involving public policy areas include transparent parliamentary oversight.</w:t>
      </w:r>
    </w:p>
    <w:p w:rsidR="004C5F45" w:rsidRPr="008C4C42">
      <w:pPr>
        <w:pStyle w:val="Heading2"/>
        <w:keepNext w:val="0"/>
        <w:keepLines w:val="0"/>
        <w:spacing w:after="80"/>
        <w:rPr>
          <w:rFonts w:ascii="Verdana" w:hAnsi="Verdana"/>
          <w:b/>
          <w:bCs/>
          <w:sz w:val="22"/>
          <w:szCs w:val="22"/>
        </w:rPr>
      </w:pPr>
      <w:bookmarkStart w:id="24" w:name="_ra1lnknkb4gv" w:colFirst="0" w:colLast="0"/>
      <w:bookmarkEnd w:id="24"/>
      <w:r w:rsidRPr="008C4C42">
        <w:rPr>
          <w:rFonts w:ascii="Verdana" w:hAnsi="Verdana"/>
          <w:b/>
          <w:bCs/>
          <w:sz w:val="22"/>
          <w:szCs w:val="22"/>
        </w:rPr>
        <w:t>Recommendation 5:</w:t>
      </w:r>
    </w:p>
    <w:p w:rsidR="004C5F45" w:rsidRPr="008C4C42">
      <w:pPr>
        <w:spacing w:before="240" w:after="240" w:line="240" w:lineRule="auto"/>
        <w:rPr>
          <w:rFonts w:ascii="Verdana" w:hAnsi="Verdana"/>
        </w:rPr>
      </w:pPr>
      <w:r w:rsidRPr="008C4C42">
        <w:rPr>
          <w:rFonts w:ascii="Verdana" w:hAnsi="Verdana"/>
        </w:rPr>
        <w:t>Develop stronger protections for citizens affected by constitutional and regulatory changes.</w:t>
      </w:r>
    </w:p>
    <w:p w:rsidR="004C5F45" w:rsidRPr="008C4C42">
      <w:pPr>
        <w:pStyle w:val="Heading2"/>
        <w:keepNext w:val="0"/>
        <w:keepLines w:val="0"/>
        <w:spacing w:after="80"/>
        <w:rPr>
          <w:rFonts w:ascii="Verdana" w:hAnsi="Verdana"/>
          <w:b/>
          <w:bCs/>
          <w:sz w:val="22"/>
          <w:szCs w:val="22"/>
        </w:rPr>
      </w:pPr>
      <w:bookmarkStart w:id="25" w:name="_a1fqsjewi0lu" w:colFirst="0" w:colLast="0"/>
      <w:bookmarkEnd w:id="25"/>
      <w:r w:rsidRPr="008C4C42">
        <w:rPr>
          <w:rFonts w:ascii="Verdana" w:hAnsi="Verdana"/>
          <w:b/>
          <w:bCs/>
          <w:sz w:val="22"/>
          <w:szCs w:val="22"/>
        </w:rPr>
        <w:t>Recommendation 6:</w:t>
      </w:r>
    </w:p>
    <w:p w:rsidR="004C5F45" w:rsidRPr="008C4C42">
      <w:pPr>
        <w:spacing w:before="240" w:after="240" w:line="240" w:lineRule="auto"/>
        <w:rPr>
          <w:rFonts w:ascii="Verdana" w:hAnsi="Verdana"/>
        </w:rPr>
      </w:pPr>
      <w:r w:rsidRPr="008C4C42">
        <w:rPr>
          <w:rFonts w:ascii="Verdana" w:hAnsi="Verdana"/>
        </w:rPr>
        <w:t>Promote a sovereignty model based on democracy, human rights and responsible international engagement.</w:t>
      </w:r>
    </w:p>
    <w:p w:rsidR="004C5F45" w:rsidRPr="008C4C42">
      <w:pPr>
        <w:pStyle w:val="Heading2"/>
        <w:keepNext w:val="0"/>
        <w:keepLines w:val="0"/>
        <w:spacing w:after="80"/>
        <w:rPr>
          <w:rFonts w:ascii="Verdana" w:hAnsi="Verdana"/>
          <w:b/>
          <w:bCs/>
          <w:sz w:val="22"/>
          <w:szCs w:val="22"/>
        </w:rPr>
      </w:pPr>
      <w:bookmarkStart w:id="26" w:name="_ctrbyw4d8z4o" w:colFirst="0" w:colLast="0"/>
      <w:bookmarkEnd w:id="26"/>
      <w:r w:rsidRPr="008C4C42">
        <w:rPr>
          <w:rFonts w:ascii="Verdana" w:hAnsi="Verdana"/>
          <w:b/>
          <w:bCs/>
          <w:sz w:val="22"/>
          <w:szCs w:val="22"/>
        </w:rPr>
        <w:t>Recommendation 7:</w:t>
      </w:r>
    </w:p>
    <w:p w:rsidR="004C5F45" w:rsidRPr="008C4C42">
      <w:pPr>
        <w:spacing w:before="240" w:after="240" w:line="240" w:lineRule="auto"/>
        <w:rPr>
          <w:rFonts w:ascii="Verdana" w:hAnsi="Verdana"/>
        </w:rPr>
      </w:pPr>
      <w:r w:rsidRPr="008C4C42">
        <w:rPr>
          <w:rFonts w:ascii="Verdana" w:hAnsi="Verdana"/>
        </w:rPr>
        <w:t>Maintain the principles of the Good Friday Agreement while allowing future generations to shape peaceful democratic relationships.</w:t>
      </w:r>
    </w:p>
    <w:p w:rsidR="004C5F45" w:rsidRPr="008C4C42">
      <w:pPr>
        <w:pStyle w:val="Heading1"/>
        <w:keepNext w:val="0"/>
        <w:keepLines w:val="0"/>
        <w:spacing w:before="480"/>
        <w:jc w:val="center"/>
        <w:rPr>
          <w:rFonts w:ascii="Verdana" w:hAnsi="Verdana"/>
          <w:b/>
          <w:bCs/>
          <w:sz w:val="22"/>
          <w:szCs w:val="22"/>
          <w:u w:val="single"/>
        </w:rPr>
      </w:pPr>
      <w:bookmarkStart w:id="27" w:name="_5d0b9rnv76rj" w:colFirst="0" w:colLast="0"/>
      <w:bookmarkEnd w:id="27"/>
      <w:r w:rsidRPr="008C4C42">
        <w:rPr>
          <w:rFonts w:ascii="Verdana" w:hAnsi="Verdana"/>
          <w:b/>
          <w:bCs/>
          <w:sz w:val="22"/>
          <w:szCs w:val="22"/>
          <w:u w:val="single"/>
        </w:rPr>
        <w:t>Conclusion</w:t>
      </w:r>
    </w:p>
    <w:p w:rsidR="004C5F45" w:rsidRPr="008C4C42">
      <w:pPr>
        <w:spacing w:before="240" w:after="240" w:line="240" w:lineRule="auto"/>
        <w:rPr>
          <w:rFonts w:ascii="Verdana" w:hAnsi="Verdana"/>
        </w:rPr>
      </w:pPr>
      <w:r w:rsidRPr="008C4C42">
        <w:rPr>
          <w:rFonts w:ascii="Verdana" w:hAnsi="Verdana"/>
        </w:rPr>
        <w:t>The future stability of Ireland and the United Kingdom depends upon balancing sovereignty, cooperation, human rights and democratic accountability.</w:t>
      </w:r>
    </w:p>
    <w:p w:rsidR="004C5F45" w:rsidRPr="008C4C42">
      <w:pPr>
        <w:spacing w:before="240" w:after="240" w:line="240" w:lineRule="auto"/>
        <w:rPr>
          <w:rFonts w:ascii="Verdana" w:hAnsi="Verdana"/>
        </w:rPr>
      </w:pPr>
      <w:r w:rsidRPr="008C4C42">
        <w:rPr>
          <w:rFonts w:ascii="Verdana" w:hAnsi="Verdana"/>
        </w:rPr>
        <w:t>Article 2 of the Windsor Framework should remain focused on protecting rights and maintaining confidence among communities.</w:t>
      </w:r>
    </w:p>
    <w:p w:rsidR="004C5F45" w:rsidRPr="008C4C42">
      <w:pPr>
        <w:spacing w:before="240" w:after="240" w:line="240" w:lineRule="auto"/>
        <w:rPr>
          <w:rFonts w:ascii="Verdana" w:hAnsi="Verdana"/>
        </w:rPr>
      </w:pPr>
      <w:r w:rsidRPr="008C4C42">
        <w:rPr>
          <w:rFonts w:ascii="Verdana" w:hAnsi="Verdana"/>
        </w:rPr>
        <w:t>The lessons of history demonstrate that lasting solutions are built through dialogue, respect and shared responsibility.</w:t>
      </w:r>
    </w:p>
    <w:p w:rsidR="004C5F45" w:rsidRPr="008C4C42">
      <w:pPr>
        <w:spacing w:before="240" w:after="240" w:line="240" w:lineRule="auto"/>
        <w:rPr>
          <w:rFonts w:ascii="Verdana" w:hAnsi="Verdana"/>
        </w:rPr>
      </w:pPr>
      <w:r w:rsidRPr="008C4C42">
        <w:rPr>
          <w:rFonts w:ascii="Verdana" w:hAnsi="Verdana"/>
        </w:rPr>
        <w:t>A stronger United Kingdom and a stable Ireland require policies that protect citizens, strengthen democracy and promote peaceful cooperation.</w:t>
      </w:r>
    </w:p>
    <w:p w:rsidR="004C5F45" w:rsidRPr="008C4C42">
      <w:pPr>
        <w:spacing w:before="240" w:after="240" w:line="240" w:lineRule="auto"/>
        <w:rPr>
          <w:rFonts w:ascii="Verdana" w:hAnsi="Verdana"/>
        </w:rPr>
      </w:pPr>
      <w:r w:rsidRPr="008C4C42">
        <w:rPr>
          <w:rFonts w:ascii="Verdana" w:hAnsi="Verdana"/>
        </w:rPr>
        <w:t>The objective should be a future based on justice, prosperity, human dignity and mutual respect.</w:t>
      </w:r>
    </w:p>
    <w:p w:rsidR="004C5F45" w:rsidRPr="008C4C42">
      <w:pPr>
        <w:pStyle w:val="Heading1"/>
        <w:keepNext w:val="0"/>
        <w:keepLines w:val="0"/>
        <w:spacing w:before="480"/>
        <w:rPr>
          <w:rFonts w:ascii="Verdana" w:hAnsi="Verdana"/>
          <w:b/>
          <w:bCs/>
          <w:sz w:val="22"/>
          <w:szCs w:val="22"/>
        </w:rPr>
      </w:pPr>
      <w:bookmarkStart w:id="28" w:name="_hkxpl2gn3pan" w:colFirst="0" w:colLast="0"/>
      <w:bookmarkEnd w:id="28"/>
      <w:r w:rsidRPr="008C4C42">
        <w:rPr>
          <w:rFonts w:ascii="Verdana" w:hAnsi="Verdana"/>
          <w:b/>
          <w:bCs/>
          <w:sz w:val="22"/>
          <w:szCs w:val="22"/>
        </w:rPr>
        <w:t>Selected References and Evidence Sources</w:t>
      </w:r>
    </w:p>
    <w:p w:rsidR="004C5F45" w:rsidRPr="008C4C42">
      <w:pPr>
        <w:numPr>
          <w:ilvl w:val="0"/>
          <w:numId w:val="7"/>
        </w:numPr>
        <w:spacing w:before="240" w:line="240" w:lineRule="auto"/>
        <w:rPr>
          <w:rFonts w:ascii="Verdana" w:hAnsi="Verdana"/>
        </w:rPr>
      </w:pPr>
      <w:r w:rsidRPr="008C4C42">
        <w:rPr>
          <w:rFonts w:ascii="Verdana" w:hAnsi="Verdana"/>
        </w:rPr>
        <w:t>Belfast/Good Friday Agreement (1998) – UK Government and Irish Government.</w:t>
      </w:r>
    </w:p>
    <w:p w:rsidR="004C5F45" w:rsidRPr="008C4C42">
      <w:pPr>
        <w:numPr>
          <w:ilvl w:val="0"/>
          <w:numId w:val="7"/>
        </w:numPr>
        <w:spacing w:line="240" w:lineRule="auto"/>
        <w:rPr>
          <w:rFonts w:ascii="Verdana" w:hAnsi="Verdana"/>
        </w:rPr>
      </w:pPr>
      <w:r w:rsidRPr="008C4C42">
        <w:rPr>
          <w:rFonts w:ascii="Verdana" w:hAnsi="Verdana"/>
        </w:rPr>
        <w:t>Windsor Framework (2023) – UK Government and European Commission.</w:t>
      </w:r>
    </w:p>
    <w:p w:rsidR="004C5F45" w:rsidRPr="008C4C42">
      <w:pPr>
        <w:numPr>
          <w:ilvl w:val="0"/>
          <w:numId w:val="7"/>
        </w:numPr>
        <w:spacing w:line="240" w:lineRule="auto"/>
        <w:rPr>
          <w:rFonts w:ascii="Verdana" w:hAnsi="Verdana"/>
        </w:rPr>
      </w:pPr>
      <w:r w:rsidRPr="008C4C42">
        <w:rPr>
          <w:rFonts w:ascii="Verdana" w:hAnsi="Verdana"/>
        </w:rPr>
        <w:t>Northern Ireland Human Rights Commission reports.</w:t>
      </w:r>
    </w:p>
    <w:p w:rsidR="004C5F45" w:rsidRPr="008C4C42">
      <w:pPr>
        <w:numPr>
          <w:ilvl w:val="0"/>
          <w:numId w:val="7"/>
        </w:numPr>
        <w:spacing w:line="240" w:lineRule="auto"/>
        <w:rPr>
          <w:rFonts w:ascii="Verdana" w:hAnsi="Verdana"/>
        </w:rPr>
      </w:pPr>
      <w:r w:rsidRPr="008C4C42">
        <w:rPr>
          <w:rFonts w:ascii="Verdana" w:hAnsi="Verdana"/>
        </w:rPr>
        <w:t>Equality Commission for Northern Ireland publications.</w:t>
      </w:r>
    </w:p>
    <w:p w:rsidR="004C5F45" w:rsidRPr="008C4C42">
      <w:pPr>
        <w:numPr>
          <w:ilvl w:val="0"/>
          <w:numId w:val="7"/>
        </w:numPr>
        <w:spacing w:line="240" w:lineRule="auto"/>
        <w:rPr>
          <w:rFonts w:ascii="Verdana" w:hAnsi="Verdana"/>
        </w:rPr>
      </w:pPr>
      <w:r w:rsidRPr="008C4C42">
        <w:rPr>
          <w:rFonts w:ascii="Verdana" w:hAnsi="Verdana"/>
        </w:rPr>
        <w:t>United Nations Charter.</w:t>
      </w:r>
    </w:p>
    <w:p w:rsidR="004C5F45" w:rsidRPr="008C4C42">
      <w:pPr>
        <w:numPr>
          <w:ilvl w:val="0"/>
          <w:numId w:val="7"/>
        </w:numPr>
        <w:spacing w:line="240" w:lineRule="auto"/>
        <w:rPr>
          <w:rFonts w:ascii="Verdana" w:hAnsi="Verdana"/>
        </w:rPr>
      </w:pPr>
      <w:r w:rsidRPr="008C4C42">
        <w:rPr>
          <w:rFonts w:ascii="Verdana" w:hAnsi="Verdana"/>
        </w:rPr>
        <w:t>Commonwealth Charter.</w:t>
      </w:r>
    </w:p>
    <w:p w:rsidR="004C5F45" w:rsidRPr="008C4C42">
      <w:pPr>
        <w:numPr>
          <w:ilvl w:val="0"/>
          <w:numId w:val="7"/>
        </w:numPr>
        <w:spacing w:line="240" w:lineRule="auto"/>
        <w:rPr>
          <w:rFonts w:ascii="Verdana" w:hAnsi="Verdana"/>
        </w:rPr>
      </w:pPr>
      <w:r w:rsidRPr="008C4C42">
        <w:rPr>
          <w:rFonts w:ascii="Verdana" w:hAnsi="Verdana"/>
        </w:rPr>
        <w:t>UK Parliament research briefings on Northern Ireland Protocol/Windsor Framework.</w:t>
      </w:r>
    </w:p>
    <w:p w:rsidR="004C5F45" w:rsidRPr="008C4C42">
      <w:pPr>
        <w:numPr>
          <w:ilvl w:val="0"/>
          <w:numId w:val="7"/>
        </w:numPr>
        <w:spacing w:line="240" w:lineRule="auto"/>
        <w:rPr>
          <w:rFonts w:ascii="Verdana" w:hAnsi="Verdana"/>
        </w:rPr>
      </w:pPr>
      <w:r w:rsidRPr="008C4C42">
        <w:rPr>
          <w:rFonts w:ascii="Verdana" w:hAnsi="Verdana"/>
        </w:rPr>
        <w:t>Academic research on Brexit, Northern Ireland governance and peace agreements.</w:t>
      </w:r>
    </w:p>
    <w:p w:rsidR="004C5F45" w:rsidRPr="008C4C42">
      <w:pPr>
        <w:numPr>
          <w:ilvl w:val="0"/>
          <w:numId w:val="7"/>
        </w:numPr>
        <w:spacing w:line="240" w:lineRule="auto"/>
        <w:rPr>
          <w:rFonts w:ascii="Verdana" w:hAnsi="Verdana"/>
        </w:rPr>
      </w:pPr>
      <w:r w:rsidRPr="008C4C42">
        <w:rPr>
          <w:rFonts w:ascii="Verdana" w:hAnsi="Verdana"/>
        </w:rPr>
        <w:t>Economic research relating to post-Brexit trade arrangements.</w:t>
      </w:r>
    </w:p>
    <w:p w:rsidR="004C5F45" w:rsidRPr="008C4C42">
      <w:pPr>
        <w:numPr>
          <w:ilvl w:val="0"/>
          <w:numId w:val="7"/>
        </w:numPr>
        <w:spacing w:after="240" w:line="240" w:lineRule="auto"/>
        <w:rPr>
          <w:rFonts w:ascii="Verdana" w:hAnsi="Verdana"/>
        </w:rPr>
      </w:pPr>
      <w:r w:rsidRPr="008C4C42">
        <w:rPr>
          <w:rFonts w:ascii="Verdana" w:hAnsi="Verdana"/>
        </w:rPr>
        <w:t>Ireland, the EU Settlement and the Politics of Stability: A Moment for Honest Global Debate, https://www.patreon.com/posts/160709945 (GCBR and TCSL Campaign Newsblog, 2026).</w:t>
      </w:r>
    </w:p>
    <w:p w:rsidR="004C5F45" w:rsidRPr="008C4C42">
      <w:pPr>
        <w:rPr>
          <w:rFonts w:ascii="Verdana" w:hAnsi="Verdana"/>
        </w:rPr>
      </w:pPr>
    </w:p>
    <w:p w:rsidR="004C5F45" w:rsidRPr="008C4C42">
      <w:pPr>
        <w:spacing w:before="240" w:after="240" w:line="240" w:lineRule="auto"/>
        <w:jc w:val="center"/>
        <w:rPr>
          <w:rFonts w:ascii="Verdana" w:hAnsi="Verdana"/>
          <w:b/>
          <w:bCs/>
        </w:rPr>
      </w:pPr>
      <w:r w:rsidRPr="008C4C42">
        <w:rPr>
          <w:rFonts w:ascii="Verdana" w:hAnsi="Verdana"/>
          <w:b/>
          <w:bCs/>
        </w:rPr>
        <w:t>End of Submission</w:t>
      </w:r>
    </w:p>
    <w:p w:rsidR="004C5F45" w:rsidRPr="008C4C42">
      <w:pPr>
        <w:rPr>
          <w:rFonts w:ascii="Verdana" w:hAnsi="Verdana"/>
          <w:b/>
          <w:bCs/>
          <w:i/>
          <w:iCs/>
        </w:rPr>
      </w:pPr>
      <w:r w:rsidRPr="008C4C42">
        <w:rPr>
          <w:rFonts w:ascii="Verdana" w:hAnsi="Verdana"/>
          <w:b/>
          <w:bCs/>
        </w:rPr>
        <w:t xml:space="preserve"> </w:t>
      </w:r>
      <w:r w:rsidRPr="008C4C42">
        <w:rPr>
          <w:rFonts w:ascii="Verdana" w:hAnsi="Verdana"/>
          <w:b/>
          <w:bCs/>
          <w:i/>
          <w:iCs/>
        </w:rPr>
        <w:t>3 July 2026</w:t>
      </w:r>
    </w:p>
    <w:sectPr>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25679000-C714-44F4-8F10-6A4F86F42226}"/>
    <w:embedBold r:id="rId2" w:fontKey="{B3D9712A-5898-4665-BB18-53537EAC8022}"/>
    <w:embedItalic r:id="rId3" w:fontKey="{B94392DB-A6FE-4570-BC64-A4A785016AE0}"/>
    <w:embedBoldItalic r:id="rId4" w:fontKey="{B11E68C0-7004-4DCF-8FFF-6AE495E4CBF1}"/>
  </w:font>
  <w:font w:name="Calibri">
    <w:panose1 w:val="020F0502020204030204"/>
    <w:charset w:val="00"/>
    <w:family w:val="swiss"/>
    <w:pitch w:val="variable"/>
    <w:sig w:usb0="E4002EFF" w:usb1="C200247B" w:usb2="00000009" w:usb3="00000000" w:csb0="000001FF" w:csb1="00000000"/>
    <w:embedRegular r:id="rId5" w:fontKey="{25CEEEB9-EB00-4E8D-A527-5D6DAEECB74D}"/>
  </w:font>
  <w:font w:name="Cambria">
    <w:panose1 w:val="02040503050406030204"/>
    <w:charset w:val="00"/>
    <w:family w:val="roman"/>
    <w:pitch w:val="variable"/>
    <w:sig w:usb0="E00006FF" w:usb1="420024FF" w:usb2="02000000" w:usb3="00000000" w:csb0="0000019F" w:csb1="00000000"/>
    <w:embedRegular r:id="rId6" w:fontKey="{621A74FB-E8F4-4B45-8B83-881C6ED29C1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00000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000000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000000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000000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000000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0000007"/>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0000000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000000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000000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0000000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000000C"/>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0000000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000000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0000000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0000001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ART0009</dc:title>
  <cp:revision>0</cp:revision>
</cp:coreProperties>
</file>