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62C64" w:rsidP="00267FF5">
      <w:pPr>
        <w:jc w:val="center"/>
        <w:rPr>
          <w:b/>
          <w:bCs/>
          <w:sz w:val="22"/>
          <w:szCs w:val="22"/>
        </w:rPr>
      </w:pPr>
      <w:r w:rsidRPr="00262DA5">
        <w:rPr>
          <w:b/>
          <w:bCs/>
          <w:sz w:val="22"/>
          <w:szCs w:val="22"/>
        </w:rPr>
        <w:t>Building Deterrence to Russian Hybrid Threats</w:t>
      </w:r>
    </w:p>
    <w:p w:rsidR="00267FF5" w:rsidRPr="00262DA5" w:rsidP="00267FF5">
      <w:pPr>
        <w:jc w:val="center"/>
        <w:rPr>
          <w:b/>
          <w:bCs/>
          <w:sz w:val="22"/>
          <w:szCs w:val="22"/>
        </w:rPr>
      </w:pPr>
    </w:p>
    <w:p w:rsidR="00362C64" w:rsidRPr="00267FF5" w:rsidP="00267FF5">
      <w:pPr>
        <w:jc w:val="center"/>
        <w:rPr>
          <w:i/>
          <w:iCs/>
          <w:sz w:val="22"/>
          <w:szCs w:val="22"/>
        </w:rPr>
      </w:pPr>
      <w:r w:rsidRPr="00267FF5">
        <w:rPr>
          <w:i/>
          <w:iCs/>
          <w:sz w:val="22"/>
          <w:szCs w:val="22"/>
        </w:rPr>
        <w:t>Andrew Mumford</w:t>
      </w:r>
      <w:r w:rsidRPr="00267FF5">
        <w:rPr>
          <w:i/>
          <w:iCs/>
          <w:sz w:val="22"/>
          <w:szCs w:val="22"/>
        </w:rPr>
        <w:t>, Rory Cormac</w:t>
      </w:r>
      <w:r w:rsidRPr="00267FF5">
        <w:rPr>
          <w:i/>
          <w:iCs/>
          <w:sz w:val="22"/>
          <w:szCs w:val="22"/>
        </w:rPr>
        <w:t>, Dan Lomas, Henry Bird</w:t>
      </w:r>
      <w:r w:rsidRPr="00267FF5">
        <w:rPr>
          <w:i/>
          <w:iCs/>
          <w:sz w:val="22"/>
          <w:szCs w:val="22"/>
        </w:rPr>
        <w:t xml:space="preserve"> </w:t>
      </w:r>
      <w:r w:rsidRPr="00267FF5">
        <w:rPr>
          <w:i/>
          <w:iCs/>
          <w:sz w:val="22"/>
          <w:szCs w:val="22"/>
        </w:rPr>
        <w:t xml:space="preserve">– </w:t>
      </w:r>
      <w:r w:rsidRPr="00267FF5">
        <w:rPr>
          <w:i/>
          <w:iCs/>
          <w:sz w:val="22"/>
          <w:szCs w:val="22"/>
        </w:rPr>
        <w:t>University of Nottingham</w:t>
      </w:r>
      <w:r w:rsidRPr="00267FF5">
        <w:rPr>
          <w:i/>
          <w:iCs/>
          <w:sz w:val="22"/>
          <w:szCs w:val="22"/>
        </w:rPr>
        <w:t>, Centre for the Study of Subversion, Unconventional Interventions and Threats</w:t>
      </w:r>
      <w:r w:rsidRPr="00267FF5">
        <w:rPr>
          <w:i/>
          <w:iCs/>
          <w:sz w:val="22"/>
          <w:szCs w:val="22"/>
        </w:rPr>
        <w:t xml:space="preserve"> (SUIT)</w:t>
      </w:r>
    </w:p>
    <w:p w:rsidR="00267FF5" w:rsidRPr="00262DA5" w:rsidP="00267FF5">
      <w:pPr>
        <w:jc w:val="center"/>
        <w:rPr>
          <w:i/>
          <w:iCs/>
          <w:sz w:val="22"/>
          <w:szCs w:val="22"/>
          <w:u w:val="single"/>
        </w:rPr>
      </w:pPr>
    </w:p>
    <w:p w:rsidR="00362C64" w:rsidP="00267FF5">
      <w:pPr>
        <w:rPr>
          <w:i/>
          <w:iCs/>
          <w:sz w:val="22"/>
          <w:szCs w:val="22"/>
        </w:rPr>
      </w:pPr>
      <w:r w:rsidRPr="00BD62C5">
        <w:rPr>
          <w:b/>
          <w:bCs/>
          <w:sz w:val="22"/>
          <w:szCs w:val="22"/>
        </w:rPr>
        <w:t>Executive Summary</w:t>
      </w:r>
    </w:p>
    <w:p w:rsidR="00362C64" w:rsidRPr="00BD62C5" w:rsidP="00267FF5">
      <w:pPr>
        <w:rPr>
          <w:i/>
          <w:iCs/>
          <w:sz w:val="22"/>
          <w:szCs w:val="22"/>
        </w:rPr>
      </w:pPr>
      <w:r w:rsidRPr="00BD62C5">
        <w:rPr>
          <w:i/>
          <w:iCs/>
          <w:sz w:val="22"/>
          <w:szCs w:val="22"/>
        </w:rPr>
        <w:t xml:space="preserve">Hybrid threats are deterred by uncertainty as much as punishment. Deterrence-by-denial should focus on creating friction, disruption and uncertainty. The UK should adopt a proactive sub-threshold deterrence strategy, combining denial, punishment, disruption and resilience, supported by calibrated disclosure, intelligence-led attribution, cyber capabilities, and a greater role for UK Special Forces and Special Operations-Capable Forces. </w:t>
      </w:r>
      <w:r w:rsidRPr="00BD62C5">
        <w:rPr>
          <w:i/>
          <w:iCs/>
          <w:sz w:val="22"/>
          <w:szCs w:val="22"/>
        </w:rPr>
        <w:t>Intelligence, cyber and covert capabilities are central deterrence tools</w:t>
      </w:r>
      <w:r w:rsidRPr="00BD62C5">
        <w:rPr>
          <w:i/>
          <w:iCs/>
          <w:sz w:val="22"/>
          <w:szCs w:val="22"/>
        </w:rPr>
        <w:t>. The UK’s response to hybrid threats remains fragmented across departments and agencies. Stronger central coordination through the NSC/Cabinet Office, alongside closer integration of intelligence, cyber, military, diplomatic and economic tools, is necessary to deliver a coherent deterrence posture.</w:t>
      </w:r>
    </w:p>
    <w:p w:rsidR="00362C64" w:rsidRPr="00262DA5" w:rsidP="00267FF5">
      <w:pPr>
        <w:jc w:val="center"/>
        <w:rPr>
          <w:i/>
          <w:iCs/>
          <w:sz w:val="22"/>
          <w:szCs w:val="22"/>
        </w:rPr>
      </w:pPr>
    </w:p>
    <w:p w:rsidR="00362C64" w:rsidRPr="00E66539" w:rsidP="00267FF5">
      <w:pPr>
        <w:rPr>
          <w:b/>
          <w:bCs/>
          <w:sz w:val="22"/>
          <w:szCs w:val="22"/>
          <w:u w:val="single"/>
        </w:rPr>
      </w:pPr>
      <w:r w:rsidRPr="00E66539">
        <w:rPr>
          <w:b/>
          <w:bCs/>
          <w:sz w:val="22"/>
          <w:szCs w:val="22"/>
          <w:u w:val="single"/>
        </w:rPr>
        <w:t>Deterrence of hybrid threats: an overview</w:t>
      </w:r>
    </w:p>
    <w:p w:rsidR="00362C64" w:rsidRPr="00262DA5" w:rsidP="00267FF5">
      <w:pPr>
        <w:rPr>
          <w:sz w:val="22"/>
          <w:szCs w:val="22"/>
        </w:rPr>
      </w:pPr>
      <w:r w:rsidRPr="00262DA5">
        <w:rPr>
          <w:sz w:val="22"/>
          <w:szCs w:val="22"/>
        </w:rPr>
        <w:t xml:space="preserve">1.1 </w:t>
      </w:r>
      <w:r>
        <w:rPr>
          <w:sz w:val="22"/>
          <w:szCs w:val="22"/>
        </w:rPr>
        <w:t xml:space="preserve">Russia persistently targets </w:t>
      </w:r>
      <w:r w:rsidRPr="00262DA5">
        <w:rPr>
          <w:sz w:val="22"/>
          <w:szCs w:val="22"/>
        </w:rPr>
        <w:t>the UK and the wider NATO alliance</w:t>
      </w:r>
      <w:r>
        <w:rPr>
          <w:sz w:val="22"/>
          <w:szCs w:val="22"/>
        </w:rPr>
        <w:t xml:space="preserve"> with hybrid threats, </w:t>
      </w:r>
      <w:r>
        <w:rPr>
          <w:sz w:val="22"/>
          <w:szCs w:val="22"/>
        </w:rPr>
        <w:t xml:space="preserve">including </w:t>
      </w:r>
      <w:r>
        <w:rPr>
          <w:sz w:val="22"/>
          <w:szCs w:val="22"/>
        </w:rPr>
        <w:t xml:space="preserve">a </w:t>
      </w:r>
      <w:r>
        <w:rPr>
          <w:sz w:val="22"/>
          <w:szCs w:val="22"/>
        </w:rPr>
        <w:t xml:space="preserve">recent proliferation in </w:t>
      </w:r>
      <w:r w:rsidRPr="00262DA5">
        <w:rPr>
          <w:sz w:val="22"/>
          <w:szCs w:val="22"/>
        </w:rPr>
        <w:t xml:space="preserve">sabotage operations against the UK’s critical infrastructure, cyber-attacks on private companies, and arson attacks against the </w:t>
      </w:r>
      <w:r>
        <w:rPr>
          <w:sz w:val="22"/>
          <w:szCs w:val="22"/>
        </w:rPr>
        <w:t>P</w:t>
      </w:r>
      <w:r w:rsidRPr="00262DA5">
        <w:rPr>
          <w:sz w:val="22"/>
          <w:szCs w:val="22"/>
        </w:rPr>
        <w:t xml:space="preserve">rime </w:t>
      </w:r>
      <w:r>
        <w:rPr>
          <w:sz w:val="22"/>
          <w:szCs w:val="22"/>
        </w:rPr>
        <w:t>M</w:t>
      </w:r>
      <w:r w:rsidRPr="00262DA5">
        <w:rPr>
          <w:sz w:val="22"/>
          <w:szCs w:val="22"/>
        </w:rPr>
        <w:t>inister’s private property by Russian-recruited saboteurs.</w:t>
      </w:r>
      <w:r>
        <w:rPr>
          <w:rStyle w:val="FootnoteReference"/>
          <w:sz w:val="22"/>
          <w:szCs w:val="22"/>
        </w:rPr>
        <w:footnoteReference w:id="2"/>
      </w:r>
      <w:r w:rsidRPr="00262DA5">
        <w:rPr>
          <w:sz w:val="22"/>
          <w:szCs w:val="22"/>
        </w:rPr>
        <w:t xml:space="preserve"> </w:t>
      </w:r>
    </w:p>
    <w:p w:rsidR="00362C64" w:rsidRPr="00262DA5" w:rsidP="00267FF5">
      <w:pPr>
        <w:rPr>
          <w:sz w:val="22"/>
          <w:szCs w:val="22"/>
        </w:rPr>
      </w:pPr>
    </w:p>
    <w:p w:rsidR="00362C64" w:rsidRPr="00262DA5" w:rsidP="00267FF5">
      <w:pPr>
        <w:rPr>
          <w:sz w:val="22"/>
          <w:szCs w:val="22"/>
        </w:rPr>
      </w:pPr>
      <w:r w:rsidRPr="00262DA5">
        <w:rPr>
          <w:sz w:val="22"/>
          <w:szCs w:val="22"/>
        </w:rPr>
        <w:t xml:space="preserve">1.2 </w:t>
      </w:r>
      <w:r>
        <w:rPr>
          <w:sz w:val="22"/>
          <w:szCs w:val="22"/>
        </w:rPr>
        <w:t>Such h</w:t>
      </w:r>
      <w:r w:rsidRPr="00262DA5">
        <w:rPr>
          <w:sz w:val="22"/>
          <w:szCs w:val="22"/>
        </w:rPr>
        <w:t>ybrid threats use force just below legally acknowledged thresholds of response</w:t>
      </w:r>
      <w:r>
        <w:rPr>
          <w:sz w:val="22"/>
          <w:szCs w:val="22"/>
        </w:rPr>
        <w:t xml:space="preserve">. </w:t>
      </w:r>
      <w:r>
        <w:rPr>
          <w:sz w:val="22"/>
          <w:szCs w:val="22"/>
        </w:rPr>
        <w:t>I</w:t>
      </w:r>
      <w:r>
        <w:rPr>
          <w:sz w:val="22"/>
          <w:szCs w:val="22"/>
        </w:rPr>
        <w:t>nherent ambiguity in hybrid threats raise</w:t>
      </w:r>
      <w:r>
        <w:rPr>
          <w:sz w:val="22"/>
          <w:szCs w:val="22"/>
        </w:rPr>
        <w:t>s</w:t>
      </w:r>
      <w:r>
        <w:rPr>
          <w:sz w:val="22"/>
          <w:szCs w:val="22"/>
        </w:rPr>
        <w:t xml:space="preserve"> </w:t>
      </w:r>
      <w:r w:rsidRPr="00262DA5">
        <w:rPr>
          <w:sz w:val="22"/>
          <w:szCs w:val="22"/>
        </w:rPr>
        <w:t xml:space="preserve">significant policy </w:t>
      </w:r>
      <w:r>
        <w:rPr>
          <w:sz w:val="22"/>
          <w:szCs w:val="22"/>
        </w:rPr>
        <w:t xml:space="preserve">challenges </w:t>
      </w:r>
      <w:r w:rsidRPr="00262DA5">
        <w:rPr>
          <w:sz w:val="22"/>
          <w:szCs w:val="22"/>
        </w:rPr>
        <w:t>about how such acts can be deterred</w:t>
      </w:r>
      <w:r>
        <w:rPr>
          <w:sz w:val="22"/>
          <w:szCs w:val="22"/>
        </w:rPr>
        <w:t>, especially given that they circu</w:t>
      </w:r>
      <w:r w:rsidRPr="00262DA5">
        <w:rPr>
          <w:sz w:val="22"/>
          <w:szCs w:val="22"/>
        </w:rPr>
        <w:t>mvent traditional notions of deterrence</w:t>
      </w:r>
      <w:r>
        <w:rPr>
          <w:sz w:val="22"/>
          <w:szCs w:val="22"/>
        </w:rPr>
        <w:t xml:space="preserve">, and given concerns about </w:t>
      </w:r>
      <w:r w:rsidRPr="00262DA5">
        <w:rPr>
          <w:sz w:val="22"/>
          <w:szCs w:val="22"/>
        </w:rPr>
        <w:t>escalation to conventional warfare.</w:t>
      </w:r>
      <w:r>
        <w:rPr>
          <w:rStyle w:val="FootnoteReference"/>
          <w:sz w:val="22"/>
          <w:szCs w:val="22"/>
        </w:rPr>
        <w:footnoteReference w:id="3"/>
      </w:r>
      <w:r w:rsidRPr="008624C0">
        <w:rPr>
          <w:rStyle w:val="FootnoteReference"/>
          <w:sz w:val="22"/>
          <w:szCs w:val="22"/>
        </w:rPr>
        <w:t xml:space="preserve"> </w:t>
      </w:r>
    </w:p>
    <w:p w:rsidR="00362C64" w:rsidRPr="00262DA5" w:rsidP="00267FF5">
      <w:pPr>
        <w:rPr>
          <w:sz w:val="22"/>
          <w:szCs w:val="22"/>
        </w:rPr>
      </w:pPr>
    </w:p>
    <w:p w:rsidR="00362C64" w:rsidRPr="00262DA5" w:rsidP="00267FF5">
      <w:pPr>
        <w:rPr>
          <w:sz w:val="22"/>
          <w:szCs w:val="22"/>
        </w:rPr>
      </w:pPr>
      <w:r w:rsidRPr="00262DA5">
        <w:rPr>
          <w:sz w:val="22"/>
          <w:szCs w:val="22"/>
        </w:rPr>
        <w:t>1.3 In conventional wisdom, deterrence occurs when the perceived cost of an action is greater than the perceived benefit of an action.</w:t>
      </w:r>
      <w:r>
        <w:rPr>
          <w:sz w:val="22"/>
          <w:szCs w:val="22"/>
        </w:rPr>
        <w:t xml:space="preserve"> Today, t</w:t>
      </w:r>
      <w:r w:rsidRPr="00262DA5">
        <w:rPr>
          <w:sz w:val="22"/>
          <w:szCs w:val="22"/>
        </w:rPr>
        <w:t>he perceived benefit of using hybrid threats outweighs the cost of such action for states hostile to</w:t>
      </w:r>
      <w:r w:rsidRPr="00262DA5">
        <w:rPr>
          <w:sz w:val="22"/>
          <w:szCs w:val="22"/>
        </w:rPr>
        <w:t xml:space="preserve"> the UK</w:t>
      </w:r>
      <w:r>
        <w:rPr>
          <w:sz w:val="22"/>
          <w:szCs w:val="22"/>
        </w:rPr>
        <w:t>, especially Russia</w:t>
      </w:r>
      <w:r w:rsidRPr="00262DA5">
        <w:rPr>
          <w:sz w:val="22"/>
          <w:szCs w:val="22"/>
        </w:rPr>
        <w:t xml:space="preserve">. </w:t>
      </w:r>
      <w:r w:rsidRPr="00987FBF">
        <w:rPr>
          <w:b/>
          <w:bCs/>
          <w:sz w:val="22"/>
          <w:szCs w:val="22"/>
        </w:rPr>
        <w:t>HMG needs to rebalance this</w:t>
      </w:r>
      <w:r w:rsidRPr="00987FBF">
        <w:rPr>
          <w:b/>
          <w:bCs/>
          <w:sz w:val="22"/>
          <w:szCs w:val="22"/>
        </w:rPr>
        <w:t xml:space="preserve"> dynamic </w:t>
      </w:r>
      <w:r w:rsidRPr="00987FBF">
        <w:rPr>
          <w:b/>
          <w:bCs/>
          <w:sz w:val="22"/>
          <w:szCs w:val="22"/>
        </w:rPr>
        <w:t>by</w:t>
      </w:r>
      <w:r w:rsidRPr="00987FBF">
        <w:rPr>
          <w:b/>
          <w:bCs/>
          <w:sz w:val="22"/>
          <w:szCs w:val="22"/>
        </w:rPr>
        <w:t xml:space="preserve"> </w:t>
      </w:r>
      <w:r>
        <w:rPr>
          <w:b/>
          <w:bCs/>
          <w:sz w:val="22"/>
          <w:szCs w:val="22"/>
        </w:rPr>
        <w:t>i</w:t>
      </w:r>
      <w:r w:rsidRPr="00987FBF">
        <w:rPr>
          <w:b/>
          <w:bCs/>
          <w:sz w:val="22"/>
          <w:szCs w:val="22"/>
        </w:rPr>
        <w:t>)</w:t>
      </w:r>
      <w:r w:rsidRPr="00987FBF">
        <w:rPr>
          <w:b/>
          <w:bCs/>
          <w:sz w:val="22"/>
          <w:szCs w:val="22"/>
        </w:rPr>
        <w:t xml:space="preserve"> shifting the deterrence debate and </w:t>
      </w:r>
      <w:r>
        <w:rPr>
          <w:b/>
          <w:bCs/>
          <w:sz w:val="22"/>
          <w:szCs w:val="22"/>
        </w:rPr>
        <w:t>ii</w:t>
      </w:r>
      <w:r w:rsidRPr="00987FBF">
        <w:rPr>
          <w:b/>
          <w:bCs/>
          <w:sz w:val="22"/>
          <w:szCs w:val="22"/>
        </w:rPr>
        <w:t xml:space="preserve">) </w:t>
      </w:r>
      <w:r w:rsidRPr="00987FBF">
        <w:rPr>
          <w:b/>
          <w:bCs/>
          <w:sz w:val="22"/>
          <w:szCs w:val="22"/>
        </w:rPr>
        <w:t xml:space="preserve">adopting a more aggressive deterrent </w:t>
      </w:r>
      <w:r w:rsidRPr="00987FBF">
        <w:rPr>
          <w:b/>
          <w:bCs/>
          <w:sz w:val="22"/>
          <w:szCs w:val="22"/>
        </w:rPr>
        <w:t>towards hybrid threats.</w:t>
      </w:r>
      <w:r w:rsidRPr="00987FBF">
        <w:rPr>
          <w:b/>
          <w:bCs/>
          <w:sz w:val="22"/>
          <w:szCs w:val="22"/>
        </w:rPr>
        <w:t xml:space="preserve"> Such a posture should combine punishment, denial, disruption and uncertainty generation, recognising that hostile actors can be deterred not only by expected costs but also by </w:t>
      </w:r>
      <w:r w:rsidRPr="00987FBF">
        <w:rPr>
          <w:b/>
          <w:bCs/>
          <w:sz w:val="22"/>
          <w:szCs w:val="22"/>
        </w:rPr>
        <w:t xml:space="preserve">generating </w:t>
      </w:r>
      <w:r w:rsidRPr="00987FBF">
        <w:rPr>
          <w:b/>
          <w:bCs/>
          <w:sz w:val="22"/>
          <w:szCs w:val="22"/>
        </w:rPr>
        <w:t>doubts about the likelihood of success</w:t>
      </w:r>
      <w:r w:rsidRPr="00987FBF">
        <w:rPr>
          <w:b/>
          <w:bCs/>
          <w:sz w:val="22"/>
          <w:szCs w:val="22"/>
        </w:rPr>
        <w:t xml:space="preserve"> in the first place.</w:t>
      </w:r>
    </w:p>
    <w:p w:rsidR="00362C64" w:rsidRPr="00262DA5" w:rsidP="00267FF5">
      <w:pPr>
        <w:rPr>
          <w:sz w:val="22"/>
          <w:szCs w:val="22"/>
        </w:rPr>
      </w:pPr>
    </w:p>
    <w:p w:rsidR="00362C64" w:rsidRPr="00C60A54" w:rsidP="00267FF5">
      <w:pPr>
        <w:rPr>
          <w:b/>
          <w:bCs/>
          <w:sz w:val="22"/>
          <w:szCs w:val="22"/>
          <w:u w:val="single"/>
        </w:rPr>
      </w:pPr>
      <w:r w:rsidRPr="00C60A54">
        <w:rPr>
          <w:b/>
          <w:bCs/>
          <w:sz w:val="22"/>
          <w:szCs w:val="22"/>
          <w:u w:val="single"/>
        </w:rPr>
        <w:t>Shifting the deterrence debate</w:t>
      </w:r>
    </w:p>
    <w:p w:rsidR="00362C64" w:rsidRPr="00262DA5" w:rsidP="00267FF5">
      <w:pPr>
        <w:rPr>
          <w:sz w:val="22"/>
          <w:szCs w:val="22"/>
        </w:rPr>
      </w:pPr>
      <w:r w:rsidRPr="00262DA5">
        <w:rPr>
          <w:sz w:val="22"/>
          <w:szCs w:val="22"/>
        </w:rPr>
        <w:t xml:space="preserve">2.1 </w:t>
      </w:r>
      <w:r>
        <w:rPr>
          <w:sz w:val="22"/>
          <w:szCs w:val="22"/>
        </w:rPr>
        <w:t xml:space="preserve">The </w:t>
      </w:r>
      <w:r w:rsidRPr="00262DA5">
        <w:rPr>
          <w:sz w:val="22"/>
          <w:szCs w:val="22"/>
        </w:rPr>
        <w:t>enormous risks involved</w:t>
      </w:r>
      <w:r>
        <w:rPr>
          <w:sz w:val="22"/>
          <w:szCs w:val="22"/>
        </w:rPr>
        <w:t xml:space="preserve"> have undercut t</w:t>
      </w:r>
      <w:r w:rsidRPr="00262DA5">
        <w:rPr>
          <w:sz w:val="22"/>
          <w:szCs w:val="22"/>
        </w:rPr>
        <w:t>he credibility of nuclear strikes as the ultimate deterrent</w:t>
      </w:r>
      <w:r>
        <w:rPr>
          <w:sz w:val="22"/>
          <w:szCs w:val="22"/>
        </w:rPr>
        <w:t xml:space="preserve">. </w:t>
      </w:r>
      <w:r w:rsidRPr="00262DA5">
        <w:rPr>
          <w:sz w:val="22"/>
          <w:szCs w:val="22"/>
        </w:rPr>
        <w:t xml:space="preserve">Such risks are diminished in the subthreshold space, leaving deterrence as a concept much greater leeway to interpret the implications of denial and punishment (the two core ‘modes’ by which the concept of deterrence has been based). </w:t>
      </w:r>
    </w:p>
    <w:p w:rsidR="00362C64" w:rsidRPr="00262DA5" w:rsidP="00267FF5">
      <w:pPr>
        <w:rPr>
          <w:sz w:val="22"/>
          <w:szCs w:val="22"/>
        </w:rPr>
      </w:pPr>
    </w:p>
    <w:p w:rsidR="00362C64" w:rsidRPr="00262DA5" w:rsidP="00267FF5">
      <w:pPr>
        <w:rPr>
          <w:sz w:val="22"/>
          <w:szCs w:val="22"/>
        </w:rPr>
      </w:pPr>
      <w:r w:rsidRPr="00262DA5">
        <w:rPr>
          <w:sz w:val="22"/>
          <w:szCs w:val="22"/>
        </w:rPr>
        <w:t xml:space="preserve">2.2 </w:t>
      </w:r>
      <w:r>
        <w:rPr>
          <w:sz w:val="22"/>
          <w:szCs w:val="22"/>
        </w:rPr>
        <w:t>W</w:t>
      </w:r>
      <w:r w:rsidRPr="00262DA5">
        <w:rPr>
          <w:sz w:val="22"/>
          <w:szCs w:val="22"/>
        </w:rPr>
        <w:t xml:space="preserve">hat key factors need to be considered if a shift from nuclear deterrence to deterrence of hybrid threats is to occur? </w:t>
      </w:r>
      <w:r w:rsidRPr="00987FBF">
        <w:rPr>
          <w:b/>
          <w:bCs/>
          <w:sz w:val="22"/>
          <w:szCs w:val="22"/>
        </w:rPr>
        <w:t xml:space="preserve">First, </w:t>
      </w:r>
      <w:r>
        <w:rPr>
          <w:b/>
          <w:bCs/>
          <w:sz w:val="22"/>
          <w:szCs w:val="22"/>
        </w:rPr>
        <w:t>HMG should</w:t>
      </w:r>
      <w:r w:rsidRPr="00987FBF">
        <w:rPr>
          <w:b/>
          <w:bCs/>
          <w:sz w:val="22"/>
          <w:szCs w:val="22"/>
        </w:rPr>
        <w:t xml:space="preserve"> understand that </w:t>
      </w:r>
      <w:r w:rsidRPr="00F55BDC">
        <w:rPr>
          <w:b/>
          <w:bCs/>
          <w:i/>
          <w:iCs/>
          <w:sz w:val="22"/>
          <w:szCs w:val="22"/>
        </w:rPr>
        <w:t>deterrence is as much about reassuring allies as it is about signalling to a competitor</w:t>
      </w:r>
      <w:r w:rsidRPr="006439E7">
        <w:rPr>
          <w:sz w:val="22"/>
          <w:szCs w:val="22"/>
        </w:rPr>
        <w:t>.</w:t>
      </w:r>
      <w:r w:rsidRPr="00262DA5">
        <w:rPr>
          <w:sz w:val="22"/>
          <w:szCs w:val="22"/>
        </w:rPr>
        <w:t xml:space="preserve"> The idea of ‘extended deterrence’ is key to NATO membership in conventional areas of security and should be applied to hybrid threats too. An </w:t>
      </w:r>
      <w:r w:rsidRPr="00262DA5">
        <w:rPr>
          <w:sz w:val="22"/>
          <w:szCs w:val="22"/>
        </w:rPr>
        <w:t>important thing to remember is that the very nature of the NATO alliance brings with it an additional level of extended deterrence. Deterrence works better together.</w:t>
      </w:r>
    </w:p>
    <w:p w:rsidR="00362C64" w:rsidRPr="00262DA5" w:rsidP="00267FF5">
      <w:pPr>
        <w:rPr>
          <w:sz w:val="22"/>
          <w:szCs w:val="22"/>
        </w:rPr>
      </w:pPr>
    </w:p>
    <w:p w:rsidR="00362C64" w:rsidP="00267FF5">
      <w:pPr>
        <w:rPr>
          <w:sz w:val="22"/>
          <w:szCs w:val="22"/>
        </w:rPr>
      </w:pPr>
      <w:r w:rsidRPr="00262DA5">
        <w:rPr>
          <w:sz w:val="22"/>
          <w:szCs w:val="22"/>
        </w:rPr>
        <w:t xml:space="preserve">2.3 </w:t>
      </w:r>
      <w:r w:rsidRPr="00987FBF">
        <w:rPr>
          <w:b/>
          <w:bCs/>
          <w:sz w:val="22"/>
          <w:szCs w:val="22"/>
        </w:rPr>
        <w:t xml:space="preserve">Second, </w:t>
      </w:r>
      <w:r>
        <w:rPr>
          <w:b/>
          <w:bCs/>
          <w:sz w:val="22"/>
          <w:szCs w:val="22"/>
        </w:rPr>
        <w:t>HMG should</w:t>
      </w:r>
      <w:r w:rsidRPr="00987FBF">
        <w:rPr>
          <w:b/>
          <w:bCs/>
          <w:sz w:val="22"/>
          <w:szCs w:val="22"/>
        </w:rPr>
        <w:t xml:space="preserve"> consider what </w:t>
      </w:r>
      <w:r w:rsidRPr="00987FBF">
        <w:rPr>
          <w:b/>
          <w:bCs/>
          <w:i/>
          <w:iCs/>
          <w:sz w:val="22"/>
          <w:szCs w:val="22"/>
        </w:rPr>
        <w:t xml:space="preserve">type </w:t>
      </w:r>
      <w:r w:rsidRPr="00987FBF">
        <w:rPr>
          <w:b/>
          <w:bCs/>
          <w:sz w:val="22"/>
          <w:szCs w:val="22"/>
        </w:rPr>
        <w:t>of deterrence approach would be best applied to subthreshold threats.</w:t>
      </w:r>
      <w:r w:rsidRPr="00262DA5">
        <w:rPr>
          <w:sz w:val="22"/>
          <w:szCs w:val="22"/>
        </w:rPr>
        <w:t xml:space="preserve"> Deterrence-by-denial is a crucial perception in this space because deterrence of hybrid threats is as much about denying a successful </w:t>
      </w:r>
      <w:r w:rsidRPr="00262DA5">
        <w:rPr>
          <w:i/>
          <w:iCs/>
          <w:sz w:val="22"/>
          <w:szCs w:val="22"/>
        </w:rPr>
        <w:t xml:space="preserve">outcome </w:t>
      </w:r>
      <w:r w:rsidRPr="00262DA5">
        <w:rPr>
          <w:sz w:val="22"/>
          <w:szCs w:val="22"/>
        </w:rPr>
        <w:t>as it is about denying competitors the capacity to undertake the act in the first place.</w:t>
      </w:r>
      <w:r>
        <w:rPr>
          <w:sz w:val="22"/>
          <w:szCs w:val="22"/>
        </w:rPr>
        <w:t xml:space="preserve"> </w:t>
      </w:r>
      <w:r w:rsidRPr="00AA0D1C">
        <w:rPr>
          <w:sz w:val="22"/>
          <w:szCs w:val="22"/>
        </w:rPr>
        <w:t>In sub-threshold competition, adversaries may be deterred because they become uncertain that hostile activity will succeed rather than because they fear overwhelming punishm</w:t>
      </w:r>
      <w:r w:rsidRPr="00AA0D1C">
        <w:rPr>
          <w:sz w:val="22"/>
          <w:szCs w:val="22"/>
        </w:rPr>
        <w:t>ent.</w:t>
      </w:r>
      <w:r>
        <w:rPr>
          <w:sz w:val="22"/>
          <w:szCs w:val="22"/>
        </w:rPr>
        <w:t xml:space="preserve"> UK doctrine already seeks to impose friction, uncertainty and doubt upon adversaries through information capabilities.</w:t>
      </w:r>
      <w:r>
        <w:rPr>
          <w:rStyle w:val="FootnoteReference"/>
          <w:sz w:val="22"/>
          <w:szCs w:val="22"/>
        </w:rPr>
        <w:footnoteReference w:id="4"/>
      </w:r>
      <w:r>
        <w:rPr>
          <w:sz w:val="22"/>
          <w:szCs w:val="22"/>
        </w:rPr>
        <w:t xml:space="preserve">  Such thinking – limited to cognitive effects – should be integrated more broadly; deterrence as cognitive competition could seek to convince Russia that aggression will not work.  </w:t>
      </w:r>
    </w:p>
    <w:p w:rsidR="00362C64" w:rsidP="00267FF5">
      <w:pPr>
        <w:rPr>
          <w:sz w:val="22"/>
          <w:szCs w:val="22"/>
        </w:rPr>
      </w:pPr>
    </w:p>
    <w:p w:rsidR="00362C64" w:rsidP="00267FF5">
      <w:pPr>
        <w:rPr>
          <w:sz w:val="22"/>
          <w:szCs w:val="22"/>
        </w:rPr>
      </w:pPr>
      <w:r w:rsidRPr="008624C0">
        <w:rPr>
          <w:sz w:val="22"/>
          <w:szCs w:val="22"/>
        </w:rPr>
        <w:t xml:space="preserve">2.4 Historical and contemporary </w:t>
      </w:r>
      <w:r w:rsidRPr="00583778">
        <w:rPr>
          <w:b/>
          <w:bCs/>
          <w:sz w:val="22"/>
          <w:szCs w:val="22"/>
        </w:rPr>
        <w:t>experience suggests that one of the most effective ways to deter hostile activity below the threshold of war is to reduce confidence that it will achieve its intended political effect</w:t>
      </w:r>
      <w:r w:rsidRPr="008624C0">
        <w:rPr>
          <w:sz w:val="22"/>
          <w:szCs w:val="22"/>
        </w:rPr>
        <w:t>. The central contribution of intelligence, cyber and covert capabilities is often not punishment after the event but disruption before hostile activity matures. Through exposing vulnerabilities, generating friction and creating operational uncertainty, such</w:t>
      </w:r>
      <w:r>
        <w:rPr>
          <w:sz w:val="22"/>
          <w:szCs w:val="22"/>
        </w:rPr>
        <w:t xml:space="preserve"> disruptive</w:t>
      </w:r>
      <w:r w:rsidRPr="008624C0">
        <w:rPr>
          <w:sz w:val="22"/>
          <w:szCs w:val="22"/>
        </w:rPr>
        <w:t xml:space="preserve"> capabilities can alter an adversary's risk </w:t>
      </w:r>
      <w:r w:rsidRPr="008624C0">
        <w:rPr>
          <w:sz w:val="22"/>
          <w:szCs w:val="22"/>
        </w:rPr>
        <w:t>calculation</w:t>
      </w:r>
      <w:r>
        <w:rPr>
          <w:sz w:val="22"/>
          <w:szCs w:val="22"/>
        </w:rPr>
        <w:t xml:space="preserve"> and</w:t>
      </w:r>
      <w:r>
        <w:rPr>
          <w:sz w:val="22"/>
          <w:szCs w:val="22"/>
        </w:rPr>
        <w:t xml:space="preserve"> </w:t>
      </w:r>
      <w:r>
        <w:rPr>
          <w:sz w:val="22"/>
          <w:szCs w:val="22"/>
        </w:rPr>
        <w:t>act as components of denial</w:t>
      </w:r>
      <w:r w:rsidRPr="008624C0">
        <w:rPr>
          <w:sz w:val="22"/>
          <w:szCs w:val="22"/>
        </w:rPr>
        <w:t>. Effective deterrence should therefore seek not only to raise the expected costs of Russian aggression but also to undermine confidence in its prospects for success.</w:t>
      </w:r>
      <w:r>
        <w:rPr>
          <w:rStyle w:val="FootnoteReference"/>
          <w:sz w:val="22"/>
          <w:szCs w:val="22"/>
        </w:rPr>
        <w:footnoteReference w:id="5"/>
      </w:r>
      <w:r>
        <w:rPr>
          <w:sz w:val="22"/>
          <w:szCs w:val="22"/>
        </w:rPr>
        <w:t xml:space="preserve"> </w:t>
      </w:r>
      <w:r>
        <w:rPr>
          <w:sz w:val="22"/>
          <w:szCs w:val="22"/>
        </w:rPr>
        <w:t>This</w:t>
      </w:r>
      <w:r>
        <w:rPr>
          <w:sz w:val="22"/>
          <w:szCs w:val="22"/>
        </w:rPr>
        <w:t xml:space="preserve"> applies not just to offensive cyber but also to a more </w:t>
      </w:r>
      <w:r>
        <w:rPr>
          <w:sz w:val="22"/>
          <w:szCs w:val="22"/>
        </w:rPr>
        <w:t>proactive</w:t>
      </w:r>
      <w:r>
        <w:rPr>
          <w:sz w:val="22"/>
          <w:szCs w:val="22"/>
        </w:rPr>
        <w:t xml:space="preserve"> role for </w:t>
      </w:r>
      <w:r w:rsidRPr="00A00A72">
        <w:rPr>
          <w:b/>
          <w:bCs/>
          <w:color w:val="000000" w:themeColor="text1"/>
          <w:sz w:val="22"/>
          <w:szCs w:val="22"/>
        </w:rPr>
        <w:t>UK special forces (UKSF) in a</w:t>
      </w:r>
      <w:r w:rsidRPr="00A00A72">
        <w:rPr>
          <w:color w:val="000000" w:themeColor="text1"/>
          <w:sz w:val="22"/>
          <w:szCs w:val="22"/>
        </w:rPr>
        <w:t xml:space="preserve"> </w:t>
      </w:r>
      <w:r w:rsidRPr="00A00A72">
        <w:rPr>
          <w:b/>
          <w:bCs/>
          <w:sz w:val="22"/>
          <w:szCs w:val="22"/>
        </w:rPr>
        <w:t>proactive approach to disruption Russian hybrid activities</w:t>
      </w:r>
      <w:r w:rsidRPr="00A00A72">
        <w:rPr>
          <w:sz w:val="22"/>
          <w:szCs w:val="22"/>
        </w:rPr>
        <w:t xml:space="preserve">, creating a hostile environment for Russian hybrid operations </w:t>
      </w:r>
      <w:r>
        <w:rPr>
          <w:sz w:val="22"/>
          <w:szCs w:val="22"/>
        </w:rPr>
        <w:t>utilising their wider missions of</w:t>
      </w:r>
      <w:r w:rsidRPr="00A00A72">
        <w:rPr>
          <w:sz w:val="22"/>
          <w:szCs w:val="22"/>
        </w:rPr>
        <w:t xml:space="preserve"> surveillance, strategic reconnaissance, covert action and counter-terror</w:t>
      </w:r>
      <w:r>
        <w:rPr>
          <w:sz w:val="22"/>
          <w:szCs w:val="22"/>
        </w:rPr>
        <w:t>.</w:t>
      </w:r>
      <w:r>
        <w:rPr>
          <w:rStyle w:val="FootnoteReference"/>
          <w:sz w:val="22"/>
          <w:szCs w:val="22"/>
        </w:rPr>
        <w:footnoteReference w:id="6"/>
      </w:r>
      <w:r w:rsidRPr="00A00A72">
        <w:rPr>
          <w:sz w:val="22"/>
          <w:szCs w:val="22"/>
        </w:rPr>
        <w:t xml:space="preserve"> Utilising UKSF and Special-Operations-Capable forces like the Royal Marines Commando or Ranger Regiment to disrupt Russian hybrid operations abroad, much like actions against the Russian </w:t>
      </w:r>
      <w:r>
        <w:rPr>
          <w:sz w:val="22"/>
          <w:szCs w:val="22"/>
        </w:rPr>
        <w:t>‘</w:t>
      </w:r>
      <w:r w:rsidRPr="00A00A72">
        <w:rPr>
          <w:sz w:val="22"/>
          <w:szCs w:val="22"/>
        </w:rPr>
        <w:t>Shadow Fleet</w:t>
      </w:r>
      <w:r>
        <w:rPr>
          <w:sz w:val="22"/>
          <w:szCs w:val="22"/>
        </w:rPr>
        <w:t>’</w:t>
      </w:r>
      <w:r w:rsidRPr="00A00A72">
        <w:rPr>
          <w:sz w:val="22"/>
          <w:szCs w:val="22"/>
        </w:rPr>
        <w:t xml:space="preserve">, will demonstrate the reach and capability of the UK to protect allies and interests. </w:t>
      </w:r>
    </w:p>
    <w:p w:rsidR="00362C64" w:rsidP="00267FF5">
      <w:pPr>
        <w:rPr>
          <w:sz w:val="22"/>
          <w:szCs w:val="22"/>
        </w:rPr>
      </w:pPr>
    </w:p>
    <w:p w:rsidR="00362C64" w:rsidP="00267FF5">
      <w:pPr>
        <w:rPr>
          <w:sz w:val="22"/>
          <w:szCs w:val="22"/>
        </w:rPr>
      </w:pPr>
      <w:r>
        <w:rPr>
          <w:sz w:val="22"/>
          <w:szCs w:val="22"/>
        </w:rPr>
        <w:t>2.5 A</w:t>
      </w:r>
      <w:r w:rsidRPr="00262DA5">
        <w:rPr>
          <w:sz w:val="22"/>
          <w:szCs w:val="22"/>
        </w:rPr>
        <w:t xml:space="preserve"> deterrence-by-punishment approach could also see </w:t>
      </w:r>
      <w:r>
        <w:rPr>
          <w:sz w:val="22"/>
          <w:szCs w:val="22"/>
        </w:rPr>
        <w:t>the UK</w:t>
      </w:r>
      <w:r w:rsidRPr="00262DA5">
        <w:rPr>
          <w:sz w:val="22"/>
          <w:szCs w:val="22"/>
        </w:rPr>
        <w:t xml:space="preserve"> increase its capacity to retaliate in kind to hostile states without being escalatory.</w:t>
      </w:r>
      <w:r>
        <w:rPr>
          <w:sz w:val="22"/>
          <w:szCs w:val="22"/>
        </w:rPr>
        <w:t xml:space="preserve"> </w:t>
      </w:r>
      <w:r>
        <w:rPr>
          <w:sz w:val="22"/>
          <w:szCs w:val="22"/>
        </w:rPr>
        <w:t>Evidence suggests that t</w:t>
      </w:r>
      <w:r>
        <w:rPr>
          <w:sz w:val="22"/>
          <w:szCs w:val="22"/>
        </w:rPr>
        <w:t xml:space="preserve">he mechanism of non-acknowledgment associated with covert deterrence capabilities tempers escalatory dynamics by keeping communication </w:t>
      </w:r>
      <w:r>
        <w:rPr>
          <w:sz w:val="22"/>
          <w:szCs w:val="22"/>
        </w:rPr>
        <w:t>‘</w:t>
      </w:r>
      <w:r>
        <w:rPr>
          <w:sz w:val="22"/>
          <w:szCs w:val="22"/>
        </w:rPr>
        <w:t>backstage</w:t>
      </w:r>
      <w:r>
        <w:rPr>
          <w:sz w:val="22"/>
          <w:szCs w:val="22"/>
        </w:rPr>
        <w:t>’</w:t>
      </w:r>
      <w:r>
        <w:rPr>
          <w:sz w:val="22"/>
          <w:szCs w:val="22"/>
        </w:rPr>
        <w:t>.</w:t>
      </w:r>
      <w:r>
        <w:rPr>
          <w:rStyle w:val="FootnoteReference"/>
          <w:sz w:val="22"/>
          <w:szCs w:val="22"/>
        </w:rPr>
        <w:footnoteReference w:id="7"/>
      </w:r>
    </w:p>
    <w:p w:rsidR="00362C64" w:rsidRPr="00262DA5" w:rsidP="00267FF5">
      <w:pPr>
        <w:rPr>
          <w:sz w:val="22"/>
          <w:szCs w:val="22"/>
        </w:rPr>
      </w:pPr>
    </w:p>
    <w:p w:rsidR="00362C64" w:rsidRPr="00C60A54" w:rsidP="00267FF5">
      <w:pPr>
        <w:rPr>
          <w:b/>
          <w:bCs/>
          <w:sz w:val="22"/>
          <w:szCs w:val="22"/>
          <w:u w:val="single"/>
        </w:rPr>
      </w:pPr>
      <w:r w:rsidRPr="00C60A54">
        <w:rPr>
          <w:b/>
          <w:bCs/>
          <w:sz w:val="22"/>
          <w:szCs w:val="22"/>
          <w:u w:val="single"/>
        </w:rPr>
        <w:t>Building a ‘Subthreshold Deterrence’ Policy</w:t>
      </w:r>
    </w:p>
    <w:p w:rsidR="00362C64" w:rsidRPr="00262DA5" w:rsidP="00267FF5">
      <w:pPr>
        <w:rPr>
          <w:sz w:val="22"/>
          <w:szCs w:val="22"/>
        </w:rPr>
      </w:pPr>
      <w:r w:rsidRPr="00262DA5">
        <w:rPr>
          <w:sz w:val="22"/>
          <w:szCs w:val="22"/>
        </w:rPr>
        <w:t xml:space="preserve">3.1 </w:t>
      </w:r>
      <w:r>
        <w:rPr>
          <w:sz w:val="22"/>
          <w:szCs w:val="22"/>
        </w:rPr>
        <w:t>T</w:t>
      </w:r>
      <w:r w:rsidRPr="00262DA5">
        <w:rPr>
          <w:sz w:val="22"/>
          <w:szCs w:val="22"/>
        </w:rPr>
        <w:t xml:space="preserve">he UK </w:t>
      </w:r>
      <w:r>
        <w:rPr>
          <w:sz w:val="22"/>
          <w:szCs w:val="22"/>
        </w:rPr>
        <w:t xml:space="preserve">should </w:t>
      </w:r>
      <w:r w:rsidRPr="00262DA5">
        <w:rPr>
          <w:sz w:val="22"/>
          <w:szCs w:val="22"/>
        </w:rPr>
        <w:t>do three things if it is going to develop a proactive ‘Subthreshold Deterrence’ Policy</w:t>
      </w:r>
      <w:r>
        <w:rPr>
          <w:sz w:val="22"/>
          <w:szCs w:val="22"/>
        </w:rPr>
        <w:t xml:space="preserve"> to be effective against Russian threats</w:t>
      </w:r>
      <w:r w:rsidRPr="00262DA5">
        <w:rPr>
          <w:sz w:val="22"/>
          <w:szCs w:val="22"/>
        </w:rPr>
        <w:t>.</w:t>
      </w:r>
    </w:p>
    <w:p w:rsidR="00362C64" w:rsidRPr="00262DA5" w:rsidP="00267FF5">
      <w:pPr>
        <w:rPr>
          <w:sz w:val="22"/>
          <w:szCs w:val="22"/>
        </w:rPr>
      </w:pPr>
    </w:p>
    <w:p w:rsidR="00362C64" w:rsidRPr="00262DA5" w:rsidP="00267FF5">
      <w:pPr>
        <w:rPr>
          <w:sz w:val="22"/>
          <w:szCs w:val="22"/>
        </w:rPr>
      </w:pPr>
      <w:r w:rsidRPr="00262DA5">
        <w:rPr>
          <w:sz w:val="22"/>
          <w:szCs w:val="22"/>
        </w:rPr>
        <w:t xml:space="preserve">3.2 </w:t>
      </w:r>
      <w:r w:rsidRPr="00262DA5">
        <w:rPr>
          <w:b/>
          <w:bCs/>
          <w:sz w:val="22"/>
          <w:szCs w:val="22"/>
        </w:rPr>
        <w:t>Firstly, HMG needs to build greater awareness of grey zone threats across society and within government.</w:t>
      </w:r>
      <w:r w:rsidRPr="00262DA5">
        <w:rPr>
          <w:sz w:val="22"/>
          <w:szCs w:val="22"/>
        </w:rPr>
        <w:t xml:space="preserve"> This must include enhanced political solidarity around the ‘soft power’ elements of liberal democracy. Hybrid threats expose political fault lines within the target state. Their success depends not entirely on the scale of force applied than on the degree of societal cohesion within the targeted state. Strong levels of trust between the people and their governments </w:t>
      </w:r>
      <w:r>
        <w:rPr>
          <w:sz w:val="22"/>
          <w:szCs w:val="22"/>
        </w:rPr>
        <w:t xml:space="preserve">– and how information on these threats </w:t>
      </w:r>
      <w:r>
        <w:rPr>
          <w:sz w:val="22"/>
          <w:szCs w:val="22"/>
        </w:rPr>
        <w:t xml:space="preserve">are shared (see below) – </w:t>
      </w:r>
      <w:r w:rsidRPr="00262DA5">
        <w:rPr>
          <w:sz w:val="22"/>
          <w:szCs w:val="22"/>
        </w:rPr>
        <w:t>are thus key to reducing the capacity for a hybrid threat</w:t>
      </w:r>
      <w:r>
        <w:rPr>
          <w:sz w:val="22"/>
          <w:szCs w:val="22"/>
        </w:rPr>
        <w:t>.</w:t>
      </w:r>
    </w:p>
    <w:p w:rsidR="00362C64" w:rsidRPr="00262DA5" w:rsidP="00267FF5">
      <w:pPr>
        <w:rPr>
          <w:sz w:val="22"/>
          <w:szCs w:val="22"/>
        </w:rPr>
      </w:pPr>
    </w:p>
    <w:p w:rsidR="00362C64" w:rsidRPr="00096F6F" w:rsidP="00267FF5">
      <w:pPr>
        <w:rPr>
          <w:sz w:val="22"/>
          <w:szCs w:val="22"/>
        </w:rPr>
      </w:pPr>
      <w:r w:rsidRPr="00262DA5">
        <w:rPr>
          <w:sz w:val="22"/>
          <w:szCs w:val="22"/>
        </w:rPr>
        <w:t xml:space="preserve">3.3 </w:t>
      </w:r>
      <w:r w:rsidRPr="00262DA5">
        <w:rPr>
          <w:b/>
          <w:bCs/>
          <w:sz w:val="22"/>
          <w:szCs w:val="22"/>
        </w:rPr>
        <w:t xml:space="preserve">Secondly, </w:t>
      </w:r>
      <w:r w:rsidRPr="00262DA5">
        <w:rPr>
          <w:b/>
          <w:bCs/>
          <w:sz w:val="22"/>
          <w:szCs w:val="22"/>
        </w:rPr>
        <w:t>HMG</w:t>
      </w:r>
      <w:r w:rsidRPr="00262DA5">
        <w:rPr>
          <w:b/>
          <w:bCs/>
          <w:sz w:val="22"/>
          <w:szCs w:val="22"/>
        </w:rPr>
        <w:t xml:space="preserve"> needs to develop a credible capacity to deter them.</w:t>
      </w:r>
      <w:r w:rsidRPr="00262DA5">
        <w:rPr>
          <w:sz w:val="22"/>
          <w:szCs w:val="22"/>
        </w:rPr>
        <w:t xml:space="preserve"> This should include </w:t>
      </w:r>
      <w:r>
        <w:rPr>
          <w:sz w:val="22"/>
          <w:szCs w:val="22"/>
        </w:rPr>
        <w:t xml:space="preserve">i) intelligence-led disruption capabilities and ii) </w:t>
      </w:r>
      <w:r w:rsidRPr="00262DA5">
        <w:rPr>
          <w:sz w:val="22"/>
          <w:szCs w:val="22"/>
        </w:rPr>
        <w:t>enhanced attribution capabilities, especially in the cyber domain. As Artificial Intelligence (AI) complicates attribution (for example, of the veracity of widely shared videos online), investment in AI authentication and detection capacity is increasingly important.</w:t>
      </w:r>
      <w:r>
        <w:rPr>
          <w:sz w:val="22"/>
          <w:szCs w:val="22"/>
        </w:rPr>
        <w:t xml:space="preserve"> </w:t>
      </w:r>
      <w:r w:rsidRPr="00262DA5">
        <w:rPr>
          <w:sz w:val="22"/>
          <w:szCs w:val="22"/>
        </w:rPr>
        <w:t>As such capabilities improve it becomes less of a technological and more of a political decision to public</w:t>
      </w:r>
      <w:r w:rsidRPr="00262DA5">
        <w:rPr>
          <w:sz w:val="22"/>
          <w:szCs w:val="22"/>
        </w:rPr>
        <w:t xml:space="preserve">ly attribute the source of a particular deep fake video or cyber-attack. </w:t>
      </w:r>
      <w:r>
        <w:rPr>
          <w:sz w:val="22"/>
          <w:szCs w:val="22"/>
        </w:rPr>
        <w:t xml:space="preserve">Indeed, </w:t>
      </w:r>
      <w:r>
        <w:rPr>
          <w:sz w:val="22"/>
          <w:szCs w:val="22"/>
        </w:rPr>
        <w:t>attribution</w:t>
      </w:r>
      <w:r w:rsidRPr="00FB1AFC">
        <w:rPr>
          <w:sz w:val="22"/>
          <w:szCs w:val="22"/>
        </w:rPr>
        <w:t xml:space="preserve"> should not be viewed as a purely technical exercise or a neutral corrective response. Attribution, counterproductively, </w:t>
      </w:r>
      <w:r>
        <w:rPr>
          <w:sz w:val="22"/>
          <w:szCs w:val="22"/>
        </w:rPr>
        <w:t>can</w:t>
      </w:r>
      <w:r w:rsidRPr="00FB1AFC">
        <w:rPr>
          <w:sz w:val="22"/>
          <w:szCs w:val="22"/>
        </w:rPr>
        <w:t xml:space="preserve"> spread a disinformation line further, legitimise it, or shift the debate onto the adversary’s terrain. It should therefore be carefully calibrated and treated as an operation, integrated into deterrence posture.</w:t>
      </w:r>
      <w:r>
        <w:rPr>
          <w:rStyle w:val="FootnoteReference"/>
          <w:sz w:val="22"/>
          <w:szCs w:val="22"/>
        </w:rPr>
        <w:footnoteReference w:id="8"/>
      </w:r>
      <w:r w:rsidRPr="00FB1AFC">
        <w:rPr>
          <w:sz w:val="22"/>
          <w:szCs w:val="22"/>
        </w:rPr>
        <w:t xml:space="preserve">  </w:t>
      </w:r>
      <w:r w:rsidRPr="00096F6F">
        <w:rPr>
          <w:b/>
          <w:bCs/>
          <w:sz w:val="22"/>
          <w:szCs w:val="22"/>
        </w:rPr>
        <w:t>HMG should put greater emphasis on calibrated disclosure, selectively revealing capabilities, vulnerabilities and successful interventions where doing so strengthens deterrence without unnecessarily escalating confrontation.</w:t>
      </w:r>
    </w:p>
    <w:p w:rsidR="00362C64" w:rsidRPr="00096F6F" w:rsidP="00267FF5">
      <w:pPr>
        <w:rPr>
          <w:sz w:val="22"/>
          <w:szCs w:val="22"/>
        </w:rPr>
      </w:pPr>
    </w:p>
    <w:p w:rsidR="00362C64" w:rsidRPr="00660A82" w:rsidP="00267FF5">
      <w:pPr>
        <w:rPr>
          <w:sz w:val="22"/>
          <w:szCs w:val="22"/>
        </w:rPr>
      </w:pPr>
      <w:r w:rsidRPr="00096F6F">
        <w:rPr>
          <w:sz w:val="22"/>
          <w:szCs w:val="22"/>
        </w:rPr>
        <w:t>3.4 The apparent tension between credible deterrence and covert action largely disappears once the latter is understood not as secrecy, but as unacknowledged interference. The objective is often calibrated visibility rather than total concealment: enough to signal capability and resolve, yet with sufficient ambiguity to preserve flexibility and control escalation. Unacknowledged interference therefore has significant communicative value even when responsibility is not formally acknowledged. Adversaries ofte</w:t>
      </w:r>
      <w:r w:rsidRPr="00096F6F">
        <w:rPr>
          <w:sz w:val="22"/>
          <w:szCs w:val="22"/>
        </w:rPr>
        <w:t>n know, or strongly suspect, who is responsible and draw conclusions about capability and intent accordingly.</w:t>
      </w:r>
      <w:r>
        <w:rPr>
          <w:rStyle w:val="FootnoteReference"/>
          <w:sz w:val="22"/>
          <w:szCs w:val="22"/>
        </w:rPr>
        <w:footnoteReference w:id="9"/>
      </w:r>
      <w:r w:rsidRPr="00096F6F">
        <w:rPr>
          <w:sz w:val="22"/>
          <w:szCs w:val="22"/>
        </w:rPr>
        <w:t xml:space="preserve">  </w:t>
      </w:r>
      <w:r w:rsidRPr="00660A82">
        <w:rPr>
          <w:sz w:val="22"/>
          <w:szCs w:val="22"/>
        </w:rPr>
        <w:t xml:space="preserve">Though UKSF should continue to operate within the policies of </w:t>
      </w:r>
      <w:r>
        <w:rPr>
          <w:sz w:val="22"/>
          <w:szCs w:val="22"/>
        </w:rPr>
        <w:t>‘</w:t>
      </w:r>
      <w:r w:rsidRPr="00660A82">
        <w:rPr>
          <w:sz w:val="22"/>
          <w:szCs w:val="22"/>
        </w:rPr>
        <w:t>no commenting</w:t>
      </w:r>
      <w:r>
        <w:rPr>
          <w:sz w:val="22"/>
          <w:szCs w:val="22"/>
        </w:rPr>
        <w:t>’</w:t>
      </w:r>
      <w:r w:rsidRPr="00660A82">
        <w:rPr>
          <w:sz w:val="22"/>
          <w:szCs w:val="22"/>
        </w:rPr>
        <w:t xml:space="preserve"> and </w:t>
      </w:r>
      <w:r>
        <w:rPr>
          <w:sz w:val="22"/>
          <w:szCs w:val="22"/>
        </w:rPr>
        <w:t>‘</w:t>
      </w:r>
      <w:r w:rsidRPr="00660A82">
        <w:rPr>
          <w:sz w:val="22"/>
          <w:szCs w:val="22"/>
        </w:rPr>
        <w:t>neither confirm nor deny</w:t>
      </w:r>
      <w:r>
        <w:rPr>
          <w:sz w:val="22"/>
          <w:szCs w:val="22"/>
        </w:rPr>
        <w:t>’</w:t>
      </w:r>
      <w:r w:rsidRPr="00660A82">
        <w:rPr>
          <w:sz w:val="22"/>
          <w:szCs w:val="22"/>
        </w:rPr>
        <w:t xml:space="preserve"> (NCND)</w:t>
      </w:r>
      <w:r>
        <w:rPr>
          <w:rStyle w:val="FootnoteReference"/>
          <w:sz w:val="22"/>
          <w:szCs w:val="22"/>
        </w:rPr>
        <w:footnoteReference w:id="10"/>
      </w:r>
      <w:r>
        <w:rPr>
          <w:sz w:val="22"/>
          <w:szCs w:val="22"/>
        </w:rPr>
        <w:t xml:space="preserve">, </w:t>
      </w:r>
      <w:r w:rsidRPr="00660A82">
        <w:rPr>
          <w:sz w:val="22"/>
          <w:szCs w:val="22"/>
        </w:rPr>
        <w:t>Special Operations-</w:t>
      </w:r>
      <w:r>
        <w:rPr>
          <w:sz w:val="22"/>
          <w:szCs w:val="22"/>
        </w:rPr>
        <w:t>c</w:t>
      </w:r>
      <w:r w:rsidRPr="00660A82">
        <w:rPr>
          <w:sz w:val="22"/>
          <w:szCs w:val="22"/>
        </w:rPr>
        <w:t xml:space="preserve">apable units like the Royal Marines Commando and Ranger Regiment, conducting operations like those against the Russian shadow fleet, provide a way for the UK to more openly demonstrate how it is disrupting </w:t>
      </w:r>
      <w:r>
        <w:rPr>
          <w:sz w:val="22"/>
          <w:szCs w:val="22"/>
        </w:rPr>
        <w:t xml:space="preserve">and deterring </w:t>
      </w:r>
      <w:r w:rsidRPr="00660A82">
        <w:rPr>
          <w:sz w:val="22"/>
          <w:szCs w:val="22"/>
        </w:rPr>
        <w:t xml:space="preserve">Russian </w:t>
      </w:r>
      <w:r>
        <w:rPr>
          <w:sz w:val="22"/>
          <w:szCs w:val="22"/>
        </w:rPr>
        <w:t>activity.</w:t>
      </w:r>
    </w:p>
    <w:p w:rsidR="00362C64" w:rsidRPr="00FB1AFC" w:rsidP="00267FF5">
      <w:pPr>
        <w:rPr>
          <w:sz w:val="22"/>
          <w:szCs w:val="22"/>
        </w:rPr>
      </w:pPr>
    </w:p>
    <w:p w:rsidR="00362C64" w:rsidRPr="00262DA5" w:rsidP="00267FF5">
      <w:pPr>
        <w:rPr>
          <w:sz w:val="22"/>
          <w:szCs w:val="22"/>
        </w:rPr>
      </w:pPr>
      <w:r w:rsidRPr="00FB1AFC">
        <w:rPr>
          <w:sz w:val="22"/>
          <w:szCs w:val="22"/>
        </w:rPr>
        <w:t>3.</w:t>
      </w:r>
      <w:r>
        <w:rPr>
          <w:sz w:val="22"/>
          <w:szCs w:val="22"/>
        </w:rPr>
        <w:t>5</w:t>
      </w:r>
      <w:r w:rsidRPr="00FB1AFC">
        <w:rPr>
          <w:sz w:val="22"/>
          <w:szCs w:val="22"/>
        </w:rPr>
        <w:t xml:space="preserve"> </w:t>
      </w:r>
      <w:r w:rsidRPr="00FB1AFC">
        <w:rPr>
          <w:b/>
          <w:bCs/>
          <w:sz w:val="22"/>
          <w:szCs w:val="22"/>
        </w:rPr>
        <w:t>Thirdly, the UK</w:t>
      </w:r>
      <w:r w:rsidRPr="00262DA5">
        <w:rPr>
          <w:b/>
          <w:bCs/>
          <w:sz w:val="22"/>
          <w:szCs w:val="22"/>
        </w:rPr>
        <w:t xml:space="preserve"> needs to embrace the idea of ‘horizontal escalation’ which might see the UK and its NATO allies respond by deploying means of a similar level of threat and intensity.</w:t>
      </w:r>
      <w:r w:rsidRPr="00262DA5">
        <w:rPr>
          <w:sz w:val="22"/>
          <w:szCs w:val="22"/>
        </w:rPr>
        <w:t xml:space="preserve"> This is both viable and preferable to ‘vertical escalation’ (which would involve deploying means of a greater level of threat and intensity). </w:t>
      </w:r>
      <w:r w:rsidRPr="00FB1AFC">
        <w:rPr>
          <w:sz w:val="22"/>
          <w:szCs w:val="22"/>
        </w:rPr>
        <w:t>Horizontal escalation expands the range of responses available below the threshold of conventional military conflict. Responses need not occur in the same domain as the original hostile</w:t>
      </w:r>
      <w:r w:rsidRPr="00FB1AFC">
        <w:rPr>
          <w:sz w:val="22"/>
          <w:szCs w:val="22"/>
        </w:rPr>
        <w:t xml:space="preserve"> act. Cyber operations, intelligence-led disruption, strategic communications, sanctions, economic measures</w:t>
      </w:r>
      <w:r>
        <w:rPr>
          <w:sz w:val="22"/>
          <w:szCs w:val="22"/>
        </w:rPr>
        <w:t>, use of UK Special- and Special Operations Capable- Forces,</w:t>
      </w:r>
      <w:r w:rsidRPr="00FB1AFC">
        <w:rPr>
          <w:sz w:val="22"/>
          <w:szCs w:val="22"/>
        </w:rPr>
        <w:t xml:space="preserve"> and other forms of unacknowledged interference can all impose costs, create uncertainty and demonstrate resolve without automatically triggering military escalation.</w:t>
      </w:r>
      <w:r w:rsidRPr="00FB1AFC">
        <w:rPr>
          <w:sz w:val="22"/>
          <w:szCs w:val="22"/>
        </w:rPr>
        <w:t xml:space="preserve"> </w:t>
      </w:r>
      <w:r w:rsidRPr="00FB1AFC">
        <w:rPr>
          <w:sz w:val="22"/>
          <w:szCs w:val="22"/>
        </w:rPr>
        <w:t>Such capabilities are particularly valuable because they can shape adversary expectations before hostile activity occurs, forcing Russian actors to expend greater effort and reso</w:t>
      </w:r>
      <w:r w:rsidRPr="00FB1AFC">
        <w:rPr>
          <w:sz w:val="22"/>
          <w:szCs w:val="22"/>
        </w:rPr>
        <w:t>urces whilst reducing confidence that aggression will succeed.</w:t>
      </w:r>
      <w:r>
        <w:rPr>
          <w:sz w:val="22"/>
          <w:szCs w:val="22"/>
        </w:rPr>
        <w:t xml:space="preserve"> </w:t>
      </w:r>
      <w:r w:rsidRPr="00FB1AFC">
        <w:rPr>
          <w:sz w:val="22"/>
          <w:szCs w:val="22"/>
        </w:rPr>
        <w:t>Horizontal escalation of a conflict can be deemed as a distinct punishment incurred against the aggressor and, as such, is a form of potential deterrent. Widening the</w:t>
      </w:r>
      <w:r w:rsidRPr="00262DA5">
        <w:rPr>
          <w:sz w:val="22"/>
          <w:szCs w:val="22"/>
        </w:rPr>
        <w:t xml:space="preserve"> range of deterrent measures across multiple threat spectrums constitutes a horizontal form of escalation, where instead of heightening the threat level </w:t>
      </w:r>
      <w:r w:rsidRPr="00262DA5">
        <w:rPr>
          <w:sz w:val="22"/>
          <w:szCs w:val="22"/>
        </w:rPr>
        <w:t>the UK and its allies</w:t>
      </w:r>
      <w:r w:rsidRPr="00262DA5">
        <w:rPr>
          <w:sz w:val="22"/>
          <w:szCs w:val="22"/>
        </w:rPr>
        <w:t xml:space="preserve"> widen their range of capabilities and denial measures. The embrace of more proactive modes of deterrence doe</w:t>
      </w:r>
      <w:r w:rsidRPr="00262DA5">
        <w:rPr>
          <w:sz w:val="22"/>
          <w:szCs w:val="22"/>
        </w:rPr>
        <w:t xml:space="preserve">s not automatically mean embracing conventional approaches but unconventional means too (especially in the cyber realm). </w:t>
      </w:r>
    </w:p>
    <w:p w:rsidR="00362C64" w:rsidRPr="00262DA5" w:rsidP="00267FF5">
      <w:pPr>
        <w:rPr>
          <w:b/>
          <w:bCs/>
          <w:sz w:val="22"/>
          <w:szCs w:val="22"/>
        </w:rPr>
      </w:pPr>
    </w:p>
    <w:p w:rsidR="00362C64" w:rsidRPr="00C60A54" w:rsidP="00267FF5">
      <w:pPr>
        <w:rPr>
          <w:b/>
          <w:bCs/>
          <w:sz w:val="22"/>
          <w:szCs w:val="22"/>
          <w:u w:val="single"/>
        </w:rPr>
      </w:pPr>
      <w:r w:rsidRPr="00C60A54">
        <w:rPr>
          <w:b/>
          <w:bCs/>
          <w:sz w:val="22"/>
          <w:szCs w:val="22"/>
          <w:u w:val="single"/>
        </w:rPr>
        <w:t>Delivering effective deterrence of hybrid threats</w:t>
      </w:r>
    </w:p>
    <w:p w:rsidR="00362C64" w:rsidRPr="00262DA5" w:rsidP="00267FF5">
      <w:pPr>
        <w:rPr>
          <w:sz w:val="22"/>
          <w:szCs w:val="22"/>
        </w:rPr>
      </w:pPr>
      <w:r w:rsidRPr="00262DA5">
        <w:rPr>
          <w:sz w:val="22"/>
          <w:szCs w:val="22"/>
        </w:rPr>
        <w:t xml:space="preserve">4.1 </w:t>
      </w:r>
      <w:r w:rsidRPr="00262DA5">
        <w:rPr>
          <w:sz w:val="22"/>
          <w:szCs w:val="22"/>
        </w:rPr>
        <w:t xml:space="preserve">Adopting a proactive subthreshold deterrence strategy </w:t>
      </w:r>
      <w:r>
        <w:rPr>
          <w:sz w:val="22"/>
          <w:szCs w:val="22"/>
        </w:rPr>
        <w:t>requires HMG to be cognisant of</w:t>
      </w:r>
      <w:r w:rsidRPr="00262DA5">
        <w:rPr>
          <w:sz w:val="22"/>
          <w:szCs w:val="22"/>
        </w:rPr>
        <w:t xml:space="preserve"> the relationship between several policy areas.</w:t>
      </w:r>
    </w:p>
    <w:p w:rsidR="00362C64" w:rsidRPr="00262DA5" w:rsidP="00267FF5">
      <w:pPr>
        <w:rPr>
          <w:sz w:val="22"/>
          <w:szCs w:val="22"/>
        </w:rPr>
      </w:pPr>
    </w:p>
    <w:p w:rsidR="00362C64" w:rsidRPr="00262DA5" w:rsidP="00267FF5">
      <w:pPr>
        <w:rPr>
          <w:sz w:val="22"/>
          <w:szCs w:val="22"/>
        </w:rPr>
      </w:pPr>
      <w:r w:rsidRPr="00262DA5">
        <w:rPr>
          <w:sz w:val="22"/>
          <w:szCs w:val="22"/>
        </w:rPr>
        <w:t xml:space="preserve">4.2 </w:t>
      </w:r>
      <w:r w:rsidRPr="00096F6F">
        <w:rPr>
          <w:b/>
          <w:bCs/>
          <w:sz w:val="22"/>
          <w:szCs w:val="22"/>
        </w:rPr>
        <w:t>The first is the relationship between resilience and deterrence.</w:t>
      </w:r>
      <w:r w:rsidRPr="00262DA5">
        <w:rPr>
          <w:sz w:val="22"/>
          <w:szCs w:val="22"/>
        </w:rPr>
        <w:t xml:space="preserve"> They are not binaries but are interrelated. Resilience is a key plank of deterrence</w:t>
      </w:r>
      <w:r>
        <w:rPr>
          <w:sz w:val="22"/>
          <w:szCs w:val="22"/>
        </w:rPr>
        <w:t>, b</w:t>
      </w:r>
      <w:r w:rsidRPr="00262DA5">
        <w:rPr>
          <w:sz w:val="22"/>
          <w:szCs w:val="22"/>
        </w:rPr>
        <w:t>ut an overt emphasis on resilience would only mitigate the wors</w:t>
      </w:r>
      <w:r>
        <w:rPr>
          <w:sz w:val="22"/>
          <w:szCs w:val="22"/>
        </w:rPr>
        <w:t>t</w:t>
      </w:r>
      <w:r w:rsidRPr="00262DA5">
        <w:rPr>
          <w:sz w:val="22"/>
          <w:szCs w:val="22"/>
        </w:rPr>
        <w:t xml:space="preserve"> effects of hybrid threats – ultimately</w:t>
      </w:r>
      <w:r>
        <w:rPr>
          <w:sz w:val="22"/>
          <w:szCs w:val="22"/>
        </w:rPr>
        <w:t>,</w:t>
      </w:r>
      <w:r w:rsidRPr="00262DA5">
        <w:rPr>
          <w:sz w:val="22"/>
          <w:szCs w:val="22"/>
        </w:rPr>
        <w:t xml:space="preserve"> at the cost of soaking up perpetual hybrid threats. </w:t>
      </w:r>
      <w:r w:rsidRPr="00262DA5">
        <w:rPr>
          <w:sz w:val="22"/>
          <w:szCs w:val="22"/>
        </w:rPr>
        <w:t>HMG</w:t>
      </w:r>
      <w:r w:rsidRPr="00262DA5">
        <w:rPr>
          <w:sz w:val="22"/>
          <w:szCs w:val="22"/>
        </w:rPr>
        <w:t xml:space="preserve"> needs to ask itself: what is an ‘acceptable level’ of hybrid threat? Working on the assumption that deterrence of all hybrid threats cannot be 100% effective, the balance between the two needs inspect</w:t>
      </w:r>
      <w:r w:rsidRPr="00262DA5">
        <w:rPr>
          <w:sz w:val="22"/>
          <w:szCs w:val="22"/>
        </w:rPr>
        <w:t>ing if effective resilience is</w:t>
      </w:r>
      <w:r>
        <w:rPr>
          <w:sz w:val="22"/>
          <w:szCs w:val="22"/>
        </w:rPr>
        <w:t xml:space="preserve"> to be</w:t>
      </w:r>
      <w:r w:rsidRPr="00262DA5">
        <w:rPr>
          <w:sz w:val="22"/>
          <w:szCs w:val="22"/>
        </w:rPr>
        <w:t xml:space="preserve"> good insurance should deterrence fail. </w:t>
      </w:r>
      <w:r>
        <w:rPr>
          <w:sz w:val="22"/>
          <w:szCs w:val="22"/>
        </w:rPr>
        <w:t xml:space="preserve"> </w:t>
      </w:r>
      <w:r w:rsidRPr="005376E1">
        <w:rPr>
          <w:sz w:val="22"/>
          <w:szCs w:val="22"/>
        </w:rPr>
        <w:t xml:space="preserve">Effective </w:t>
      </w:r>
      <w:r w:rsidRPr="005376E1">
        <w:rPr>
          <w:sz w:val="22"/>
          <w:szCs w:val="22"/>
        </w:rPr>
        <w:t>deterrence requires resilience to be integrated with unacknowledged disruptive operations designed to deny success, impose costs and increase uncertainty.</w:t>
      </w:r>
    </w:p>
    <w:p w:rsidR="00362C64" w:rsidRPr="00262DA5" w:rsidP="00267FF5">
      <w:pPr>
        <w:rPr>
          <w:sz w:val="22"/>
          <w:szCs w:val="22"/>
        </w:rPr>
      </w:pPr>
    </w:p>
    <w:p w:rsidR="00362C64" w:rsidP="00267FF5">
      <w:pPr>
        <w:rPr>
          <w:sz w:val="22"/>
          <w:szCs w:val="22"/>
        </w:rPr>
      </w:pPr>
      <w:r w:rsidRPr="00262DA5">
        <w:rPr>
          <w:sz w:val="22"/>
          <w:szCs w:val="22"/>
        </w:rPr>
        <w:t xml:space="preserve">4.3 </w:t>
      </w:r>
      <w:r w:rsidRPr="00096F6F">
        <w:rPr>
          <w:b/>
          <w:bCs/>
          <w:sz w:val="22"/>
          <w:szCs w:val="22"/>
        </w:rPr>
        <w:t xml:space="preserve">The second is the relationship between </w:t>
      </w:r>
      <w:r w:rsidRPr="00096F6F">
        <w:rPr>
          <w:b/>
          <w:bCs/>
          <w:sz w:val="22"/>
          <w:szCs w:val="22"/>
        </w:rPr>
        <w:t>the</w:t>
      </w:r>
      <w:r w:rsidRPr="00096F6F">
        <w:rPr>
          <w:b/>
          <w:bCs/>
          <w:sz w:val="22"/>
          <w:szCs w:val="22"/>
        </w:rPr>
        <w:t xml:space="preserve"> government and societ</w:t>
      </w:r>
      <w:r w:rsidRPr="00096F6F">
        <w:rPr>
          <w:b/>
          <w:bCs/>
          <w:sz w:val="22"/>
          <w:szCs w:val="22"/>
        </w:rPr>
        <w:t>y</w:t>
      </w:r>
      <w:r w:rsidRPr="00096F6F">
        <w:rPr>
          <w:b/>
          <w:bCs/>
          <w:sz w:val="22"/>
          <w:szCs w:val="22"/>
        </w:rPr>
        <w:t>.</w:t>
      </w:r>
      <w:r w:rsidRPr="00262DA5">
        <w:rPr>
          <w:sz w:val="22"/>
          <w:szCs w:val="22"/>
        </w:rPr>
        <w:t xml:space="preserve"> Responding to hybrid threats are invariably labelled a ‘whole of society’ problem given the way in which ordinary citizens are targeted and impacted by elements of the hybrid threat playbook, including disinformation campaigns or cyber-attacks. The need to develop new strategic solutions to the deterrence of </w:t>
      </w:r>
      <w:r>
        <w:rPr>
          <w:sz w:val="22"/>
          <w:szCs w:val="22"/>
        </w:rPr>
        <w:t xml:space="preserve">Russian </w:t>
      </w:r>
      <w:r w:rsidRPr="00262DA5">
        <w:rPr>
          <w:sz w:val="22"/>
          <w:szCs w:val="22"/>
        </w:rPr>
        <w:t xml:space="preserve">hybrid threats is based in part on an understanding that current deterrence and resilience policies are undermined by the fact </w:t>
      </w:r>
      <w:r w:rsidRPr="00262DA5">
        <w:rPr>
          <w:sz w:val="22"/>
          <w:szCs w:val="22"/>
        </w:rPr>
        <w:t xml:space="preserve">that the danger posed by hybrid threats may appear to the general public of target states as too intangible to be credible. Discussion of threats to Western values and the ‘rules based international order’ are not necessarily striking a chord in an era when domestic populism is on the rise and social media disinformation is so widespread. A shift towards highlighting the tangible impact on the day-to-day lives of citizens caused by the malign use of, for example, </w:t>
      </w:r>
      <w:r w:rsidRPr="00262DA5">
        <w:rPr>
          <w:sz w:val="22"/>
          <w:szCs w:val="22"/>
        </w:rPr>
        <w:t xml:space="preserve">Russian </w:t>
      </w:r>
      <w:r w:rsidRPr="00262DA5">
        <w:rPr>
          <w:sz w:val="22"/>
          <w:szCs w:val="22"/>
        </w:rPr>
        <w:t>cyber-attacks</w:t>
      </w:r>
      <w:r>
        <w:rPr>
          <w:sz w:val="22"/>
          <w:szCs w:val="22"/>
        </w:rPr>
        <w:t xml:space="preserve"> or</w:t>
      </w:r>
      <w:r w:rsidRPr="00262DA5">
        <w:rPr>
          <w:sz w:val="22"/>
          <w:szCs w:val="22"/>
        </w:rPr>
        <w:t xml:space="preserve"> supply chain disrup</w:t>
      </w:r>
      <w:r w:rsidRPr="00262DA5">
        <w:rPr>
          <w:sz w:val="22"/>
          <w:szCs w:val="22"/>
        </w:rPr>
        <w:t>tion could help raise awareness of hybrid threats and</w:t>
      </w:r>
      <w:r>
        <w:rPr>
          <w:sz w:val="22"/>
          <w:szCs w:val="22"/>
        </w:rPr>
        <w:t xml:space="preserve"> </w:t>
      </w:r>
      <w:r w:rsidRPr="00262DA5">
        <w:rPr>
          <w:sz w:val="22"/>
          <w:szCs w:val="22"/>
        </w:rPr>
        <w:t>strengthen societal resilience.</w:t>
      </w:r>
      <w:r>
        <w:rPr>
          <w:sz w:val="22"/>
          <w:szCs w:val="22"/>
        </w:rPr>
        <w:t xml:space="preserve"> </w:t>
      </w:r>
      <w:r>
        <w:rPr>
          <w:sz w:val="22"/>
          <w:szCs w:val="22"/>
        </w:rPr>
        <w:t>At the same time, t</w:t>
      </w:r>
      <w:r>
        <w:rPr>
          <w:sz w:val="22"/>
          <w:szCs w:val="22"/>
        </w:rPr>
        <w:t>his must be carefully calibrated given risks o</w:t>
      </w:r>
      <w:r>
        <w:rPr>
          <w:sz w:val="22"/>
          <w:szCs w:val="22"/>
        </w:rPr>
        <w:t xml:space="preserve">f </w:t>
      </w:r>
      <w:r>
        <w:rPr>
          <w:sz w:val="22"/>
          <w:szCs w:val="22"/>
        </w:rPr>
        <w:t xml:space="preserve">over-attribution or </w:t>
      </w:r>
      <w:r>
        <w:rPr>
          <w:sz w:val="22"/>
          <w:szCs w:val="22"/>
        </w:rPr>
        <w:t>threat inflation playing into Russia’s hands</w:t>
      </w:r>
      <w:r>
        <w:rPr>
          <w:sz w:val="22"/>
          <w:szCs w:val="22"/>
        </w:rPr>
        <w:t xml:space="preserve">; scholars recognise this in terms of disinformation, but the principle applies </w:t>
      </w:r>
      <w:r>
        <w:rPr>
          <w:sz w:val="22"/>
          <w:szCs w:val="22"/>
        </w:rPr>
        <w:t>to disinformation but sabotage too.</w:t>
      </w:r>
      <w:r>
        <w:rPr>
          <w:rStyle w:val="FootnoteReference"/>
          <w:sz w:val="22"/>
          <w:szCs w:val="22"/>
        </w:rPr>
        <w:footnoteReference w:id="11"/>
      </w:r>
    </w:p>
    <w:p w:rsidR="00362C64" w:rsidRPr="00583778" w:rsidP="00267FF5">
      <w:pPr>
        <w:rPr>
          <w:color w:val="000000" w:themeColor="text1"/>
          <w:sz w:val="22"/>
          <w:szCs w:val="22"/>
        </w:rPr>
      </w:pPr>
    </w:p>
    <w:p w:rsidR="00362C64" w:rsidRPr="00583778" w:rsidP="00267FF5">
      <w:pPr>
        <w:mirrorIndents/>
        <w:rPr>
          <w:b/>
          <w:bCs/>
          <w:color w:val="000000" w:themeColor="text1"/>
          <w:sz w:val="22"/>
          <w:szCs w:val="22"/>
        </w:rPr>
      </w:pPr>
      <w:r w:rsidRPr="00583778">
        <w:rPr>
          <w:color w:val="000000" w:themeColor="text1"/>
          <w:sz w:val="22"/>
          <w:szCs w:val="22"/>
        </w:rPr>
        <w:t>4.</w:t>
      </w:r>
      <w:r>
        <w:rPr>
          <w:color w:val="000000" w:themeColor="text1"/>
          <w:sz w:val="22"/>
          <w:szCs w:val="22"/>
        </w:rPr>
        <w:t>4</w:t>
      </w:r>
      <w:r w:rsidRPr="00583778">
        <w:rPr>
          <w:color w:val="000000" w:themeColor="text1"/>
          <w:sz w:val="22"/>
          <w:szCs w:val="22"/>
        </w:rPr>
        <w:t xml:space="preserve"> HMG has adopted an intelligence-led approach to identifying and publicising </w:t>
      </w:r>
      <w:r>
        <w:rPr>
          <w:color w:val="000000" w:themeColor="text1"/>
          <w:sz w:val="22"/>
          <w:szCs w:val="22"/>
        </w:rPr>
        <w:t xml:space="preserve">details of </w:t>
      </w:r>
      <w:r w:rsidRPr="00583778">
        <w:rPr>
          <w:color w:val="000000" w:themeColor="text1"/>
          <w:sz w:val="22"/>
          <w:szCs w:val="22"/>
        </w:rPr>
        <w:t>Russian hybrid activity</w:t>
      </w:r>
      <w:r>
        <w:rPr>
          <w:color w:val="000000" w:themeColor="text1"/>
          <w:sz w:val="22"/>
          <w:szCs w:val="22"/>
        </w:rPr>
        <w:t xml:space="preserve"> against the UK and allies</w:t>
      </w:r>
      <w:r w:rsidRPr="00583778">
        <w:rPr>
          <w:color w:val="000000" w:themeColor="text1"/>
          <w:sz w:val="22"/>
          <w:szCs w:val="22"/>
        </w:rPr>
        <w:t xml:space="preserve">. The post-Salisbury evidence-led approach to intelligence disclosure has increased </w:t>
      </w:r>
      <w:r>
        <w:rPr>
          <w:color w:val="000000" w:themeColor="text1"/>
          <w:sz w:val="22"/>
          <w:szCs w:val="22"/>
        </w:rPr>
        <w:t>wider</w:t>
      </w:r>
      <w:r w:rsidRPr="00583778">
        <w:rPr>
          <w:color w:val="000000" w:themeColor="text1"/>
          <w:sz w:val="22"/>
          <w:szCs w:val="22"/>
        </w:rPr>
        <w:t xml:space="preserve"> awareness of the threat posed by Russia. </w:t>
      </w:r>
      <w:r>
        <w:rPr>
          <w:color w:val="000000" w:themeColor="text1"/>
          <w:sz w:val="22"/>
          <w:szCs w:val="22"/>
        </w:rPr>
        <w:t xml:space="preserve">Calibrated </w:t>
      </w:r>
      <w:r w:rsidRPr="00583778">
        <w:rPr>
          <w:color w:val="000000" w:themeColor="text1"/>
          <w:sz w:val="22"/>
          <w:szCs w:val="22"/>
        </w:rPr>
        <w:t xml:space="preserve">intelligence disclosure without compromising sources should remain an important part of HMG information strategy, yet the preferred messenger for disclosure are senior intelligence officials, not Ministers. According to polling, UK </w:t>
      </w:r>
      <w:r w:rsidRPr="00583778">
        <w:rPr>
          <w:color w:val="000000" w:themeColor="text1"/>
          <w:sz w:val="22"/>
          <w:szCs w:val="22"/>
        </w:rPr>
        <w:t>public trust in the agencies remains high (60% polled had high or moderate trust, compared to 26% who had none or little), whilst trust in politicians delivering key messages remains low.</w:t>
      </w:r>
      <w:r>
        <w:rPr>
          <w:rStyle w:val="FootnoteReference"/>
          <w:color w:val="000000" w:themeColor="text1"/>
          <w:sz w:val="22"/>
          <w:szCs w:val="22"/>
        </w:rPr>
        <w:footnoteReference w:id="12"/>
      </w:r>
      <w:r w:rsidRPr="00583778">
        <w:rPr>
          <w:color w:val="000000" w:themeColor="text1"/>
          <w:sz w:val="22"/>
          <w:szCs w:val="22"/>
        </w:rPr>
        <w:t xml:space="preserve"> </w:t>
      </w:r>
      <w:r w:rsidRPr="00583778">
        <w:rPr>
          <w:b/>
          <w:bCs/>
          <w:color w:val="000000" w:themeColor="text1"/>
          <w:sz w:val="22"/>
          <w:szCs w:val="22"/>
        </w:rPr>
        <w:t xml:space="preserve">Annual threat assessments from senior intelligence officials based on all-source assessments remain an important means of disseminating information about Russian activity. </w:t>
      </w:r>
      <w:r w:rsidRPr="00583778">
        <w:rPr>
          <w:color w:val="000000" w:themeColor="text1"/>
          <w:sz w:val="22"/>
          <w:szCs w:val="22"/>
        </w:rPr>
        <w:t xml:space="preserve">Annual statements by the heads of MI5, GCHQ and SIS should be backed up with an authoritative, intelligence community wide product as seen with the </w:t>
      </w:r>
      <w:r w:rsidRPr="00583778">
        <w:rPr>
          <w:i/>
          <w:iCs/>
          <w:color w:val="000000" w:themeColor="text1"/>
          <w:sz w:val="22"/>
          <w:szCs w:val="22"/>
        </w:rPr>
        <w:t>Annual Threat Assessment of the US Intelligence Community</w:t>
      </w:r>
      <w:r>
        <w:rPr>
          <w:rStyle w:val="FootnoteReference"/>
          <w:i/>
          <w:iCs/>
          <w:color w:val="000000" w:themeColor="text1"/>
          <w:sz w:val="22"/>
          <w:szCs w:val="22"/>
        </w:rPr>
        <w:footnoteReference w:id="13"/>
      </w:r>
      <w:r w:rsidRPr="00583778">
        <w:rPr>
          <w:i/>
          <w:iCs/>
          <w:color w:val="000000" w:themeColor="text1"/>
          <w:sz w:val="22"/>
          <w:szCs w:val="22"/>
        </w:rPr>
        <w:t xml:space="preserve"> </w:t>
      </w:r>
      <w:r w:rsidRPr="00583778">
        <w:rPr>
          <w:color w:val="000000" w:themeColor="text1"/>
          <w:sz w:val="22"/>
          <w:szCs w:val="22"/>
        </w:rPr>
        <w:t>or similar products produced by European allies.</w:t>
      </w:r>
      <w:r>
        <w:rPr>
          <w:rStyle w:val="FootnoteReference"/>
          <w:color w:val="000000" w:themeColor="text1"/>
          <w:sz w:val="22"/>
          <w:szCs w:val="22"/>
        </w:rPr>
        <w:footnoteReference w:id="14"/>
      </w:r>
    </w:p>
    <w:p w:rsidR="00362C64" w:rsidRPr="00583778" w:rsidP="00267FF5">
      <w:pPr>
        <w:rPr>
          <w:color w:val="000000" w:themeColor="text1"/>
          <w:sz w:val="22"/>
          <w:szCs w:val="22"/>
        </w:rPr>
      </w:pPr>
    </w:p>
    <w:p w:rsidR="00362C64" w:rsidRPr="00583778" w:rsidP="00267FF5">
      <w:pPr>
        <w:rPr>
          <w:sz w:val="22"/>
          <w:szCs w:val="22"/>
        </w:rPr>
      </w:pPr>
      <w:r w:rsidRPr="00262DA5">
        <w:rPr>
          <w:sz w:val="22"/>
          <w:szCs w:val="22"/>
        </w:rPr>
        <w:t>4.</w:t>
      </w:r>
      <w:r>
        <w:rPr>
          <w:sz w:val="22"/>
          <w:szCs w:val="22"/>
        </w:rPr>
        <w:t>5</w:t>
      </w:r>
      <w:r w:rsidRPr="00262DA5">
        <w:rPr>
          <w:sz w:val="22"/>
          <w:szCs w:val="22"/>
        </w:rPr>
        <w:t xml:space="preserve"> </w:t>
      </w:r>
      <w:r w:rsidRPr="00096F6F">
        <w:rPr>
          <w:b/>
          <w:bCs/>
          <w:sz w:val="22"/>
          <w:szCs w:val="22"/>
        </w:rPr>
        <w:t>A third relationship to consider are those across and between different government departments</w:t>
      </w:r>
      <w:r w:rsidRPr="00262DA5">
        <w:rPr>
          <w:sz w:val="22"/>
          <w:szCs w:val="22"/>
        </w:rPr>
        <w:t xml:space="preserve"> responsible for some, but not all, of the components that make up modern hybrid threats facing </w:t>
      </w:r>
      <w:r w:rsidRPr="00262DA5">
        <w:rPr>
          <w:sz w:val="22"/>
          <w:szCs w:val="22"/>
        </w:rPr>
        <w:t>the UK</w:t>
      </w:r>
      <w:r w:rsidRPr="00262DA5">
        <w:rPr>
          <w:sz w:val="22"/>
          <w:szCs w:val="22"/>
        </w:rPr>
        <w:t xml:space="preserve">. As </w:t>
      </w:r>
      <w:r w:rsidRPr="00262DA5">
        <w:rPr>
          <w:sz w:val="22"/>
          <w:szCs w:val="22"/>
        </w:rPr>
        <w:t>they a</w:t>
      </w:r>
      <w:r w:rsidRPr="00262DA5">
        <w:rPr>
          <w:sz w:val="22"/>
          <w:szCs w:val="22"/>
        </w:rPr>
        <w:t xml:space="preserve">re multi-domain threats, the co-ordination of cross-government activity to counter the linked but seemingly disparate threats from cyber-attacks, sabotage on critical national infrastructure, and online disinformation campaigns, is weak </w:t>
      </w:r>
      <w:r w:rsidRPr="00262DA5">
        <w:rPr>
          <w:sz w:val="22"/>
          <w:szCs w:val="22"/>
        </w:rPr>
        <w:t>in the UK</w:t>
      </w:r>
      <w:r w:rsidRPr="00262DA5">
        <w:rPr>
          <w:sz w:val="22"/>
          <w:szCs w:val="22"/>
        </w:rPr>
        <w:t xml:space="preserve">. </w:t>
      </w:r>
      <w:r w:rsidRPr="00262DA5">
        <w:rPr>
          <w:sz w:val="22"/>
          <w:szCs w:val="22"/>
        </w:rPr>
        <w:t>F</w:t>
      </w:r>
      <w:r w:rsidRPr="00262DA5">
        <w:rPr>
          <w:sz w:val="22"/>
          <w:szCs w:val="22"/>
        </w:rPr>
        <w:t>or example, responses in the cyber field falls under the</w:t>
      </w:r>
      <w:r w:rsidRPr="00262DA5">
        <w:rPr>
          <w:sz w:val="22"/>
          <w:szCs w:val="22"/>
        </w:rPr>
        <w:t xml:space="preserve"> remit of the National Cyber Security Centre and GCHQ, whilst the Ministry of Defence is responsible for cyber as a ‘warfighting tool’; national crisis response falls to the Home Office; counter-disinformation is done </w:t>
      </w:r>
      <w:r w:rsidRPr="00583778">
        <w:rPr>
          <w:sz w:val="22"/>
          <w:szCs w:val="22"/>
        </w:rPr>
        <w:t>by disparate groups inside the</w:t>
      </w:r>
      <w:r>
        <w:rPr>
          <w:sz w:val="22"/>
          <w:szCs w:val="22"/>
        </w:rPr>
        <w:t xml:space="preserve"> FCDO, Cabinet Office and MOD</w:t>
      </w:r>
      <w:r w:rsidRPr="00583778">
        <w:rPr>
          <w:sz w:val="22"/>
          <w:szCs w:val="22"/>
        </w:rPr>
        <w:t xml:space="preserve">. </w:t>
      </w:r>
      <w:r w:rsidRPr="00583778">
        <w:rPr>
          <w:sz w:val="22"/>
          <w:szCs w:val="22"/>
        </w:rPr>
        <w:t>There are examples of successful taskforces on thematic issues within HMG; the FCDO’s ‘Russia Unit’ achieved a ‘joined up’ response to Russia-related issues from financial sanctions to Wagner and other PMCs operating in Africa.</w:t>
      </w:r>
      <w:r>
        <w:rPr>
          <w:rStyle w:val="FootnoteReference"/>
          <w:sz w:val="22"/>
          <w:szCs w:val="22"/>
        </w:rPr>
        <w:footnoteReference w:id="15"/>
      </w:r>
      <w:r w:rsidRPr="00583778">
        <w:rPr>
          <w:sz w:val="22"/>
          <w:szCs w:val="22"/>
        </w:rPr>
        <w:t xml:space="preserve"> Nevertheless, this </w:t>
      </w:r>
      <w:r w:rsidRPr="00F55BDC">
        <w:rPr>
          <w:i/>
          <w:iCs/>
          <w:sz w:val="22"/>
          <w:szCs w:val="22"/>
        </w:rPr>
        <w:t>approach risks a) undermining ‘policy ownership’ and b) dissipating effort across government</w:t>
      </w:r>
      <w:r w:rsidRPr="00583778">
        <w:rPr>
          <w:sz w:val="22"/>
          <w:szCs w:val="22"/>
        </w:rPr>
        <w:t xml:space="preserve"> – a point made </w:t>
      </w:r>
      <w:r>
        <w:rPr>
          <w:sz w:val="22"/>
          <w:szCs w:val="22"/>
        </w:rPr>
        <w:t>in earlier parliamentary evidence that is still yet to be realised</w:t>
      </w:r>
      <w:r w:rsidRPr="00583778">
        <w:rPr>
          <w:sz w:val="22"/>
          <w:szCs w:val="22"/>
        </w:rPr>
        <w:t>.</w:t>
      </w:r>
      <w:r>
        <w:rPr>
          <w:rStyle w:val="FootnoteReference"/>
          <w:sz w:val="22"/>
          <w:szCs w:val="22"/>
        </w:rPr>
        <w:footnoteReference w:id="16"/>
      </w:r>
    </w:p>
    <w:p w:rsidR="00362C64" w:rsidRPr="00583778" w:rsidP="00267FF5">
      <w:pPr>
        <w:rPr>
          <w:sz w:val="22"/>
          <w:szCs w:val="22"/>
        </w:rPr>
      </w:pPr>
    </w:p>
    <w:p w:rsidR="00362C64" w:rsidRPr="00583778" w:rsidP="00267FF5">
      <w:pPr>
        <w:rPr>
          <w:b/>
          <w:bCs/>
          <w:sz w:val="22"/>
          <w:szCs w:val="22"/>
        </w:rPr>
      </w:pPr>
      <w:r>
        <w:rPr>
          <w:sz w:val="22"/>
          <w:szCs w:val="22"/>
        </w:rPr>
        <w:t xml:space="preserve">4.6 </w:t>
      </w:r>
      <w:r w:rsidRPr="00583778">
        <w:rPr>
          <w:b/>
          <w:bCs/>
          <w:sz w:val="22"/>
          <w:szCs w:val="22"/>
        </w:rPr>
        <w:t>British experience demonstrates that subthreshold capabilities rarely achieve maximum impact in isolation</w:t>
      </w:r>
      <w:r w:rsidRPr="005376E1">
        <w:rPr>
          <w:sz w:val="22"/>
          <w:szCs w:val="22"/>
        </w:rPr>
        <w:t xml:space="preserve">. Their value is greatest when integrated with wider statecraft. Deterrence against Russian aggression </w:t>
      </w:r>
      <w:r w:rsidRPr="00987FBF">
        <w:rPr>
          <w:sz w:val="22"/>
          <w:szCs w:val="22"/>
        </w:rPr>
        <w:t>should therefore combine intelligence, cyber operations, sanctions, law enforcement, military posture, strategic communications and allied coordination.</w:t>
      </w:r>
      <w:r w:rsidRPr="00987FBF">
        <w:rPr>
          <w:rStyle w:val="FootnoteReference"/>
          <w:sz w:val="22"/>
          <w:szCs w:val="22"/>
        </w:rPr>
        <w:t xml:space="preserve"> </w:t>
      </w:r>
      <w:r>
        <w:rPr>
          <w:rStyle w:val="FootnoteReference"/>
          <w:sz w:val="22"/>
          <w:szCs w:val="22"/>
        </w:rPr>
        <w:footnoteReference w:id="17"/>
      </w:r>
      <w:r w:rsidRPr="00987FBF">
        <w:rPr>
          <w:sz w:val="22"/>
          <w:szCs w:val="22"/>
        </w:rPr>
        <w:t xml:space="preserve"> HMG should incorporate covert capabilities explicitly within an integrated deterrence framework, linking </w:t>
      </w:r>
      <w:r>
        <w:rPr>
          <w:sz w:val="22"/>
          <w:szCs w:val="22"/>
        </w:rPr>
        <w:t xml:space="preserve">information advantage, </w:t>
      </w:r>
      <w:r w:rsidRPr="00987FBF">
        <w:rPr>
          <w:sz w:val="22"/>
          <w:szCs w:val="22"/>
        </w:rPr>
        <w:t xml:space="preserve">intelligence, cyber </w:t>
      </w:r>
      <w:r w:rsidRPr="00583778">
        <w:rPr>
          <w:sz w:val="22"/>
          <w:szCs w:val="22"/>
        </w:rPr>
        <w:t>operations, economic measures, military posture and allied coordination through NATO and European partnerships.</w:t>
      </w:r>
      <w:r>
        <w:rPr>
          <w:sz w:val="22"/>
          <w:szCs w:val="22"/>
        </w:rPr>
        <w:t xml:space="preserve"> </w:t>
      </w:r>
    </w:p>
    <w:p w:rsidR="00362C64" w:rsidRPr="00583778" w:rsidP="00267FF5">
      <w:pPr>
        <w:rPr>
          <w:sz w:val="22"/>
          <w:szCs w:val="22"/>
        </w:rPr>
      </w:pPr>
    </w:p>
    <w:p w:rsidR="00362C64" w:rsidP="00267FF5">
      <w:pPr>
        <w:rPr>
          <w:color w:val="000000" w:themeColor="text1"/>
          <w:sz w:val="22"/>
          <w:szCs w:val="22"/>
        </w:rPr>
      </w:pPr>
      <w:r w:rsidRPr="00583778">
        <w:rPr>
          <w:sz w:val="22"/>
          <w:szCs w:val="22"/>
        </w:rPr>
        <w:t>4.</w:t>
      </w:r>
      <w:r>
        <w:rPr>
          <w:sz w:val="22"/>
          <w:szCs w:val="22"/>
        </w:rPr>
        <w:t>7</w:t>
      </w:r>
      <w:r w:rsidRPr="00583778">
        <w:rPr>
          <w:sz w:val="22"/>
          <w:szCs w:val="22"/>
        </w:rPr>
        <w:t xml:space="preserve"> Some examples of good cross-government co-ordination of hybrid threat responses do exis</w:t>
      </w:r>
      <w:r>
        <w:rPr>
          <w:sz w:val="22"/>
          <w:szCs w:val="22"/>
        </w:rPr>
        <w:t>t</w:t>
      </w:r>
      <w:r w:rsidRPr="00583778">
        <w:rPr>
          <w:sz w:val="22"/>
          <w:szCs w:val="22"/>
        </w:rPr>
        <w:t xml:space="preserve">. The Dutch model of creating a multi-departmental Counter Hybrid Unit </w:t>
      </w:r>
      <w:r w:rsidRPr="00583778">
        <w:rPr>
          <w:color w:val="000000" w:themeColor="text1"/>
          <w:sz w:val="22"/>
          <w:szCs w:val="22"/>
        </w:rPr>
        <w:t>that draws</w:t>
      </w:r>
      <w:r w:rsidRPr="00583778">
        <w:rPr>
          <w:color w:val="000000" w:themeColor="text1"/>
          <w:sz w:val="22"/>
          <w:szCs w:val="22"/>
        </w:rPr>
        <w:t xml:space="preserve"> in</w:t>
      </w:r>
      <w:r w:rsidRPr="00583778">
        <w:rPr>
          <w:color w:val="000000" w:themeColor="text1"/>
          <w:sz w:val="22"/>
          <w:szCs w:val="22"/>
        </w:rPr>
        <w:t xml:space="preserve"> different agencies is worthy replication</w:t>
      </w:r>
      <w:r w:rsidRPr="00583778">
        <w:rPr>
          <w:color w:val="000000" w:themeColor="text1"/>
          <w:sz w:val="22"/>
          <w:szCs w:val="22"/>
        </w:rPr>
        <w:t xml:space="preserve"> in the UK</w:t>
      </w:r>
      <w:r w:rsidRPr="00583778">
        <w:rPr>
          <w:color w:val="000000" w:themeColor="text1"/>
          <w:sz w:val="22"/>
          <w:szCs w:val="22"/>
        </w:rPr>
        <w:t>.</w:t>
      </w:r>
      <w:r>
        <w:rPr>
          <w:rStyle w:val="FootnoteReference"/>
          <w:color w:val="000000" w:themeColor="text1"/>
          <w:sz w:val="22"/>
          <w:szCs w:val="22"/>
        </w:rPr>
        <w:footnoteReference w:id="18"/>
      </w:r>
      <w:r w:rsidRPr="00583778">
        <w:rPr>
          <w:color w:val="000000" w:themeColor="text1"/>
          <w:sz w:val="22"/>
          <w:szCs w:val="22"/>
        </w:rPr>
        <w:t xml:space="preserve"> Equally, whilst the coordination of ‘hybrid’ responses remains a ‘hot potato’ across HMG, we suggest that the NSC/Cabinet Office provide greater central strategic vision and drive. Although policy generally falls into the area of the FCDO and Ministry of Defence, the role of Minister of State for Security (created in 2009 with a remit for counter terrorism and state threats</w:t>
      </w:r>
      <w:r>
        <w:rPr>
          <w:rStyle w:val="FootnoteReference"/>
          <w:color w:val="000000" w:themeColor="text1"/>
          <w:sz w:val="22"/>
          <w:szCs w:val="22"/>
        </w:rPr>
        <w:footnoteReference w:id="19"/>
      </w:r>
      <w:r w:rsidRPr="00583778">
        <w:rPr>
          <w:color w:val="000000" w:themeColor="text1"/>
          <w:sz w:val="22"/>
          <w:szCs w:val="22"/>
        </w:rPr>
        <w:t>) should be bolstered to grasp all aspects of sub-threshold deterrence.</w:t>
      </w:r>
    </w:p>
    <w:p w:rsidR="00362C64" w:rsidRPr="00583778" w:rsidP="00267FF5">
      <w:pPr>
        <w:rPr>
          <w:color w:val="000000" w:themeColor="text1"/>
          <w:sz w:val="22"/>
          <w:szCs w:val="22"/>
        </w:rPr>
      </w:pPr>
    </w:p>
    <w:p w:rsidR="00362C64" w:rsidP="00267FF5">
      <w:pPr>
        <w:rPr>
          <w:b/>
          <w:bCs/>
          <w:color w:val="000000" w:themeColor="text1"/>
          <w:sz w:val="22"/>
          <w:szCs w:val="22"/>
        </w:rPr>
      </w:pPr>
      <w:r>
        <w:rPr>
          <w:color w:val="000000" w:themeColor="text1"/>
          <w:sz w:val="22"/>
          <w:szCs w:val="22"/>
        </w:rPr>
        <w:t>4.</w:t>
      </w:r>
      <w:r>
        <w:rPr>
          <w:color w:val="000000" w:themeColor="text1"/>
          <w:sz w:val="22"/>
          <w:szCs w:val="22"/>
        </w:rPr>
        <w:t>8</w:t>
      </w:r>
      <w:r>
        <w:rPr>
          <w:color w:val="000000" w:themeColor="text1"/>
          <w:sz w:val="22"/>
          <w:szCs w:val="22"/>
        </w:rPr>
        <w:t xml:space="preserve"> </w:t>
      </w:r>
      <w:r>
        <w:rPr>
          <w:color w:val="000000" w:themeColor="text1"/>
          <w:sz w:val="22"/>
          <w:szCs w:val="22"/>
        </w:rPr>
        <w:t xml:space="preserve">Deterrence is not about threatening a like for like response. </w:t>
      </w:r>
      <w:r w:rsidRPr="00583778">
        <w:rPr>
          <w:color w:val="000000" w:themeColor="text1"/>
          <w:sz w:val="22"/>
          <w:szCs w:val="22"/>
        </w:rPr>
        <w:t xml:space="preserve">The </w:t>
      </w:r>
      <w:r>
        <w:rPr>
          <w:color w:val="000000" w:themeColor="text1"/>
          <w:sz w:val="22"/>
          <w:szCs w:val="22"/>
        </w:rPr>
        <w:t xml:space="preserve">tools </w:t>
      </w:r>
      <w:r w:rsidRPr="00583778">
        <w:rPr>
          <w:color w:val="000000" w:themeColor="text1"/>
          <w:sz w:val="22"/>
          <w:szCs w:val="22"/>
        </w:rPr>
        <w:t xml:space="preserve">available to </w:t>
      </w:r>
      <w:r>
        <w:rPr>
          <w:color w:val="000000" w:themeColor="text1"/>
          <w:sz w:val="22"/>
          <w:szCs w:val="22"/>
        </w:rPr>
        <w:t>HMG are not the same as Russia</w:t>
      </w:r>
      <w:r w:rsidRPr="00583778">
        <w:rPr>
          <w:color w:val="000000" w:themeColor="text1"/>
          <w:sz w:val="22"/>
          <w:szCs w:val="22"/>
        </w:rPr>
        <w:t xml:space="preserve"> – nor should they be. The UK’s intelligence community remains world-leading and global, able to leverage bilateral and multilateral connections</w:t>
      </w:r>
      <w:r>
        <w:rPr>
          <w:color w:val="000000" w:themeColor="text1"/>
          <w:sz w:val="22"/>
          <w:szCs w:val="22"/>
        </w:rPr>
        <w:t xml:space="preserve"> to produce ‘effects’. </w:t>
      </w:r>
      <w:r>
        <w:rPr>
          <w:color w:val="000000" w:themeColor="text1"/>
          <w:sz w:val="22"/>
          <w:szCs w:val="22"/>
        </w:rPr>
        <w:t>S</w:t>
      </w:r>
      <w:r w:rsidRPr="00583778">
        <w:rPr>
          <w:color w:val="000000" w:themeColor="text1"/>
          <w:sz w:val="22"/>
          <w:szCs w:val="22"/>
        </w:rPr>
        <w:t xml:space="preserve">IS and GCHQ can leverage their intelligence through i) UK apparatus including the National Cyber Force, or ii) sharing intelligence with allies </w:t>
      </w:r>
      <w:r>
        <w:rPr>
          <w:color w:val="000000" w:themeColor="text1"/>
          <w:sz w:val="22"/>
          <w:szCs w:val="22"/>
        </w:rPr>
        <w:t xml:space="preserve">and wider ‘intelligence diplomacy’ efforts </w:t>
      </w:r>
      <w:r w:rsidRPr="00583778">
        <w:rPr>
          <w:color w:val="000000" w:themeColor="text1"/>
          <w:sz w:val="22"/>
          <w:szCs w:val="22"/>
        </w:rPr>
        <w:t>to deter and respond to Russian hybrid activity.</w:t>
      </w:r>
      <w:r>
        <w:rPr>
          <w:rStyle w:val="FootnoteReference"/>
          <w:color w:val="000000" w:themeColor="text1"/>
          <w:sz w:val="22"/>
          <w:szCs w:val="22"/>
        </w:rPr>
        <w:footnoteReference w:id="20"/>
      </w:r>
      <w:r w:rsidRPr="00583778">
        <w:rPr>
          <w:color w:val="000000" w:themeColor="text1"/>
          <w:sz w:val="22"/>
          <w:szCs w:val="22"/>
        </w:rPr>
        <w:t xml:space="preserve"> </w:t>
      </w:r>
      <w:r>
        <w:rPr>
          <w:color w:val="000000" w:themeColor="text1"/>
          <w:sz w:val="22"/>
          <w:szCs w:val="22"/>
        </w:rPr>
        <w:t>UKIC intelligence</w:t>
      </w:r>
      <w:r>
        <w:rPr>
          <w:color w:val="000000" w:themeColor="text1"/>
          <w:sz w:val="22"/>
          <w:szCs w:val="22"/>
        </w:rPr>
        <w:t xml:space="preserve"> </w:t>
      </w:r>
      <w:r w:rsidRPr="00583778">
        <w:rPr>
          <w:color w:val="000000" w:themeColor="text1"/>
          <w:sz w:val="22"/>
          <w:szCs w:val="22"/>
        </w:rPr>
        <w:t>has allowed Ukraine to hit the Russian military, intelligence</w:t>
      </w:r>
      <w:r>
        <w:rPr>
          <w:color w:val="000000" w:themeColor="text1"/>
          <w:sz w:val="22"/>
          <w:szCs w:val="22"/>
        </w:rPr>
        <w:t xml:space="preserve">, economic </w:t>
      </w:r>
      <w:r w:rsidRPr="00583778">
        <w:rPr>
          <w:color w:val="000000" w:themeColor="text1"/>
          <w:sz w:val="22"/>
          <w:szCs w:val="22"/>
        </w:rPr>
        <w:t xml:space="preserve">and shadow </w:t>
      </w:r>
      <w:r>
        <w:rPr>
          <w:color w:val="000000" w:themeColor="text1"/>
          <w:sz w:val="22"/>
          <w:szCs w:val="22"/>
        </w:rPr>
        <w:t xml:space="preserve">targets with real world effect. </w:t>
      </w:r>
      <w:r>
        <w:rPr>
          <w:b/>
          <w:bCs/>
          <w:color w:val="000000" w:themeColor="text1"/>
          <w:sz w:val="22"/>
          <w:szCs w:val="22"/>
        </w:rPr>
        <w:t>The credibility of UK deterrence is dependent upon continued support for Ukraine and allies at risk of Russian aggression.</w:t>
      </w:r>
      <w:r w:rsidRPr="00F55BDC">
        <w:rPr>
          <w:b/>
          <w:bCs/>
          <w:color w:val="000000" w:themeColor="text1"/>
          <w:sz w:val="22"/>
          <w:szCs w:val="22"/>
        </w:rPr>
        <w:t xml:space="preserve"> </w:t>
      </w:r>
    </w:p>
    <w:p w:rsidR="00362C64" w:rsidRPr="00A00A72" w:rsidP="00267FF5">
      <w:pPr>
        <w:rPr>
          <w:sz w:val="22"/>
          <w:szCs w:val="22"/>
        </w:rPr>
      </w:pPr>
    </w:p>
    <w:p w:rsidR="00362C64" w:rsidRPr="00262DA5" w:rsidP="00267FF5">
      <w:pPr>
        <w:rPr>
          <w:sz w:val="22"/>
          <w:szCs w:val="22"/>
        </w:rPr>
      </w:pPr>
      <w:r w:rsidRPr="00262DA5">
        <w:rPr>
          <w:sz w:val="22"/>
          <w:szCs w:val="22"/>
        </w:rPr>
        <w:t>4.</w:t>
      </w:r>
      <w:r>
        <w:rPr>
          <w:sz w:val="22"/>
          <w:szCs w:val="22"/>
        </w:rPr>
        <w:t>9</w:t>
      </w:r>
      <w:r w:rsidRPr="00262DA5">
        <w:rPr>
          <w:sz w:val="22"/>
          <w:szCs w:val="22"/>
        </w:rPr>
        <w:t xml:space="preserve"> </w:t>
      </w:r>
      <w:r w:rsidRPr="00096F6F">
        <w:rPr>
          <w:b/>
          <w:bCs/>
          <w:sz w:val="22"/>
          <w:szCs w:val="22"/>
        </w:rPr>
        <w:t>A fourth key relationship that impinges upon enhanced deterrence of hybrid threats is that between the public and private sectors.</w:t>
      </w:r>
      <w:r w:rsidRPr="00262DA5">
        <w:rPr>
          <w:sz w:val="22"/>
          <w:szCs w:val="22"/>
        </w:rPr>
        <w:t xml:space="preserve"> </w:t>
      </w:r>
      <w:r>
        <w:rPr>
          <w:sz w:val="22"/>
          <w:szCs w:val="22"/>
        </w:rPr>
        <w:t>A</w:t>
      </w:r>
      <w:r w:rsidRPr="00262DA5">
        <w:rPr>
          <w:sz w:val="22"/>
          <w:szCs w:val="22"/>
        </w:rPr>
        <w:t xml:space="preserve">n understanding of the increasing difference between ownership of targets (often private) and responsibility for responding (governmental) necessitates a close relationship between both sectors. Much of </w:t>
      </w:r>
      <w:r w:rsidRPr="00262DA5">
        <w:rPr>
          <w:sz w:val="22"/>
          <w:szCs w:val="22"/>
        </w:rPr>
        <w:t xml:space="preserve">the UK’s </w:t>
      </w:r>
      <w:r w:rsidRPr="00262DA5">
        <w:rPr>
          <w:sz w:val="22"/>
          <w:szCs w:val="22"/>
        </w:rPr>
        <w:t xml:space="preserve">critical infrastructure, including telecommunications cables, power plants, and energy pipelines, are now mainly in private hands, yet </w:t>
      </w:r>
      <w:r w:rsidRPr="00262DA5">
        <w:rPr>
          <w:sz w:val="22"/>
          <w:szCs w:val="22"/>
        </w:rPr>
        <w:t>the UK Armed Forces</w:t>
      </w:r>
      <w:r w:rsidRPr="00262DA5">
        <w:rPr>
          <w:sz w:val="22"/>
          <w:szCs w:val="22"/>
        </w:rPr>
        <w:t xml:space="preserve"> are often responsible for protecting many of these assets</w:t>
      </w:r>
      <w:r w:rsidRPr="00262DA5">
        <w:rPr>
          <w:sz w:val="22"/>
          <w:szCs w:val="22"/>
        </w:rPr>
        <w:t xml:space="preserve"> (e.g. the Royal Navy p</w:t>
      </w:r>
      <w:r w:rsidRPr="00262DA5">
        <w:rPr>
          <w:sz w:val="22"/>
          <w:szCs w:val="22"/>
        </w:rPr>
        <w:t>atrolling the seas to deter underwater cable sabotage)</w:t>
      </w:r>
      <w:r w:rsidRPr="00262DA5">
        <w:rPr>
          <w:sz w:val="22"/>
          <w:szCs w:val="22"/>
        </w:rPr>
        <w:t xml:space="preserve">. </w:t>
      </w:r>
    </w:p>
    <w:p w:rsidR="00362C64" w:rsidRPr="00262DA5" w:rsidP="00267FF5">
      <w:pPr>
        <w:rPr>
          <w:sz w:val="22"/>
          <w:szCs w:val="22"/>
        </w:rPr>
      </w:pPr>
    </w:p>
    <w:p w:rsidR="00362C64" w:rsidRPr="00B67BE1" w:rsidP="00267FF5">
      <w:pPr>
        <w:rPr>
          <w:sz w:val="22"/>
          <w:szCs w:val="22"/>
        </w:rPr>
      </w:pPr>
      <w:r w:rsidRPr="00262DA5">
        <w:rPr>
          <w:sz w:val="22"/>
          <w:szCs w:val="22"/>
        </w:rPr>
        <w:t>4.</w:t>
      </w:r>
      <w:r>
        <w:rPr>
          <w:sz w:val="22"/>
          <w:szCs w:val="22"/>
        </w:rPr>
        <w:t>1</w:t>
      </w:r>
      <w:r>
        <w:rPr>
          <w:sz w:val="22"/>
          <w:szCs w:val="22"/>
        </w:rPr>
        <w:t>0</w:t>
      </w:r>
      <w:r w:rsidRPr="00262DA5">
        <w:rPr>
          <w:sz w:val="22"/>
          <w:szCs w:val="22"/>
        </w:rPr>
        <w:t xml:space="preserve"> </w:t>
      </w:r>
      <w:r w:rsidRPr="00262DA5">
        <w:rPr>
          <w:sz w:val="22"/>
          <w:szCs w:val="22"/>
        </w:rPr>
        <w:t xml:space="preserve">An enhanced awareness of the potential damage that such attacks can have on their profit margin and growth forecasts is driving private companies to add state-sponsored hybrid threats to their risk registers yet restricted military and governmental capacity means that there has to be enhanced private investment in security measures against hybrid threats in order to minimise the economic impact such attacks may have. </w:t>
      </w:r>
      <w:r w:rsidRPr="00B67BE1">
        <w:rPr>
          <w:sz w:val="22"/>
          <w:szCs w:val="22"/>
        </w:rPr>
        <w:t xml:space="preserve">Deterring Russian hybrid threats requires more than resilience and more than the threat </w:t>
      </w:r>
      <w:r w:rsidRPr="00B67BE1">
        <w:rPr>
          <w:sz w:val="22"/>
          <w:szCs w:val="22"/>
        </w:rPr>
        <w:t>of punishment alone. The UK should adopt a coherent subthreshold deterrence posture that combines denial, punishment, disruption and resilience across government, society and allied partnerships. The central objective should be to alter Russian risk calculations by both increasing the expected costs of aggression and reducing confidence that aggression below the threshold of war will succeed.</w:t>
      </w:r>
    </w:p>
    <w:p w:rsidR="00362C64" w:rsidP="00267FF5">
      <w:pPr>
        <w:rPr>
          <w:sz w:val="22"/>
          <w:szCs w:val="22"/>
        </w:rPr>
      </w:pPr>
    </w:p>
    <w:p w:rsidR="00362C64" w:rsidRPr="00442BD0" w:rsidP="00267FF5">
      <w:pPr>
        <w:jc w:val="right"/>
        <w:rPr>
          <w:i/>
          <w:iCs/>
          <w:sz w:val="22"/>
          <w:szCs w:val="22"/>
        </w:rPr>
      </w:pPr>
      <w:r w:rsidRPr="00442BD0">
        <w:rPr>
          <w:i/>
          <w:iCs/>
          <w:sz w:val="22"/>
          <w:szCs w:val="22"/>
        </w:rPr>
        <w:t xml:space="preserve">6 </w:t>
      </w:r>
      <w:r w:rsidRPr="00442BD0">
        <w:rPr>
          <w:i/>
          <w:iCs/>
          <w:sz w:val="22"/>
          <w:szCs w:val="22"/>
        </w:rPr>
        <w:t xml:space="preserve">July 2026 </w:t>
      </w:r>
    </w:p>
    <w:sectPr w:rsidSect="00442BD0">
      <w:headerReference w:type="default" r:id="rId6"/>
      <w:pgSz w:w="11906" w:h="16838"/>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62C64" w:rsidP="001C5E93">
      <w:r>
        <w:separator/>
      </w:r>
    </w:p>
  </w:footnote>
  <w:footnote w:type="continuationSeparator" w:id="1">
    <w:p w:rsidR="00362C64" w:rsidP="001C5E93">
      <w:r>
        <w:continuationSeparator/>
      </w:r>
    </w:p>
  </w:footnote>
  <w:footnote w:id="2">
    <w:p w:rsidR="00362C64" w:rsidRPr="00583778" w:rsidP="00583778">
      <w:pPr>
        <w:pStyle w:val="FootnoteText"/>
        <w:spacing w:line="276" w:lineRule="auto"/>
      </w:pPr>
      <w:r w:rsidRPr="00583778">
        <w:rPr>
          <w:rStyle w:val="FootnoteReference"/>
        </w:rPr>
        <w:footnoteRef/>
      </w:r>
      <w:r w:rsidRPr="00583778">
        <w:t xml:space="preserve"> Edwards and Seidenstein, </w:t>
      </w:r>
      <w:r w:rsidRPr="00583778">
        <w:rPr>
          <w:i/>
          <w:iCs/>
        </w:rPr>
        <w:t>The Scale of Russian Sabotage Operations Against Europe’s Critical Infrastructure</w:t>
      </w:r>
      <w:r w:rsidRPr="00583778">
        <w:t xml:space="preserve"> (2025), </w:t>
      </w:r>
      <w:r>
        <w:fldChar w:fldCharType="begin"/>
      </w:r>
      <w:r>
        <w:instrText xml:space="preserve"> HYPERLINK "https://www.iiss.org/research-paper/2025/08/the-scale-of-russian--sabotage-operations--against-europes-critical--infrastructure/" </w:instrText>
      </w:r>
      <w:r>
        <w:fldChar w:fldCharType="separate"/>
      </w:r>
      <w:r w:rsidRPr="00583778">
        <w:rPr>
          <w:rStyle w:val="Hyperlink"/>
        </w:rPr>
        <w:t>https://www.iiss.org/research-paper/2025/08/the-scale-of-russian--sabotage-operations--against-europes-critical--infrastructure/</w:t>
      </w:r>
      <w:r>
        <w:fldChar w:fldCharType="end"/>
      </w:r>
      <w:r w:rsidRPr="00583778">
        <w:t xml:space="preserve"> </w:t>
      </w:r>
    </w:p>
  </w:footnote>
  <w:footnote w:id="3">
    <w:p w:rsidR="00362C64" w:rsidRPr="00583778" w:rsidP="00583778">
      <w:pPr>
        <w:pStyle w:val="FootnoteText"/>
        <w:spacing w:line="276" w:lineRule="auto"/>
      </w:pPr>
      <w:r w:rsidRPr="00583778">
        <w:rPr>
          <w:rStyle w:val="FootnoteReference"/>
        </w:rPr>
        <w:footnoteRef/>
      </w:r>
      <w:r w:rsidRPr="00583778">
        <w:t xml:space="preserve"> Mumford, ‘Understanding Hybrid Warfare’, </w:t>
      </w:r>
      <w:r w:rsidRPr="00583778">
        <w:rPr>
          <w:i/>
        </w:rPr>
        <w:t>Cambridge Review of International Affairs</w:t>
      </w:r>
      <w:r w:rsidRPr="00583778">
        <w:t>, 33</w:t>
      </w:r>
      <w:r>
        <w:t>/</w:t>
      </w:r>
      <w:r w:rsidRPr="00583778">
        <w:t xml:space="preserve">6, 2020, 824-27; Carlucci and Mumford, ‘Hybrid Warfare: The Continuation of Ambiguity by Other Means’, </w:t>
      </w:r>
      <w:r w:rsidRPr="00583778">
        <w:rPr>
          <w:i/>
          <w:iCs/>
        </w:rPr>
        <w:t>European Journal of International Security</w:t>
      </w:r>
      <w:r w:rsidRPr="00583778">
        <w:t>,</w:t>
      </w:r>
      <w:r w:rsidRPr="00583778">
        <w:rPr>
          <w:i/>
          <w:iCs/>
        </w:rPr>
        <w:t xml:space="preserve"> </w:t>
      </w:r>
      <w:bookmarkStart w:id="0" w:name="_Hlk135043803"/>
      <w:r w:rsidRPr="00583778">
        <w:t>8</w:t>
      </w:r>
      <w:r>
        <w:t>/2</w:t>
      </w:r>
      <w:r w:rsidRPr="00583778">
        <w:t>, 2023, 192 – 20</w:t>
      </w:r>
      <w:bookmarkEnd w:id="0"/>
      <w:r w:rsidRPr="00583778">
        <w:t>6.</w:t>
      </w:r>
    </w:p>
  </w:footnote>
  <w:footnote w:id="4">
    <w:p w:rsidR="00362C64" w:rsidP="00701915">
      <w:pPr>
        <w:pStyle w:val="FootnoteText"/>
      </w:pPr>
      <w:r>
        <w:rPr>
          <w:rStyle w:val="FootnoteReference"/>
        </w:rPr>
        <w:footnoteRef/>
      </w:r>
      <w:r>
        <w:t xml:space="preserve"> MoD, Joint Concept Note 2/18: Information Advantage’ (November 2018)</w:t>
      </w:r>
    </w:p>
  </w:footnote>
  <w:footnote w:id="5">
    <w:p w:rsidR="00362C64" w:rsidRPr="00583778" w:rsidP="00583778">
      <w:pPr>
        <w:pStyle w:val="FootnoteText"/>
        <w:spacing w:line="276" w:lineRule="auto"/>
      </w:pPr>
      <w:r w:rsidRPr="00583778">
        <w:rPr>
          <w:rStyle w:val="FootnoteReference"/>
        </w:rPr>
        <w:footnoteRef/>
      </w:r>
      <w:r w:rsidRPr="00583778">
        <w:t xml:space="preserve"> See Cormac, Walton, Van Puyvelde, </w:t>
      </w:r>
      <w:r w:rsidRPr="00583778">
        <w:rPr>
          <w:rStyle w:val="s1"/>
        </w:rPr>
        <w:t>‘</w:t>
      </w:r>
      <w:r w:rsidRPr="00583778">
        <w:t>What Constitutes Successful Covert Action?</w:t>
      </w:r>
      <w:r>
        <w:t xml:space="preserve">’, </w:t>
      </w:r>
      <w:r w:rsidRPr="00583778">
        <w:rPr>
          <w:i/>
          <w:iCs/>
        </w:rPr>
        <w:t>Review of International Studies</w:t>
      </w:r>
      <w:r w:rsidRPr="00583778">
        <w:t>, 48/1</w:t>
      </w:r>
      <w:r w:rsidRPr="00583778">
        <w:rPr>
          <w:i/>
          <w:iCs/>
        </w:rPr>
        <w:t xml:space="preserve"> </w:t>
      </w:r>
      <w:r w:rsidRPr="00583778">
        <w:t>(2021):111-128; Rovner, Maschmeyer, Cormac</w:t>
      </w:r>
      <w:r>
        <w:t xml:space="preserve">, </w:t>
      </w:r>
      <w:r w:rsidRPr="00583778">
        <w:rPr>
          <w:rStyle w:val="citationarticletitle"/>
        </w:rPr>
        <w:t xml:space="preserve">‘Sand in the Gears: Sabotage in World Politics’, </w:t>
      </w:r>
      <w:r w:rsidRPr="00583778">
        <w:rPr>
          <w:rStyle w:val="citationjournaltitle"/>
          <w:i/>
          <w:iCs/>
        </w:rPr>
        <w:t>European Journal of International</w:t>
      </w:r>
      <w:r w:rsidRPr="00583778">
        <w:rPr>
          <w:rStyle w:val="citationjournaltitle"/>
        </w:rPr>
        <w:t xml:space="preserve"> </w:t>
      </w:r>
      <w:r w:rsidRPr="00583778">
        <w:rPr>
          <w:rStyle w:val="citationjournaltitle"/>
          <w:i/>
          <w:iCs/>
        </w:rPr>
        <w:t>Security</w:t>
      </w:r>
      <w:r w:rsidRPr="00583778">
        <w:t>. 2025:1-20.</w:t>
      </w:r>
    </w:p>
  </w:footnote>
  <w:footnote w:id="6">
    <w:p w:rsidR="00362C64" w:rsidP="0033761A">
      <w:pPr>
        <w:pStyle w:val="FootnoteText"/>
      </w:pPr>
      <w:r>
        <w:rPr>
          <w:rStyle w:val="FootnoteReference"/>
        </w:rPr>
        <w:footnoteRef/>
      </w:r>
      <w:r>
        <w:t xml:space="preserve"> </w:t>
      </w:r>
      <w:r w:rsidRPr="00BC665C">
        <w:t xml:space="preserve">Watling, </w:t>
      </w:r>
      <w:r>
        <w:t>‘</w:t>
      </w:r>
      <w:r w:rsidRPr="00BC665C">
        <w:t>Sharpening the Dagger</w:t>
      </w:r>
      <w:r>
        <w:t>’,</w:t>
      </w:r>
      <w:r w:rsidRPr="00BC665C">
        <w:t xml:space="preserve"> </w:t>
      </w:r>
      <w:r w:rsidRPr="00BC665C">
        <w:rPr>
          <w:i/>
          <w:iCs/>
        </w:rPr>
        <w:t>RUSI Whitehall Report</w:t>
      </w:r>
      <w:r w:rsidRPr="00BC665C">
        <w:t>, (2021)</w:t>
      </w:r>
      <w:r>
        <w:t>.</w:t>
      </w:r>
    </w:p>
  </w:footnote>
  <w:footnote w:id="7">
    <w:p w:rsidR="00362C64" w:rsidRPr="00583778" w:rsidP="00583778">
      <w:pPr>
        <w:pStyle w:val="FootnoteText"/>
        <w:spacing w:line="276" w:lineRule="auto"/>
      </w:pPr>
      <w:r w:rsidRPr="00583778">
        <w:rPr>
          <w:rStyle w:val="FootnoteReference"/>
        </w:rPr>
        <w:footnoteRef/>
      </w:r>
      <w:r w:rsidRPr="00583778">
        <w:t xml:space="preserve"> Carso</w:t>
      </w:r>
      <w:r>
        <w:t>n, ‘</w:t>
      </w:r>
      <w:r w:rsidRPr="00583778">
        <w:t>Facing Off and Saving Face: Covert Intervention and Escalation Management in the Korean War.</w:t>
      </w:r>
      <w:r>
        <w:t xml:space="preserve"> </w:t>
      </w:r>
      <w:r w:rsidRPr="00583778">
        <w:rPr>
          <w:i/>
          <w:iCs/>
        </w:rPr>
        <w:t>International Organization</w:t>
      </w:r>
      <w:r w:rsidRPr="00583778">
        <w:t>. 2016;70</w:t>
      </w:r>
      <w:r>
        <w:t xml:space="preserve">/1, </w:t>
      </w:r>
      <w:r w:rsidRPr="00583778">
        <w:t>103-131</w:t>
      </w:r>
    </w:p>
  </w:footnote>
  <w:footnote w:id="8">
    <w:p w:rsidR="00362C64" w:rsidRPr="00583778" w:rsidP="00583778">
      <w:pPr>
        <w:pStyle w:val="FootnoteText"/>
        <w:spacing w:line="276" w:lineRule="auto"/>
      </w:pPr>
      <w:r w:rsidRPr="00583778">
        <w:rPr>
          <w:rStyle w:val="FootnoteReference"/>
        </w:rPr>
        <w:footnoteRef/>
      </w:r>
      <w:r w:rsidRPr="00583778">
        <w:t xml:space="preserve"> Cormac, </w:t>
      </w:r>
      <w:r w:rsidRPr="00583778">
        <w:rPr>
          <w:bCs/>
          <w:i/>
          <w:iCs/>
        </w:rPr>
        <w:t xml:space="preserve">Fakers: A Top-Secret Tale of Phantoms and Forgeries on the Disinformation Front Line </w:t>
      </w:r>
      <w:r w:rsidRPr="00583778">
        <w:rPr>
          <w:bCs/>
        </w:rPr>
        <w:t>(Oxford University Press, 2026); Poznansky,</w:t>
      </w:r>
      <w:r>
        <w:rPr>
          <w:bCs/>
        </w:rPr>
        <w:t xml:space="preserve"> </w:t>
      </w:r>
      <w:r w:rsidRPr="00583778">
        <w:rPr>
          <w:bCs/>
        </w:rPr>
        <w:t>Perkoski, Rethinking Secrecy in Cyberspace</w:t>
      </w:r>
      <w:r>
        <w:rPr>
          <w:bCs/>
        </w:rPr>
        <w:t xml:space="preserve">’, </w:t>
      </w:r>
      <w:r w:rsidRPr="00583778">
        <w:rPr>
          <w:bCs/>
          <w:i/>
          <w:iCs/>
        </w:rPr>
        <w:t>Journal of Global Security Studies</w:t>
      </w:r>
      <w:r w:rsidRPr="00583778">
        <w:rPr>
          <w:bCs/>
        </w:rPr>
        <w:t>, 3</w:t>
      </w:r>
      <w:r>
        <w:rPr>
          <w:bCs/>
        </w:rPr>
        <w:t>/</w:t>
      </w:r>
      <w:r w:rsidRPr="00583778">
        <w:rPr>
          <w:bCs/>
        </w:rPr>
        <w:t>4, 2018, 402–416</w:t>
      </w:r>
    </w:p>
  </w:footnote>
  <w:footnote w:id="9">
    <w:p w:rsidR="00362C64" w:rsidRPr="00583778" w:rsidP="00583778">
      <w:pPr>
        <w:pStyle w:val="FootnoteText"/>
        <w:spacing w:line="276" w:lineRule="auto"/>
      </w:pPr>
      <w:r w:rsidRPr="00583778">
        <w:rPr>
          <w:rStyle w:val="FootnoteReference"/>
        </w:rPr>
        <w:footnoteRef/>
      </w:r>
      <w:r w:rsidRPr="00583778">
        <w:t xml:space="preserve"> Cormac and Aldrich </w:t>
      </w:r>
      <w:r w:rsidRPr="00583778">
        <w:rPr>
          <w:rStyle w:val="s1"/>
        </w:rPr>
        <w:t xml:space="preserve">‘Grey is the New Black: Covert Action and Implausible Deniability’, </w:t>
      </w:r>
      <w:r w:rsidRPr="00583778">
        <w:rPr>
          <w:rStyle w:val="s1"/>
          <w:i/>
        </w:rPr>
        <w:t>International Affairs</w:t>
      </w:r>
      <w:r w:rsidRPr="00583778">
        <w:rPr>
          <w:rStyle w:val="s1"/>
        </w:rPr>
        <w:t xml:space="preserve">, 94/3 (2018): 477-494; </w:t>
      </w:r>
      <w:r w:rsidRPr="00583778">
        <w:t>Carson</w:t>
      </w:r>
      <w:r>
        <w:t xml:space="preserve"> and </w:t>
      </w:r>
      <w:r w:rsidRPr="00583778">
        <w:t>Yarhi-Milo, K.</w:t>
      </w:r>
      <w:r>
        <w:t xml:space="preserve"> ‘</w:t>
      </w:r>
      <w:r w:rsidRPr="00583778">
        <w:t>Covert Communication: The Intelligibility and Credibility of Signaling in Secret</w:t>
      </w:r>
      <w:r>
        <w:t xml:space="preserve">’, </w:t>
      </w:r>
      <w:r w:rsidRPr="00583778">
        <w:rPr>
          <w:i/>
          <w:iCs/>
        </w:rPr>
        <w:t>Security Studies</w:t>
      </w:r>
      <w:r w:rsidRPr="00583778">
        <w:t>,</w:t>
      </w:r>
      <w:r>
        <w:t xml:space="preserve"> </w:t>
      </w:r>
      <w:r w:rsidRPr="000630E6">
        <w:t>26</w:t>
      </w:r>
      <w:r w:rsidRPr="000630E6">
        <w:t>/1</w:t>
      </w:r>
      <w:r w:rsidRPr="00583778">
        <w:t>, 124–156.</w:t>
      </w:r>
    </w:p>
  </w:footnote>
  <w:footnote w:id="10">
    <w:p w:rsidR="00362C64" w:rsidRPr="00B82CD1" w:rsidP="0033761A">
      <w:pPr>
        <w:pStyle w:val="FootnoteText"/>
      </w:pPr>
      <w:r w:rsidRPr="00B82CD1">
        <w:rPr>
          <w:rStyle w:val="FootnoteReference"/>
        </w:rPr>
        <w:footnoteRef/>
      </w:r>
      <w:r w:rsidRPr="00B82CD1">
        <w:t xml:space="preserve"> Bozkurt, Ciucci, J. Millar, and Topp, </w:t>
      </w:r>
      <w:r w:rsidRPr="00B82CD1">
        <w:rPr>
          <w:i/>
          <w:iCs/>
        </w:rPr>
        <w:t>Accountability and Oversight of UK Special Forces</w:t>
      </w:r>
      <w:r w:rsidRPr="00B82CD1">
        <w:t>, (2023).</w:t>
      </w:r>
    </w:p>
  </w:footnote>
  <w:footnote w:id="11">
    <w:p w:rsidR="00362C64" w:rsidRPr="00583778" w:rsidP="00583778">
      <w:pPr>
        <w:pStyle w:val="FootnoteText"/>
        <w:spacing w:line="276" w:lineRule="auto"/>
      </w:pPr>
      <w:r w:rsidRPr="00583778">
        <w:rPr>
          <w:rStyle w:val="FootnoteReference"/>
        </w:rPr>
        <w:footnoteRef/>
      </w:r>
      <w:r w:rsidRPr="00583778">
        <w:t xml:space="preserve"> Belogolova et al, ‘Don’t Hype The Disinformation Threat’, </w:t>
      </w:r>
      <w:r w:rsidRPr="00583778">
        <w:rPr>
          <w:i/>
          <w:iCs/>
        </w:rPr>
        <w:t xml:space="preserve">Foreign Affairs </w:t>
      </w:r>
      <w:r w:rsidRPr="00583778">
        <w:t>(3/5/24)</w:t>
      </w:r>
    </w:p>
  </w:footnote>
  <w:footnote w:id="12">
    <w:p w:rsidR="00362C64" w:rsidRPr="00583778" w:rsidP="00583778">
      <w:pPr>
        <w:pStyle w:val="FootnoteText"/>
        <w:spacing w:line="276" w:lineRule="auto"/>
      </w:pPr>
      <w:r w:rsidRPr="00583778">
        <w:rPr>
          <w:rStyle w:val="FootnoteReference"/>
        </w:rPr>
        <w:footnoteRef/>
      </w:r>
      <w:r w:rsidRPr="00583778">
        <w:t xml:space="preserve"> Hiscoke, Ward</w:t>
      </w:r>
      <w:r>
        <w:t xml:space="preserve">, </w:t>
      </w:r>
      <w:r w:rsidRPr="00583778">
        <w:t xml:space="preserve">Lomas, ‘Trust without knowledge? UK intelligence agencies and the public trust conundrum’, </w:t>
      </w:r>
      <w:r w:rsidRPr="00583778">
        <w:rPr>
          <w:i/>
          <w:iCs/>
        </w:rPr>
        <w:t>Intelligence &amp; National Security</w:t>
      </w:r>
      <w:r w:rsidRPr="00583778">
        <w:t>, 40</w:t>
      </w:r>
      <w:r>
        <w:t>/</w:t>
      </w:r>
      <w:r w:rsidRPr="00583778">
        <w:t>3 (2025).</w:t>
      </w:r>
    </w:p>
  </w:footnote>
  <w:footnote w:id="13">
    <w:p w:rsidR="00362C64" w:rsidRPr="00583778" w:rsidP="00583778">
      <w:pPr>
        <w:pStyle w:val="FootnoteText"/>
        <w:spacing w:line="276" w:lineRule="auto"/>
      </w:pPr>
      <w:r w:rsidRPr="00583778">
        <w:rPr>
          <w:rStyle w:val="FootnoteReference"/>
        </w:rPr>
        <w:footnoteRef/>
      </w:r>
      <w:r w:rsidRPr="00583778">
        <w:t xml:space="preserve"> </w:t>
      </w:r>
      <w:r>
        <w:t xml:space="preserve">&lt; </w:t>
      </w:r>
      <w:r>
        <w:fldChar w:fldCharType="begin"/>
      </w:r>
      <w:r>
        <w:instrText xml:space="preserve"> HYPERLINK "https://www.dni.gov/files/ODNI/documents/assessments/ATA-2025-Unclassified-Report.pdf" </w:instrText>
      </w:r>
      <w:r>
        <w:fldChar w:fldCharType="separate"/>
      </w:r>
      <w:r w:rsidRPr="00583778">
        <w:rPr>
          <w:rStyle w:val="Hyperlink"/>
        </w:rPr>
        <w:t>ATA-2025-Unclassified-Report.pdf</w:t>
      </w:r>
      <w:r>
        <w:fldChar w:fldCharType="end"/>
      </w:r>
      <w:r w:rsidRPr="00583778">
        <w:t xml:space="preserve"> </w:t>
      </w:r>
      <w:r>
        <w:t xml:space="preserve">&gt; </w:t>
      </w:r>
    </w:p>
  </w:footnote>
  <w:footnote w:id="14">
    <w:p w:rsidR="00362C64">
      <w:pPr>
        <w:pStyle w:val="FootnoteText"/>
      </w:pPr>
      <w:r>
        <w:rPr>
          <w:rStyle w:val="FootnoteReference"/>
        </w:rPr>
        <w:footnoteRef/>
      </w:r>
      <w:r>
        <w:t xml:space="preserve"> &lt; </w:t>
      </w:r>
      <w:r>
        <w:fldChar w:fldCharType="begin"/>
      </w:r>
      <w:r>
        <w:instrText xml:space="preserve"> HYPERLINK "https://www.aivd.nl/site/binaries/site-content/collections/documents/2026/04/23/jaarverslag-2025/aivd-jaarverslag-2025.pdf" </w:instrText>
      </w:r>
      <w:r>
        <w:fldChar w:fldCharType="separate"/>
      </w:r>
      <w:r w:rsidRPr="009367C8">
        <w:rPr>
          <w:rStyle w:val="Hyperlink"/>
        </w:rPr>
        <w:t xml:space="preserve">AIVD </w:t>
      </w:r>
      <w:r w:rsidRPr="009367C8">
        <w:rPr>
          <w:rStyle w:val="Hyperlink"/>
        </w:rPr>
        <w:t>Jaarverslag</w:t>
      </w:r>
      <w:r w:rsidRPr="009367C8">
        <w:rPr>
          <w:rStyle w:val="Hyperlink"/>
        </w:rPr>
        <w:t xml:space="preserve"> 2025</w:t>
      </w:r>
      <w:r>
        <w:fldChar w:fldCharType="end"/>
      </w:r>
      <w:r>
        <w:t xml:space="preserve"> &gt; </w:t>
      </w:r>
    </w:p>
  </w:footnote>
  <w:footnote w:id="15">
    <w:p w:rsidR="00362C64" w:rsidRPr="00583778" w:rsidP="00583778">
      <w:pPr>
        <w:pStyle w:val="FootnoteText"/>
        <w:spacing w:line="276" w:lineRule="auto"/>
      </w:pPr>
      <w:r w:rsidRPr="00583778">
        <w:rPr>
          <w:rStyle w:val="FootnoteReference"/>
        </w:rPr>
        <w:footnoteRef/>
      </w:r>
      <w:r w:rsidRPr="00583778">
        <w:t xml:space="preserve"> HC 632 – </w:t>
      </w:r>
      <w:r w:rsidRPr="00583778">
        <w:rPr>
          <w:i/>
          <w:iCs/>
        </w:rPr>
        <w:t>Intelligence and Security Committee of Parliament – Russia</w:t>
      </w:r>
      <w:r w:rsidRPr="00583778">
        <w:t xml:space="preserve">, p. 25; Q114, Oral Evidence: The Wagner Group and beyond: proxy Private Military Companies, HC 167, 6 February 2023. </w:t>
      </w:r>
    </w:p>
  </w:footnote>
  <w:footnote w:id="16">
    <w:p w:rsidR="00362C64" w:rsidRPr="00583778" w:rsidP="00583778">
      <w:pPr>
        <w:pStyle w:val="FootnoteText"/>
        <w:spacing w:line="276" w:lineRule="auto"/>
      </w:pPr>
      <w:r w:rsidRPr="00583778">
        <w:rPr>
          <w:rStyle w:val="FootnoteReference"/>
        </w:rPr>
        <w:footnoteRef/>
      </w:r>
      <w:r w:rsidRPr="00583778">
        <w:t xml:space="preserve"> Evidence to the Foreign Affairs Committee, February 2025 &lt; </w:t>
      </w:r>
      <w:r>
        <w:fldChar w:fldCharType="begin"/>
      </w:r>
      <w:r>
        <w:instrText xml:space="preserve"> HYPERLINK "https://committees.parliament.uk/writtenevidence/137905/pdf/" </w:instrText>
      </w:r>
      <w:r>
        <w:fldChar w:fldCharType="separate"/>
      </w:r>
      <w:r>
        <w:rPr>
          <w:rStyle w:val="Hyperlink"/>
        </w:rPr>
        <w:t>https://committees.parliament.uk/writtenevidence/137905/pdf/</w:t>
      </w:r>
      <w:r>
        <w:fldChar w:fldCharType="end"/>
      </w:r>
      <w:r w:rsidRPr="00583778">
        <w:t xml:space="preserve"> &gt; </w:t>
      </w:r>
    </w:p>
  </w:footnote>
  <w:footnote w:id="17">
    <w:p w:rsidR="00362C64" w:rsidRPr="00583778" w:rsidP="00583778">
      <w:pPr>
        <w:pStyle w:val="FootnoteText"/>
        <w:spacing w:line="276" w:lineRule="auto"/>
      </w:pPr>
      <w:r w:rsidRPr="00583778">
        <w:rPr>
          <w:rStyle w:val="FootnoteReference"/>
        </w:rPr>
        <w:footnoteRef/>
      </w:r>
      <w:r w:rsidRPr="00583778">
        <w:t xml:space="preserve"> See Cormac, </w:t>
      </w:r>
      <w:r w:rsidRPr="00583778">
        <w:rPr>
          <w:bCs/>
          <w:i/>
          <w:iCs/>
        </w:rPr>
        <w:t>Disrupt and Deny</w:t>
      </w:r>
      <w:r w:rsidRPr="00583778">
        <w:rPr>
          <w:bCs/>
          <w:iCs/>
        </w:rPr>
        <w:t xml:space="preserve"> (Oxford University Press, 2018)</w:t>
      </w:r>
    </w:p>
  </w:footnote>
  <w:footnote w:id="18">
    <w:p w:rsidR="00362C64" w:rsidRPr="00583778" w:rsidP="00583778">
      <w:pPr>
        <w:pStyle w:val="FootnoteText"/>
        <w:spacing w:line="276" w:lineRule="auto"/>
      </w:pPr>
      <w:r w:rsidRPr="00583778">
        <w:rPr>
          <w:rStyle w:val="FootnoteReference"/>
        </w:rPr>
        <w:footnoteRef/>
      </w:r>
      <w:r w:rsidRPr="00583778">
        <w:t xml:space="preserve"> For more information on their work read UK House of Commons Defence Committee, ‘Oral evidence: Defence in the Grey</w:t>
      </w:r>
      <w:r>
        <w:t xml:space="preserve"> </w:t>
      </w:r>
      <w:r w:rsidRPr="00583778">
        <w:t xml:space="preserve">Zone’, HC 405, </w:t>
      </w:r>
      <w:r>
        <w:fldChar w:fldCharType="begin"/>
      </w:r>
      <w:r>
        <w:instrText xml:space="preserve"> HYPERLINK "https://committees.parliament.uk/oralevidence/15250/html/" </w:instrText>
      </w:r>
      <w:r>
        <w:fldChar w:fldCharType="separate"/>
      </w:r>
      <w:r>
        <w:rPr>
          <w:rStyle w:val="Hyperlink"/>
        </w:rPr>
        <w:t>https://committees.parliament.uk/oralevidence/15250/html/</w:t>
      </w:r>
      <w:r>
        <w:fldChar w:fldCharType="end"/>
      </w:r>
      <w:r w:rsidRPr="00583778">
        <w:t xml:space="preserve"> </w:t>
      </w:r>
    </w:p>
  </w:footnote>
  <w:footnote w:id="19">
    <w:p w:rsidR="00362C64" w:rsidRPr="00583778" w:rsidP="00583778">
      <w:pPr>
        <w:pStyle w:val="FootnoteText"/>
        <w:spacing w:line="276" w:lineRule="auto"/>
      </w:pPr>
      <w:r w:rsidRPr="00583778">
        <w:rPr>
          <w:rStyle w:val="FootnoteReference"/>
        </w:rPr>
        <w:footnoteRef/>
      </w:r>
      <w:r w:rsidRPr="00583778">
        <w:t xml:space="preserve"> Minister of State for Security &lt; </w:t>
      </w:r>
      <w:r>
        <w:fldChar w:fldCharType="begin"/>
      </w:r>
      <w:r>
        <w:instrText xml:space="preserve"> HYPERLINK "https://www.gov.uk/government/ministers/minister-of-state--174" </w:instrText>
      </w:r>
      <w:r>
        <w:fldChar w:fldCharType="separate"/>
      </w:r>
      <w:r>
        <w:rPr>
          <w:rStyle w:val="Hyperlink"/>
        </w:rPr>
        <w:t>https://www.gov.uk/government/ministers/minister-of-state--174</w:t>
      </w:r>
      <w:r>
        <w:fldChar w:fldCharType="end"/>
      </w:r>
      <w:r w:rsidRPr="00583778">
        <w:t xml:space="preserve"> &gt; </w:t>
      </w:r>
    </w:p>
  </w:footnote>
  <w:footnote w:id="20">
    <w:p w:rsidR="00362C64" w:rsidRPr="00583778" w:rsidP="00583778">
      <w:pPr>
        <w:pStyle w:val="FootnoteText"/>
        <w:spacing w:line="276" w:lineRule="auto"/>
      </w:pPr>
      <w:r w:rsidRPr="00583778">
        <w:rPr>
          <w:rStyle w:val="FootnoteReference"/>
        </w:rPr>
        <w:footnoteRef/>
      </w:r>
      <w:r w:rsidRPr="00583778">
        <w:t xml:space="preserve"> Lomas, ‘Is the UK about to see SOE reborn? Think again’, </w:t>
      </w:r>
      <w:r w:rsidRPr="00583778">
        <w:rPr>
          <w:i/>
          <w:iCs/>
        </w:rPr>
        <w:t>RUSI</w:t>
      </w:r>
      <w:r w:rsidRPr="00583778">
        <w:t>, 17 March 2026</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2BD0" w:rsidRPr="00442BD0" w:rsidP="00442BD0">
    <w:pPr>
      <w:pStyle w:val="Header"/>
      <w:jc w:val="right"/>
      <w:rPr>
        <w:rFonts w:ascii="Arial" w:hAnsi="Arial" w:cs="Arial"/>
        <w:sz w:val="22"/>
        <w:szCs w:val="22"/>
      </w:rPr>
    </w:pPr>
    <w:r w:rsidRPr="00442BD0">
      <w:rPr>
        <w:rFonts w:ascii="Arial" w:hAnsi="Arial" w:cs="Arial"/>
        <w:sz w:val="22"/>
        <w:szCs w:val="22"/>
      </w:rPr>
      <w:t>RUS0003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5E93"/>
    <w:pPr>
      <w:spacing w:after="0" w:line="240" w:lineRule="auto"/>
    </w:pPr>
    <w:rPr>
      <w:rFonts w:ascii="Times New Roman" w:eastAsia="Times New Roman" w:hAnsi="Times New Roman" w:cs="Times New Roman"/>
      <w:kern w:val="0"/>
      <w:sz w:val="24"/>
      <w:szCs w:val="24"/>
      <w:lang w:eastAsia="fi-FI"/>
    </w:rPr>
  </w:style>
  <w:style w:type="paragraph" w:styleId="Heading1">
    <w:name w:val="heading 1"/>
    <w:basedOn w:val="Normal"/>
    <w:next w:val="Normal"/>
    <w:link w:val="Heading1Char"/>
    <w:uiPriority w:val="9"/>
    <w:qFormat/>
    <w:rsid w:val="001C5E9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rPr>
  </w:style>
  <w:style w:type="paragraph" w:styleId="Heading2">
    <w:name w:val="heading 2"/>
    <w:basedOn w:val="Normal"/>
    <w:next w:val="Normal"/>
    <w:link w:val="Heading2Char"/>
    <w:uiPriority w:val="9"/>
    <w:semiHidden/>
    <w:unhideWhenUsed/>
    <w:qFormat/>
    <w:rsid w:val="001C5E9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rPr>
  </w:style>
  <w:style w:type="paragraph" w:styleId="Heading3">
    <w:name w:val="heading 3"/>
    <w:basedOn w:val="Normal"/>
    <w:next w:val="Normal"/>
    <w:link w:val="Heading3Char"/>
    <w:uiPriority w:val="9"/>
    <w:semiHidden/>
    <w:unhideWhenUsed/>
    <w:qFormat/>
    <w:rsid w:val="001C5E9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rPr>
  </w:style>
  <w:style w:type="paragraph" w:styleId="Heading4">
    <w:name w:val="heading 4"/>
    <w:basedOn w:val="Normal"/>
    <w:next w:val="Normal"/>
    <w:link w:val="Heading4Char"/>
    <w:uiPriority w:val="9"/>
    <w:semiHidden/>
    <w:unhideWhenUsed/>
    <w:qFormat/>
    <w:rsid w:val="001C5E9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rPr>
  </w:style>
  <w:style w:type="paragraph" w:styleId="Heading5">
    <w:name w:val="heading 5"/>
    <w:basedOn w:val="Normal"/>
    <w:next w:val="Normal"/>
    <w:link w:val="Heading5Char"/>
    <w:uiPriority w:val="9"/>
    <w:semiHidden/>
    <w:unhideWhenUsed/>
    <w:qFormat/>
    <w:rsid w:val="001C5E9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rPr>
  </w:style>
  <w:style w:type="paragraph" w:styleId="Heading6">
    <w:name w:val="heading 6"/>
    <w:basedOn w:val="Normal"/>
    <w:next w:val="Normal"/>
    <w:link w:val="Heading6Char"/>
    <w:uiPriority w:val="9"/>
    <w:semiHidden/>
    <w:unhideWhenUsed/>
    <w:qFormat/>
    <w:rsid w:val="001C5E9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rPr>
  </w:style>
  <w:style w:type="paragraph" w:styleId="Heading7">
    <w:name w:val="heading 7"/>
    <w:basedOn w:val="Normal"/>
    <w:next w:val="Normal"/>
    <w:link w:val="Heading7Char"/>
    <w:uiPriority w:val="9"/>
    <w:semiHidden/>
    <w:unhideWhenUsed/>
    <w:qFormat/>
    <w:rsid w:val="001C5E9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rPr>
  </w:style>
  <w:style w:type="paragraph" w:styleId="Heading8">
    <w:name w:val="heading 8"/>
    <w:basedOn w:val="Normal"/>
    <w:next w:val="Normal"/>
    <w:link w:val="Heading8Char"/>
    <w:uiPriority w:val="9"/>
    <w:semiHidden/>
    <w:unhideWhenUsed/>
    <w:qFormat/>
    <w:rsid w:val="001C5E93"/>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rPr>
  </w:style>
  <w:style w:type="paragraph" w:styleId="Heading9">
    <w:name w:val="heading 9"/>
    <w:basedOn w:val="Normal"/>
    <w:next w:val="Normal"/>
    <w:link w:val="Heading9Char"/>
    <w:uiPriority w:val="9"/>
    <w:semiHidden/>
    <w:unhideWhenUsed/>
    <w:qFormat/>
    <w:rsid w:val="001C5E93"/>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5E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5E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5E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5E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5E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5E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5E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5E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5E93"/>
    <w:rPr>
      <w:rFonts w:eastAsiaTheme="majorEastAsia" w:cstheme="majorBidi"/>
      <w:color w:val="272727" w:themeColor="text1" w:themeTint="D8"/>
    </w:rPr>
  </w:style>
  <w:style w:type="paragraph" w:styleId="Title">
    <w:name w:val="Title"/>
    <w:basedOn w:val="Normal"/>
    <w:next w:val="Normal"/>
    <w:link w:val="TitleChar"/>
    <w:uiPriority w:val="10"/>
    <w:qFormat/>
    <w:rsid w:val="001C5E93"/>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1C5E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5E9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1C5E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5E93"/>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QuoteChar">
    <w:name w:val="Quote Char"/>
    <w:basedOn w:val="DefaultParagraphFont"/>
    <w:link w:val="Quote"/>
    <w:uiPriority w:val="29"/>
    <w:rsid w:val="001C5E93"/>
    <w:rPr>
      <w:i/>
      <w:iCs/>
      <w:color w:val="404040" w:themeColor="text1" w:themeTint="BF"/>
    </w:rPr>
  </w:style>
  <w:style w:type="paragraph" w:styleId="ListParagraph">
    <w:name w:val="List Paragraph"/>
    <w:basedOn w:val="Normal"/>
    <w:uiPriority w:val="34"/>
    <w:qFormat/>
    <w:rsid w:val="001C5E93"/>
    <w:pPr>
      <w:spacing w:after="160" w:line="259" w:lineRule="auto"/>
      <w:ind w:left="720"/>
      <w:contextualSpacing/>
    </w:pPr>
    <w:rPr>
      <w:rFonts w:asciiTheme="minorHAnsi" w:eastAsiaTheme="minorHAnsi" w:hAnsiTheme="minorHAnsi" w:cstheme="minorBidi"/>
      <w:kern w:val="2"/>
      <w:sz w:val="22"/>
      <w:szCs w:val="22"/>
      <w:lang w:eastAsia="en-US"/>
    </w:rPr>
  </w:style>
  <w:style w:type="character" w:styleId="IntenseEmphasis">
    <w:name w:val="Intense Emphasis"/>
    <w:basedOn w:val="DefaultParagraphFont"/>
    <w:uiPriority w:val="21"/>
    <w:qFormat/>
    <w:rsid w:val="001C5E93"/>
    <w:rPr>
      <w:i/>
      <w:iCs/>
      <w:color w:val="0F4761" w:themeColor="accent1" w:themeShade="BF"/>
    </w:rPr>
  </w:style>
  <w:style w:type="paragraph" w:styleId="IntenseQuote">
    <w:name w:val="Intense Quote"/>
    <w:basedOn w:val="Normal"/>
    <w:next w:val="Normal"/>
    <w:link w:val="IntenseQuoteChar"/>
    <w:uiPriority w:val="30"/>
    <w:qFormat/>
    <w:rsid w:val="001C5E9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rPr>
  </w:style>
  <w:style w:type="character" w:customStyle="1" w:styleId="IntenseQuoteChar">
    <w:name w:val="Intense Quote Char"/>
    <w:basedOn w:val="DefaultParagraphFont"/>
    <w:link w:val="IntenseQuote"/>
    <w:uiPriority w:val="30"/>
    <w:rsid w:val="001C5E93"/>
    <w:rPr>
      <w:i/>
      <w:iCs/>
      <w:color w:val="0F4761" w:themeColor="accent1" w:themeShade="BF"/>
    </w:rPr>
  </w:style>
  <w:style w:type="character" w:styleId="IntenseReference">
    <w:name w:val="Intense Reference"/>
    <w:basedOn w:val="DefaultParagraphFont"/>
    <w:uiPriority w:val="32"/>
    <w:qFormat/>
    <w:rsid w:val="001C5E93"/>
    <w:rPr>
      <w:b/>
      <w:bCs/>
      <w:smallCaps/>
      <w:color w:val="0F4761" w:themeColor="accent1" w:themeShade="BF"/>
      <w:spacing w:val="5"/>
    </w:rPr>
  </w:style>
  <w:style w:type="character" w:styleId="Hyperlink">
    <w:name w:val="Hyperlink"/>
    <w:basedOn w:val="DefaultParagraphFont"/>
    <w:uiPriority w:val="99"/>
    <w:unhideWhenUsed/>
    <w:rsid w:val="001C5E93"/>
    <w:rPr>
      <w:color w:val="467886" w:themeColor="hyperlink"/>
      <w:u w:val="single"/>
    </w:rPr>
  </w:style>
  <w:style w:type="paragraph" w:styleId="FootnoteText">
    <w:name w:val="footnote text"/>
    <w:basedOn w:val="Normal"/>
    <w:link w:val="FootnoteTextChar"/>
    <w:uiPriority w:val="99"/>
    <w:semiHidden/>
    <w:unhideWhenUsed/>
    <w:rsid w:val="001C5E93"/>
    <w:rPr>
      <w:sz w:val="20"/>
      <w:szCs w:val="20"/>
    </w:rPr>
  </w:style>
  <w:style w:type="character" w:customStyle="1" w:styleId="FootnoteTextChar">
    <w:name w:val="Footnote Text Char"/>
    <w:basedOn w:val="DefaultParagraphFont"/>
    <w:link w:val="FootnoteText"/>
    <w:uiPriority w:val="99"/>
    <w:semiHidden/>
    <w:rsid w:val="001C5E93"/>
    <w:rPr>
      <w:rFonts w:ascii="Times New Roman" w:eastAsia="Times New Roman" w:hAnsi="Times New Roman" w:cs="Times New Roman"/>
      <w:kern w:val="0"/>
      <w:sz w:val="20"/>
      <w:szCs w:val="20"/>
      <w:lang w:eastAsia="fi-FI"/>
    </w:rPr>
  </w:style>
  <w:style w:type="character" w:styleId="FootnoteReference">
    <w:name w:val="footnote reference"/>
    <w:basedOn w:val="DefaultParagraphFont"/>
    <w:uiPriority w:val="99"/>
    <w:semiHidden/>
    <w:unhideWhenUsed/>
    <w:rsid w:val="001C5E93"/>
    <w:rPr>
      <w:vertAlign w:val="superscript"/>
    </w:rPr>
  </w:style>
  <w:style w:type="paragraph" w:styleId="NormalWeb">
    <w:name w:val="Normal (Web)"/>
    <w:basedOn w:val="Normal"/>
    <w:uiPriority w:val="99"/>
    <w:semiHidden/>
    <w:unhideWhenUsed/>
    <w:rsid w:val="00AA0D1C"/>
  </w:style>
  <w:style w:type="character" w:customStyle="1" w:styleId="s1">
    <w:name w:val="s1"/>
    <w:basedOn w:val="DefaultParagraphFont"/>
    <w:rsid w:val="008624C0"/>
  </w:style>
  <w:style w:type="character" w:customStyle="1" w:styleId="citationarticletitle">
    <w:name w:val="citationarticletitle"/>
    <w:basedOn w:val="DefaultParagraphFont"/>
    <w:rsid w:val="008624C0"/>
  </w:style>
  <w:style w:type="character" w:customStyle="1" w:styleId="citationjournaltitle">
    <w:name w:val="citationjournaltitle"/>
    <w:basedOn w:val="DefaultParagraphFont"/>
    <w:rsid w:val="008624C0"/>
  </w:style>
  <w:style w:type="paragraph" w:styleId="Revision">
    <w:name w:val="Revision"/>
    <w:hidden/>
    <w:uiPriority w:val="99"/>
    <w:semiHidden/>
    <w:rsid w:val="00701915"/>
    <w:pPr>
      <w:spacing w:after="0" w:line="240" w:lineRule="auto"/>
    </w:pPr>
    <w:rPr>
      <w:rFonts w:ascii="Times New Roman" w:eastAsia="Times New Roman" w:hAnsi="Times New Roman" w:cs="Times New Roman"/>
      <w:kern w:val="0"/>
      <w:sz w:val="24"/>
      <w:szCs w:val="24"/>
      <w:lang w:eastAsia="fi-FI"/>
    </w:rPr>
  </w:style>
  <w:style w:type="character" w:customStyle="1" w:styleId="UnresolvedMention1">
    <w:name w:val="Unresolved Mention1"/>
    <w:basedOn w:val="DefaultParagraphFont"/>
    <w:uiPriority w:val="99"/>
    <w:semiHidden/>
    <w:unhideWhenUsed/>
    <w:rsid w:val="009367C8"/>
    <w:rPr>
      <w:color w:val="605E5C"/>
      <w:shd w:val="clear" w:color="auto" w:fill="E1DFDD"/>
    </w:rPr>
  </w:style>
  <w:style w:type="paragraph" w:styleId="Header">
    <w:name w:val="header"/>
    <w:basedOn w:val="Normal"/>
    <w:link w:val="HeaderChar"/>
    <w:uiPriority w:val="99"/>
    <w:unhideWhenUsed/>
    <w:rsid w:val="00442BD0"/>
    <w:pPr>
      <w:tabs>
        <w:tab w:val="center" w:pos="4513"/>
        <w:tab w:val="right" w:pos="9026"/>
      </w:tabs>
    </w:pPr>
  </w:style>
  <w:style w:type="character" w:customStyle="1" w:styleId="HeaderChar">
    <w:name w:val="Header Char"/>
    <w:basedOn w:val="DefaultParagraphFont"/>
    <w:link w:val="Header"/>
    <w:uiPriority w:val="99"/>
    <w:rsid w:val="00442BD0"/>
    <w:rPr>
      <w:rFonts w:ascii="Times New Roman" w:eastAsia="Times New Roman" w:hAnsi="Times New Roman" w:cs="Times New Roman"/>
      <w:kern w:val="0"/>
      <w:sz w:val="24"/>
      <w:szCs w:val="24"/>
      <w:lang w:eastAsia="fi-FI"/>
    </w:rPr>
  </w:style>
  <w:style w:type="paragraph" w:styleId="Footer">
    <w:name w:val="footer"/>
    <w:basedOn w:val="Normal"/>
    <w:link w:val="FooterChar"/>
    <w:uiPriority w:val="99"/>
    <w:unhideWhenUsed/>
    <w:rsid w:val="00442BD0"/>
    <w:pPr>
      <w:tabs>
        <w:tab w:val="center" w:pos="4513"/>
        <w:tab w:val="right" w:pos="9026"/>
      </w:tabs>
    </w:pPr>
  </w:style>
  <w:style w:type="character" w:customStyle="1" w:styleId="FooterChar">
    <w:name w:val="Footer Char"/>
    <w:basedOn w:val="DefaultParagraphFont"/>
    <w:link w:val="Footer"/>
    <w:uiPriority w:val="99"/>
    <w:rsid w:val="00442BD0"/>
    <w:rPr>
      <w:rFonts w:ascii="Times New Roman" w:eastAsia="Times New Roman" w:hAnsi="Times New Roman" w:cs="Times New Roman"/>
      <w:kern w:val="0"/>
      <w:sz w:val="24"/>
      <w:szCs w:val="24"/>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85FA6-32F1-42DC-ACB1-0F83E1CE14B6}">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RUS0003</dc:title>
  <cp:revision>0</cp:revision>
</cp:coreProperties>
</file>