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C6841" w:rsidRPr="00162311" w:rsidP="002C6841">
      <w:pPr>
        <w:pStyle w:val="NormalWeb"/>
        <w:snapToGrid w:val="0"/>
        <w:rPr>
          <w:rFonts w:ascii="Verdana" w:hAnsi="Verdana"/>
          <w:b/>
          <w:bCs/>
          <w:kern w:val="36"/>
          <w:sz w:val="28"/>
          <w:szCs w:val="28"/>
        </w:rPr>
      </w:pPr>
      <w:r w:rsidRPr="00162311">
        <w:rPr>
          <w:rFonts w:ascii="Verdana" w:hAnsi="Verdana"/>
          <w:b/>
          <w:bCs/>
          <w:kern w:val="36"/>
          <w:sz w:val="28"/>
          <w:szCs w:val="28"/>
        </w:rPr>
        <w:t xml:space="preserve">Supplementary written evidence </w:t>
      </w:r>
      <w:r w:rsidRPr="00162311" w:rsidR="00162311">
        <w:rPr>
          <w:rFonts w:ascii="Verdana" w:hAnsi="Verdana"/>
          <w:b/>
          <w:bCs/>
          <w:kern w:val="36"/>
          <w:sz w:val="28"/>
          <w:szCs w:val="28"/>
        </w:rPr>
        <w:t>from</w:t>
      </w:r>
      <w:r w:rsidRPr="00162311">
        <w:rPr>
          <w:rFonts w:ascii="Verdana" w:hAnsi="Verdana"/>
          <w:b/>
          <w:bCs/>
          <w:kern w:val="36"/>
          <w:sz w:val="28"/>
          <w:szCs w:val="28"/>
        </w:rPr>
        <w:t xml:space="preserve"> Dr Raffaello Rossi</w:t>
      </w:r>
      <w:r w:rsidR="00162311">
        <w:rPr>
          <w:rFonts w:ascii="Verdana" w:hAnsi="Verdana"/>
          <w:b/>
          <w:bCs/>
          <w:kern w:val="36"/>
          <w:sz w:val="28"/>
          <w:szCs w:val="28"/>
        </w:rPr>
        <w:t xml:space="preserve"> (GAM00</w:t>
      </w:r>
      <w:r w:rsidR="00BF3BCF">
        <w:rPr>
          <w:rFonts w:ascii="Verdana" w:hAnsi="Verdana"/>
          <w:b/>
          <w:bCs/>
          <w:kern w:val="36"/>
          <w:sz w:val="28"/>
          <w:szCs w:val="28"/>
        </w:rPr>
        <w:t>17)</w:t>
      </w:r>
    </w:p>
    <w:p w:rsidR="002C6841" w:rsidRPr="00162311" w:rsidP="002C6841">
      <w:pPr>
        <w:pStyle w:val="NormalWeb"/>
        <w:snapToGrid w:val="0"/>
        <w:rPr>
          <w:rFonts w:ascii="Verdana" w:hAnsi="Verdana"/>
          <w:b/>
          <w:bCs/>
          <w:kern w:val="36"/>
          <w:sz w:val="22"/>
          <w:szCs w:val="22"/>
        </w:rPr>
      </w:pPr>
    </w:p>
    <w:p w:rsidR="00D31313" w:rsidRPr="00162311" w:rsidP="00DD69DB">
      <w:pPr>
        <w:rPr>
          <w:rFonts w:ascii="Verdana" w:hAnsi="Verdana" w:cs="Times New Roman"/>
          <w:sz w:val="22"/>
          <w:szCs w:val="22"/>
        </w:rPr>
      </w:pPr>
      <w:r w:rsidRPr="00162311">
        <w:rPr>
          <w:rFonts w:ascii="Verdana" w:hAnsi="Verdana" w:cs="Times New Roman"/>
          <w:b/>
          <w:bCs/>
          <w:sz w:val="22"/>
          <w:szCs w:val="22"/>
        </w:rPr>
        <w:t>Q1B: How are children being exposed to gambling advertising?</w:t>
      </w:r>
    </w:p>
    <w:p w:rsidR="00D31313" w:rsidRPr="00162311" w:rsidP="00DD69DB">
      <w:pPr>
        <w:rPr>
          <w:rFonts w:ascii="Verdana" w:hAnsi="Verdana" w:cs="Times New Roman"/>
          <w:sz w:val="22"/>
          <w:szCs w:val="22"/>
        </w:rPr>
      </w:pPr>
      <w:r w:rsidRPr="00162311">
        <w:rPr>
          <w:rFonts w:ascii="Verdana" w:hAnsi="Verdana" w:cs="Times New Roman"/>
          <w:sz w:val="22"/>
          <w:szCs w:val="22"/>
        </w:rPr>
        <w:t xml:space="preserve">Children are not just occasionally seeing gambling adverts – across this gambling marketing ecosystem they see it constantly: on video games, on social media, during sporting events, in the </w:t>
      </w:r>
      <w:r w:rsidRPr="00162311" w:rsidR="00DD69DB">
        <w:rPr>
          <w:rFonts w:ascii="Verdana" w:hAnsi="Verdana" w:cs="Times New Roman"/>
          <w:sz w:val="22"/>
          <w:szCs w:val="22"/>
        </w:rPr>
        <w:t>h</w:t>
      </w:r>
      <w:r w:rsidRPr="00162311">
        <w:rPr>
          <w:rFonts w:ascii="Verdana" w:hAnsi="Verdana" w:cs="Times New Roman"/>
          <w:sz w:val="22"/>
          <w:szCs w:val="22"/>
        </w:rPr>
        <w:t>ighstreet</w:t>
      </w:r>
      <w:r w:rsidRPr="00162311">
        <w:rPr>
          <w:rFonts w:ascii="Verdana" w:hAnsi="Verdana" w:cs="Times New Roman"/>
          <w:sz w:val="22"/>
          <w:szCs w:val="22"/>
        </w:rPr>
        <w:t>, etc.  They are growing up in a gambling-saturated environment.</w:t>
      </w:r>
    </w:p>
    <w:p w:rsidR="00D31313" w:rsidRPr="00162311" w:rsidP="00DD69DB">
      <w:pPr>
        <w:rPr>
          <w:rFonts w:ascii="Verdana" w:hAnsi="Verdana" w:cs="Times New Roman"/>
          <w:sz w:val="22"/>
          <w:szCs w:val="22"/>
        </w:rPr>
      </w:pPr>
      <w:r w:rsidRPr="00162311">
        <w:rPr>
          <w:rFonts w:ascii="Verdana" w:hAnsi="Verdana" w:cs="Times New Roman"/>
          <w:sz w:val="22"/>
          <w:szCs w:val="22"/>
        </w:rPr>
        <w:t> </w:t>
      </w:r>
    </w:p>
    <w:p w:rsidR="00D31313" w:rsidRPr="00162311" w:rsidP="00DD69DB">
      <w:pPr>
        <w:rPr>
          <w:rFonts w:ascii="Verdana" w:hAnsi="Verdana" w:cs="Times New Roman"/>
          <w:sz w:val="22"/>
          <w:szCs w:val="22"/>
        </w:rPr>
      </w:pPr>
      <w:r w:rsidRPr="00162311">
        <w:rPr>
          <w:rFonts w:ascii="Verdana" w:hAnsi="Verdana" w:cs="Times New Roman"/>
          <w:sz w:val="22"/>
          <w:szCs w:val="22"/>
        </w:rPr>
        <w:t xml:space="preserve">In December 2025, I </w:t>
      </w:r>
      <w:r>
        <w:fldChar w:fldCharType="begin"/>
      </w:r>
      <w:r>
        <w:instrText xml:space="preserve"> HYPERLINK "https://www.gambleaware.org/media/5ekbda5l/gambleaware-cyp-marketing-report-pdf.pdf" </w:instrText>
      </w:r>
      <w:r>
        <w:fldChar w:fldCharType="separate"/>
      </w:r>
      <w:r w:rsidRPr="00162311">
        <w:rPr>
          <w:rStyle w:val="Hyperlink"/>
          <w:rFonts w:ascii="Verdana" w:hAnsi="Verdana" w:cs="Times New Roman"/>
          <w:color w:val="auto"/>
          <w:sz w:val="22"/>
          <w:szCs w:val="22"/>
        </w:rPr>
        <w:t>published a study</w:t>
      </w:r>
      <w:r>
        <w:fldChar w:fldCharType="end"/>
      </w:r>
      <w:r>
        <w:fldChar w:fldCharType="begin"/>
      </w:r>
      <w:r>
        <w:instrText xml:space="preserve"> HYPERLINK "https://www.gambleaware.org/media/5ekbda5l/gambleaware-cyp-marketing-report-pdf.pdf" </w:instrText>
      </w:r>
      <w:r>
        <w:fldChar w:fldCharType="separate"/>
      </w:r>
      <w:r w:rsidRPr="00162311">
        <w:rPr>
          <w:rStyle w:val="Hyperlink"/>
          <w:rFonts w:ascii="Verdana" w:hAnsi="Verdana" w:cs="Times New Roman"/>
          <w:color w:val="auto"/>
          <w:sz w:val="22"/>
          <w:szCs w:val="22"/>
        </w:rPr>
        <w:t xml:space="preserve"> </w:t>
      </w:r>
      <w:r>
        <w:fldChar w:fldCharType="end"/>
      </w:r>
      <w:r w:rsidRPr="00162311">
        <w:rPr>
          <w:rFonts w:ascii="Verdana" w:hAnsi="Verdana" w:cs="Times New Roman"/>
          <w:sz w:val="22"/>
          <w:szCs w:val="22"/>
        </w:rPr>
        <w:t>together with YouGov, which was a representative GB survey of 3,260 children and young people aged 11–24.  The headline findings are striking:</w:t>
      </w:r>
    </w:p>
    <w:p w:rsidR="00D31313" w:rsidRPr="00162311" w:rsidP="00DD69DB">
      <w:pPr>
        <w:rPr>
          <w:rFonts w:ascii="Verdana" w:hAnsi="Verdana" w:cs="Times New Roman"/>
          <w:sz w:val="22"/>
          <w:szCs w:val="22"/>
        </w:rPr>
      </w:pPr>
      <w:r w:rsidRPr="00162311">
        <w:rPr>
          <w:rFonts w:ascii="Verdana" w:hAnsi="Verdana" w:cs="Times New Roman"/>
          <w:sz w:val="22"/>
          <w:szCs w:val="22"/>
        </w:rPr>
        <w:t> </w:t>
      </w:r>
    </w:p>
    <w:p w:rsidR="00D31313" w:rsidRPr="00162311" w:rsidP="00DD69DB">
      <w:pPr>
        <w:numPr>
          <w:ilvl w:val="0"/>
          <w:numId w:val="7"/>
        </w:numPr>
        <w:rPr>
          <w:rFonts w:ascii="Verdana" w:eastAsia="Times New Roman" w:hAnsi="Verdana" w:cs="Times New Roman"/>
          <w:sz w:val="22"/>
          <w:szCs w:val="22"/>
        </w:rPr>
      </w:pPr>
      <w:r w:rsidRPr="00162311">
        <w:rPr>
          <w:rFonts w:ascii="Verdana" w:eastAsia="Times New Roman" w:hAnsi="Verdana" w:cs="Times New Roman"/>
          <w:sz w:val="22"/>
          <w:szCs w:val="22"/>
        </w:rPr>
        <w:t>Two-thirds of 11–17-year-olds recalled seeing gambling marketing in the past month.</w:t>
      </w:r>
    </w:p>
    <w:p w:rsidR="00D31313" w:rsidRPr="00162311" w:rsidP="00DD69DB">
      <w:pPr>
        <w:numPr>
          <w:ilvl w:val="0"/>
          <w:numId w:val="8"/>
        </w:numPr>
        <w:rPr>
          <w:rFonts w:ascii="Verdana" w:eastAsia="Times New Roman" w:hAnsi="Verdana" w:cs="Times New Roman"/>
          <w:sz w:val="22"/>
          <w:szCs w:val="22"/>
        </w:rPr>
      </w:pPr>
      <w:r w:rsidRPr="00162311">
        <w:rPr>
          <w:rFonts w:ascii="Verdana" w:eastAsia="Times New Roman" w:hAnsi="Verdana" w:cs="Times New Roman"/>
          <w:sz w:val="22"/>
          <w:szCs w:val="22"/>
        </w:rPr>
        <w:t>20% of 11–17-year-olds could name three or more gambling brands without prompts.</w:t>
      </w:r>
    </w:p>
    <w:p w:rsidR="00D31313" w:rsidRPr="00162311" w:rsidP="00DD69DB">
      <w:pPr>
        <w:numPr>
          <w:ilvl w:val="0"/>
          <w:numId w:val="9"/>
        </w:numPr>
        <w:rPr>
          <w:rFonts w:ascii="Verdana" w:eastAsia="Times New Roman" w:hAnsi="Verdana" w:cs="Times New Roman"/>
          <w:sz w:val="22"/>
          <w:szCs w:val="22"/>
        </w:rPr>
      </w:pPr>
      <w:r w:rsidRPr="00162311">
        <w:rPr>
          <w:rFonts w:ascii="Verdana" w:eastAsia="Times New Roman" w:hAnsi="Verdana" w:cs="Times New Roman"/>
          <w:sz w:val="22"/>
          <w:szCs w:val="22"/>
        </w:rPr>
        <w:t>58% of 11–17-year-olds recognised three or more gambling logos when shown them.</w:t>
      </w:r>
    </w:p>
    <w:p w:rsidR="00D31313" w:rsidRPr="00162311" w:rsidP="00DD69DB">
      <w:pPr>
        <w:numPr>
          <w:ilvl w:val="0"/>
          <w:numId w:val="10"/>
        </w:numPr>
        <w:rPr>
          <w:rFonts w:ascii="Verdana" w:eastAsia="Times New Roman" w:hAnsi="Verdana" w:cs="Times New Roman"/>
          <w:sz w:val="22"/>
          <w:szCs w:val="22"/>
        </w:rPr>
      </w:pPr>
      <w:r w:rsidRPr="00162311">
        <w:rPr>
          <w:rFonts w:ascii="Verdana" w:eastAsia="Times New Roman" w:hAnsi="Verdana" w:cs="Times New Roman"/>
          <w:sz w:val="22"/>
          <w:szCs w:val="22"/>
        </w:rPr>
        <w:t>61% of 11–17-year-olds said gambling adverts make gambling seem harmless.</w:t>
      </w:r>
    </w:p>
    <w:p w:rsidR="00D31313" w:rsidRPr="00162311" w:rsidP="00DD69DB">
      <w:pPr>
        <w:numPr>
          <w:ilvl w:val="0"/>
          <w:numId w:val="11"/>
        </w:numPr>
        <w:rPr>
          <w:rFonts w:ascii="Verdana" w:eastAsia="Times New Roman" w:hAnsi="Verdana" w:cs="Times New Roman"/>
          <w:sz w:val="22"/>
          <w:szCs w:val="22"/>
        </w:rPr>
      </w:pPr>
      <w:r w:rsidRPr="00162311">
        <w:rPr>
          <w:rFonts w:ascii="Verdana" w:eastAsia="Times New Roman" w:hAnsi="Verdana" w:cs="Times New Roman"/>
          <w:sz w:val="22"/>
          <w:szCs w:val="22"/>
        </w:rPr>
        <w:t>15% of 11–17-year-olds reported some form of direct engagement with gambling companies online.</w:t>
      </w:r>
    </w:p>
    <w:p w:rsidR="00D31313" w:rsidRPr="00162311" w:rsidP="00DD69DB">
      <w:pPr>
        <w:rPr>
          <w:rFonts w:ascii="Verdana" w:hAnsi="Verdana" w:cs="Times New Roman"/>
          <w:sz w:val="22"/>
          <w:szCs w:val="22"/>
        </w:rPr>
      </w:pPr>
      <w:r w:rsidRPr="00162311">
        <w:rPr>
          <w:rFonts w:ascii="Verdana" w:hAnsi="Verdana" w:cs="Times New Roman"/>
          <w:sz w:val="22"/>
          <w:szCs w:val="22"/>
        </w:rPr>
        <w:t> </w:t>
      </w:r>
    </w:p>
    <w:p w:rsidR="00D31313" w:rsidRPr="00162311" w:rsidP="00DD69DB">
      <w:pPr>
        <w:rPr>
          <w:rFonts w:ascii="Verdana" w:hAnsi="Verdana" w:cs="Times New Roman"/>
          <w:sz w:val="22"/>
          <w:szCs w:val="22"/>
        </w:rPr>
      </w:pPr>
      <w:r w:rsidRPr="00162311">
        <w:rPr>
          <w:rFonts w:ascii="Verdana" w:hAnsi="Verdana" w:cs="Times New Roman"/>
          <w:sz w:val="22"/>
          <w:szCs w:val="22"/>
        </w:rPr>
        <w:t>In this YouGov study, among 18+ respondents who had created a gambling account, 49% said they spend their account aged 18–19. </w:t>
      </w:r>
      <w:r w:rsidRPr="00162311" w:rsidR="00DD69DB">
        <w:rPr>
          <w:rFonts w:ascii="Verdana" w:hAnsi="Verdana" w:cs="Times New Roman"/>
          <w:sz w:val="22"/>
          <w:szCs w:val="22"/>
        </w:rPr>
        <w:t xml:space="preserve"> </w:t>
      </w:r>
      <w:r w:rsidRPr="00162311">
        <w:rPr>
          <w:rFonts w:ascii="Verdana" w:hAnsi="Verdana" w:cs="Times New Roman"/>
          <w:sz w:val="22"/>
          <w:szCs w:val="22"/>
        </w:rPr>
        <w:t>So, something is clearly happening before that age – and marketing is not the only factor – but I believe still an important one in normalising gambling, and making it seem 'more harmless' – as the kids themselves described it.  </w:t>
      </w:r>
    </w:p>
    <w:p w:rsidR="00D31313" w:rsidRPr="00162311" w:rsidP="00DD69DB">
      <w:pPr>
        <w:rPr>
          <w:rFonts w:ascii="Verdana" w:hAnsi="Verdana" w:cs="Times New Roman"/>
          <w:sz w:val="22"/>
          <w:szCs w:val="22"/>
        </w:rPr>
      </w:pPr>
      <w:r w:rsidRPr="00162311">
        <w:rPr>
          <w:rFonts w:ascii="Verdana" w:hAnsi="Verdana" w:cs="Times New Roman"/>
          <w:sz w:val="22"/>
          <w:szCs w:val="22"/>
        </w:rPr>
        <w:t> </w:t>
      </w:r>
    </w:p>
    <w:p w:rsidR="00D31313" w:rsidRPr="00162311" w:rsidP="00DD69DB">
      <w:pPr>
        <w:rPr>
          <w:rFonts w:ascii="Verdana" w:hAnsi="Verdana" w:cs="Times New Roman"/>
          <w:sz w:val="22"/>
          <w:szCs w:val="22"/>
        </w:rPr>
      </w:pPr>
      <w:r w:rsidRPr="00162311">
        <w:rPr>
          <w:rFonts w:ascii="Verdana" w:hAnsi="Verdana" w:cs="Times New Roman"/>
          <w:sz w:val="22"/>
          <w:szCs w:val="22"/>
        </w:rPr>
        <w:t> </w:t>
      </w:r>
    </w:p>
    <w:p w:rsidR="00D31313" w:rsidRPr="00162311" w:rsidP="00DD69DB">
      <w:pPr>
        <w:rPr>
          <w:rFonts w:ascii="Verdana" w:hAnsi="Verdana" w:cs="Times New Roman"/>
          <w:sz w:val="22"/>
          <w:szCs w:val="22"/>
        </w:rPr>
      </w:pPr>
      <w:r w:rsidRPr="00162311">
        <w:rPr>
          <w:rFonts w:ascii="Verdana" w:hAnsi="Verdana" w:cs="Times New Roman"/>
          <w:b/>
          <w:bCs/>
          <w:sz w:val="22"/>
          <w:szCs w:val="22"/>
        </w:rPr>
        <w:t>Q3B: Policy recommendations:</w:t>
      </w:r>
    </w:p>
    <w:p w:rsidR="00D31313" w:rsidRPr="00162311" w:rsidP="00DD69DB">
      <w:pPr>
        <w:rPr>
          <w:rFonts w:ascii="Verdana" w:hAnsi="Verdana" w:cs="Times New Roman"/>
          <w:sz w:val="22"/>
          <w:szCs w:val="22"/>
        </w:rPr>
      </w:pPr>
      <w:r w:rsidRPr="00162311">
        <w:rPr>
          <w:rFonts w:ascii="Verdana" w:hAnsi="Verdana" w:cs="Times New Roman"/>
          <w:sz w:val="22"/>
          <w:szCs w:val="22"/>
        </w:rPr>
        <w:t> </w:t>
      </w:r>
    </w:p>
    <w:p w:rsidR="00DD69DB" w:rsidRPr="00162311" w:rsidP="00DD69DB">
      <w:pPr>
        <w:rPr>
          <w:rFonts w:ascii="Verdana" w:hAnsi="Verdana" w:cs="Times New Roman"/>
          <w:sz w:val="22"/>
          <w:szCs w:val="22"/>
        </w:rPr>
      </w:pPr>
      <w:r w:rsidRPr="00162311">
        <w:rPr>
          <w:rFonts w:ascii="Verdana" w:hAnsi="Verdana" w:cs="Times New Roman"/>
          <w:sz w:val="22"/>
          <w:szCs w:val="22"/>
        </w:rPr>
        <w:t>Learning from other countries, the most effective way to prevent unintended consequences, including gambling marketing simply shifting from one medium to another, may be a comprehensive ban on gambling advertising, marketing and sponsorship. Partial restrictions can reduce exposure in one channel, but may also displace marketing activity into other, less visible or less regulated spaces, especially online. If a comprehensive ban is not considered feasible at this stage, I would recommend the following steps:</w:t>
      </w:r>
    </w:p>
    <w:p w:rsidR="00DD69DB" w:rsidRPr="00162311" w:rsidP="00DD69DB">
      <w:pPr>
        <w:rPr>
          <w:rFonts w:ascii="Verdana" w:hAnsi="Verdana" w:cs="Times New Roman"/>
          <w:b/>
          <w:bCs/>
          <w:sz w:val="22"/>
          <w:szCs w:val="22"/>
        </w:rPr>
      </w:pPr>
    </w:p>
    <w:p w:rsidR="00D31313" w:rsidRPr="00162311" w:rsidP="00DD69DB">
      <w:pPr>
        <w:rPr>
          <w:rFonts w:ascii="Verdana" w:hAnsi="Verdana" w:cs="Times New Roman"/>
          <w:sz w:val="22"/>
          <w:szCs w:val="22"/>
        </w:rPr>
      </w:pPr>
      <w:r w:rsidRPr="00162311">
        <w:rPr>
          <w:rFonts w:ascii="Verdana" w:hAnsi="Verdana" w:cs="Times New Roman"/>
          <w:b/>
          <w:bCs/>
          <w:sz w:val="22"/>
          <w:szCs w:val="22"/>
        </w:rPr>
        <w:t>First</w:t>
      </w:r>
      <w:r w:rsidRPr="00162311">
        <w:rPr>
          <w:rFonts w:ascii="Verdana" w:hAnsi="Verdana" w:cs="Times New Roman"/>
          <w:sz w:val="22"/>
          <w:szCs w:val="22"/>
        </w:rPr>
        <w:t xml:space="preserve">, reduce volume. The most important shift is that we need to start regulating the volume of gambling advertising, not only the content. So, we need to come with a mechanism, that defines of what is too many. Traditionally, financial limitations of the brands would deal with this – but with digital advertising being so incredibly cheap, this does not work anymore. Alternatively, we </w:t>
      </w:r>
      <w:r w:rsidRPr="00162311">
        <w:rPr>
          <w:rFonts w:ascii="Verdana" w:hAnsi="Verdana" w:cs="Times New Roman"/>
          <w:sz w:val="22"/>
          <w:szCs w:val="22"/>
        </w:rPr>
        <w:t>have to</w:t>
      </w:r>
      <w:r w:rsidRPr="00162311">
        <w:rPr>
          <w:rFonts w:ascii="Verdana" w:hAnsi="Verdana" w:cs="Times New Roman"/>
          <w:sz w:val="22"/>
          <w:szCs w:val="22"/>
        </w:rPr>
        <w:t xml:space="preserve"> start restricting certain forms for gambling marketing, which will in turn reduce the volume.</w:t>
      </w:r>
    </w:p>
    <w:p w:rsidR="00D31313" w:rsidRPr="00162311" w:rsidP="00DD69DB">
      <w:pPr>
        <w:rPr>
          <w:rFonts w:ascii="Verdana" w:hAnsi="Verdana" w:cs="Times New Roman"/>
          <w:sz w:val="22"/>
          <w:szCs w:val="22"/>
        </w:rPr>
      </w:pPr>
      <w:r w:rsidRPr="00162311">
        <w:rPr>
          <w:rFonts w:ascii="Verdana" w:hAnsi="Verdana" w:cs="Times New Roman"/>
          <w:sz w:val="22"/>
          <w:szCs w:val="22"/>
        </w:rPr>
        <w:t> </w:t>
      </w:r>
    </w:p>
    <w:p w:rsidR="00D31313" w:rsidRPr="00162311" w:rsidP="00DD69DB">
      <w:pPr>
        <w:rPr>
          <w:rFonts w:ascii="Verdana" w:hAnsi="Verdana" w:cs="Times New Roman"/>
          <w:sz w:val="22"/>
          <w:szCs w:val="22"/>
        </w:rPr>
      </w:pPr>
      <w:r w:rsidRPr="00162311">
        <w:rPr>
          <w:rFonts w:ascii="Verdana" w:hAnsi="Verdana" w:cs="Times New Roman"/>
          <w:b/>
          <w:bCs/>
          <w:sz w:val="22"/>
          <w:szCs w:val="22"/>
        </w:rPr>
        <w:t>Second</w:t>
      </w:r>
      <w:r w:rsidRPr="00162311">
        <w:rPr>
          <w:rFonts w:ascii="Verdana" w:hAnsi="Verdana" w:cs="Times New Roman"/>
          <w:sz w:val="22"/>
          <w:szCs w:val="22"/>
        </w:rPr>
        <w:t>, I would ban gambling content marketing. These are posts that look like memes, sports humour, team news or fan engagement rather than obvious adverts. We know these formats are particularly appealing to children and difficult to recognise as advertising. The evidence is exceptionally strong in this area.</w:t>
      </w:r>
    </w:p>
    <w:p w:rsidR="00D31313" w:rsidRPr="00162311" w:rsidP="00DD69DB">
      <w:pPr>
        <w:rPr>
          <w:rFonts w:ascii="Verdana" w:hAnsi="Verdana" w:cs="Times New Roman"/>
          <w:sz w:val="22"/>
          <w:szCs w:val="22"/>
        </w:rPr>
      </w:pPr>
      <w:r w:rsidRPr="00162311">
        <w:rPr>
          <w:rFonts w:ascii="Verdana" w:hAnsi="Verdana" w:cs="Times New Roman"/>
          <w:sz w:val="22"/>
          <w:szCs w:val="22"/>
        </w:rPr>
        <w:t> </w:t>
      </w:r>
    </w:p>
    <w:p w:rsidR="00D31313" w:rsidRPr="00162311" w:rsidP="00DD69DB">
      <w:pPr>
        <w:rPr>
          <w:rFonts w:ascii="Verdana" w:hAnsi="Verdana" w:cs="Times New Roman"/>
          <w:sz w:val="22"/>
          <w:szCs w:val="22"/>
        </w:rPr>
      </w:pPr>
      <w:r w:rsidRPr="00162311">
        <w:rPr>
          <w:rFonts w:ascii="Verdana" w:hAnsi="Verdana" w:cs="Times New Roman"/>
          <w:b/>
          <w:bCs/>
          <w:sz w:val="22"/>
          <w:szCs w:val="22"/>
        </w:rPr>
        <w:t>Third</w:t>
      </w:r>
      <w:r w:rsidRPr="00162311">
        <w:rPr>
          <w:rFonts w:ascii="Verdana" w:hAnsi="Verdana" w:cs="Times New Roman"/>
          <w:sz w:val="22"/>
          <w:szCs w:val="22"/>
        </w:rPr>
        <w:t>, I would ban direct gambling marketing. The evidence is now particularly strong here. Direct marketing reaches people who are already in gambling environments and can trigger further gambling and harm.</w:t>
      </w:r>
    </w:p>
    <w:p w:rsidR="00D31313" w:rsidRPr="00162311" w:rsidP="00DD69DB">
      <w:pPr>
        <w:rPr>
          <w:rFonts w:ascii="Verdana" w:hAnsi="Verdana" w:cs="Times New Roman"/>
          <w:sz w:val="22"/>
          <w:szCs w:val="22"/>
        </w:rPr>
      </w:pPr>
      <w:r w:rsidRPr="00162311">
        <w:rPr>
          <w:rFonts w:ascii="Verdana" w:hAnsi="Verdana" w:cs="Times New Roman"/>
          <w:sz w:val="22"/>
          <w:szCs w:val="22"/>
        </w:rPr>
        <w:t> </w:t>
      </w:r>
    </w:p>
    <w:p w:rsidR="00D31313" w:rsidRPr="00162311" w:rsidP="00DD69DB">
      <w:pPr>
        <w:rPr>
          <w:rFonts w:ascii="Verdana" w:hAnsi="Verdana" w:cs="Times New Roman"/>
          <w:sz w:val="22"/>
          <w:szCs w:val="22"/>
        </w:rPr>
      </w:pPr>
      <w:r w:rsidRPr="00162311">
        <w:rPr>
          <w:rFonts w:ascii="Verdana" w:hAnsi="Verdana" w:cs="Times New Roman"/>
          <w:b/>
          <w:bCs/>
          <w:sz w:val="22"/>
          <w:szCs w:val="22"/>
        </w:rPr>
        <w:t>Fourth</w:t>
      </w:r>
      <w:r w:rsidRPr="00162311">
        <w:rPr>
          <w:rFonts w:ascii="Verdana" w:hAnsi="Verdana" w:cs="Times New Roman"/>
          <w:sz w:val="22"/>
          <w:szCs w:val="22"/>
        </w:rPr>
        <w:t xml:space="preserve">, I would remove gambling advertising </w:t>
      </w:r>
      <w:r w:rsidRPr="00162311" w:rsidR="005A64A1">
        <w:rPr>
          <w:rFonts w:ascii="Verdana" w:hAnsi="Verdana" w:cs="Times New Roman"/>
          <w:sz w:val="22"/>
          <w:szCs w:val="22"/>
        </w:rPr>
        <w:t xml:space="preserve">and sponsorship </w:t>
      </w:r>
      <w:r w:rsidRPr="00162311">
        <w:rPr>
          <w:rFonts w:ascii="Verdana" w:hAnsi="Verdana" w:cs="Times New Roman"/>
          <w:sz w:val="22"/>
          <w:szCs w:val="22"/>
        </w:rPr>
        <w:t xml:space="preserve">from sport, especially football. This is not an extreme position. The Gambling Commission itself stated in </w:t>
      </w:r>
      <w:r>
        <w:fldChar w:fldCharType="begin"/>
      </w:r>
      <w:r>
        <w:instrText xml:space="preserve"> HYPERLINK "https://www.gamblingcommission.gov.uk/about-us/guide/page/package-of-recommendations-for-government" </w:instrText>
      </w:r>
      <w:r>
        <w:fldChar w:fldCharType="separate"/>
      </w:r>
      <w:r w:rsidRPr="00162311">
        <w:rPr>
          <w:rStyle w:val="Hyperlink"/>
          <w:rFonts w:ascii="Verdana" w:hAnsi="Verdana" w:cs="Times New Roman"/>
          <w:color w:val="auto"/>
          <w:sz w:val="22"/>
          <w:szCs w:val="22"/>
        </w:rPr>
        <w:t>their evidence submission</w:t>
      </w:r>
      <w:r>
        <w:fldChar w:fldCharType="end"/>
      </w:r>
      <w:r w:rsidRPr="00162311">
        <w:rPr>
          <w:rFonts w:ascii="Verdana" w:hAnsi="Verdana" w:cs="Times New Roman"/>
          <w:sz w:val="22"/>
          <w:szCs w:val="22"/>
        </w:rPr>
        <w:t xml:space="preserve"> to the Gambling Act White paper in 2023, that “targeted action around advertising and sponsorship is necessary”. It also recommended that Government should “limit the amount of gambling adverts and/or sport sponsorships promoted within elite sports stadia”</w:t>
      </w:r>
    </w:p>
    <w:p w:rsidR="00D31313" w:rsidRPr="00162311" w:rsidP="00DD69DB">
      <w:pPr>
        <w:rPr>
          <w:rFonts w:ascii="Verdana" w:hAnsi="Verdana" w:cs="Times New Roman"/>
          <w:sz w:val="22"/>
          <w:szCs w:val="22"/>
        </w:rPr>
      </w:pPr>
    </w:p>
    <w:p w:rsidR="00D31313" w:rsidRPr="00162311" w:rsidP="00DD69DB">
      <w:pPr>
        <w:rPr>
          <w:rFonts w:ascii="Verdana" w:hAnsi="Verdana" w:cs="Times New Roman"/>
          <w:sz w:val="22"/>
          <w:szCs w:val="22"/>
        </w:rPr>
      </w:pPr>
      <w:r w:rsidRPr="00162311">
        <w:rPr>
          <w:rFonts w:ascii="Verdana" w:hAnsi="Verdana" w:cs="Times New Roman"/>
          <w:b/>
          <w:bCs/>
          <w:sz w:val="22"/>
          <w:szCs w:val="22"/>
        </w:rPr>
        <w:t>Fifth</w:t>
      </w:r>
      <w:r w:rsidRPr="00162311">
        <w:rPr>
          <w:rFonts w:ascii="Verdana" w:hAnsi="Verdana" w:cs="Times New Roman"/>
          <w:sz w:val="22"/>
          <w:szCs w:val="22"/>
        </w:rPr>
        <w:t xml:space="preserve">, we need a clear public repository of online gambling advertising. </w:t>
      </w:r>
      <w:r w:rsidRPr="00162311">
        <w:rPr>
          <w:rFonts w:ascii="Verdana" w:hAnsi="Verdana" w:cs="Times New Roman"/>
          <w:sz w:val="22"/>
          <w:szCs w:val="22"/>
        </w:rPr>
        <w:t>At the moment</w:t>
      </w:r>
      <w:r w:rsidRPr="00162311">
        <w:rPr>
          <w:rFonts w:ascii="Verdana" w:hAnsi="Verdana" w:cs="Times New Roman"/>
          <w:sz w:val="22"/>
          <w:szCs w:val="22"/>
        </w:rPr>
        <w:t>, we are largely in the dark about what is happening online. Regulators, researchers and the public should be able to see what ads are being run, by whom, to whom, when, and with what targeting criteria.</w:t>
      </w:r>
    </w:p>
    <w:p w:rsidR="00D31313" w:rsidRPr="00162311" w:rsidP="00DD69DB">
      <w:pPr>
        <w:rPr>
          <w:rFonts w:ascii="Verdana" w:hAnsi="Verdana" w:cs="Times New Roman"/>
          <w:sz w:val="22"/>
          <w:szCs w:val="22"/>
        </w:rPr>
      </w:pPr>
      <w:r w:rsidRPr="00162311">
        <w:rPr>
          <w:rFonts w:ascii="Verdana" w:hAnsi="Verdana" w:cs="Times New Roman"/>
          <w:sz w:val="22"/>
          <w:szCs w:val="22"/>
        </w:rPr>
        <w:t> </w:t>
      </w:r>
    </w:p>
    <w:p w:rsidR="00DD69DB" w:rsidRPr="00162311" w:rsidP="00DD69DB">
      <w:pPr>
        <w:rPr>
          <w:rFonts w:ascii="Verdana" w:hAnsi="Verdana" w:cs="Times New Roman"/>
          <w:sz w:val="22"/>
          <w:szCs w:val="22"/>
        </w:rPr>
      </w:pPr>
    </w:p>
    <w:p w:rsidR="00D70198" w:rsidRPr="00162311" w:rsidP="00DD69DB">
      <w:pPr>
        <w:pStyle w:val="NormalWeb"/>
        <w:snapToGrid w:val="0"/>
        <w:spacing w:before="0" w:beforeAutospacing="0" w:after="0" w:afterAutospacing="0"/>
        <w:rPr>
          <w:rFonts w:ascii="Verdana" w:hAnsi="Verdana"/>
          <w:b/>
          <w:bCs/>
          <w:kern w:val="36"/>
          <w:sz w:val="22"/>
          <w:szCs w:val="22"/>
        </w:rPr>
      </w:pPr>
      <w:r w:rsidRPr="00162311">
        <w:rPr>
          <w:rFonts w:ascii="Verdana" w:hAnsi="Verdana"/>
          <w:b/>
          <w:bCs/>
          <w:kern w:val="36"/>
          <w:sz w:val="22"/>
          <w:szCs w:val="22"/>
        </w:rPr>
        <w:t>Q5: How effective has the current regulatory arrangement been?</w:t>
      </w:r>
    </w:p>
    <w:p w:rsidR="00D42ED2" w:rsidRPr="00162311" w:rsidP="00DD69DB">
      <w:pPr>
        <w:pStyle w:val="NormalWeb"/>
        <w:rPr>
          <w:rFonts w:ascii="Verdana" w:hAnsi="Verdana"/>
          <w:sz w:val="22"/>
          <w:szCs w:val="22"/>
        </w:rPr>
      </w:pPr>
      <w:r w:rsidRPr="00162311">
        <w:rPr>
          <w:rFonts w:ascii="Verdana" w:hAnsi="Verdana"/>
          <w:sz w:val="22"/>
          <w:szCs w:val="22"/>
        </w:rPr>
        <w:t xml:space="preserve">In </w:t>
      </w:r>
      <w:r w:rsidRPr="00162311" w:rsidR="00E76502">
        <w:rPr>
          <w:rFonts w:ascii="Verdana" w:hAnsi="Verdana"/>
          <w:sz w:val="22"/>
          <w:szCs w:val="22"/>
        </w:rPr>
        <w:t xml:space="preserve">the </w:t>
      </w:r>
      <w:r w:rsidRPr="00162311" w:rsidR="007F6FDC">
        <w:rPr>
          <w:rFonts w:ascii="Verdana" w:hAnsi="Verdana"/>
          <w:sz w:val="22"/>
          <w:szCs w:val="22"/>
        </w:rPr>
        <w:t xml:space="preserve">third part of the </w:t>
      </w:r>
      <w:r w:rsidRPr="00162311" w:rsidR="00E76502">
        <w:rPr>
          <w:rFonts w:ascii="Verdana" w:hAnsi="Verdana"/>
          <w:sz w:val="22"/>
          <w:szCs w:val="22"/>
        </w:rPr>
        <w:t>Committee hearing</w:t>
      </w:r>
      <w:r w:rsidRPr="00162311">
        <w:rPr>
          <w:rFonts w:ascii="Verdana" w:hAnsi="Verdana"/>
          <w:sz w:val="22"/>
          <w:szCs w:val="22"/>
        </w:rPr>
        <w:t xml:space="preserve">, the </w:t>
      </w:r>
      <w:r w:rsidRPr="00162311">
        <w:rPr>
          <w:rFonts w:ascii="Verdana" w:hAnsi="Verdana"/>
          <w:sz w:val="22"/>
          <w:szCs w:val="22"/>
        </w:rPr>
        <w:t>Gambling Minister</w:t>
      </w:r>
      <w:r w:rsidRPr="00162311">
        <w:rPr>
          <w:rFonts w:ascii="Verdana" w:hAnsi="Verdana"/>
          <w:sz w:val="22"/>
          <w:szCs w:val="22"/>
        </w:rPr>
        <w:t xml:space="preserve"> highlighted the need for evidence-based policymaking. I strongly agree with that principle. Where regulation concerns children, vulnerable groups, and an addictive product, decisions must be based on robust, independent evidence, not on assumption, industry reassurance, or opaque regulatory judgement.</w:t>
      </w:r>
    </w:p>
    <w:p w:rsidR="00D42ED2" w:rsidRPr="00162311" w:rsidP="00DD69DB">
      <w:pPr>
        <w:pStyle w:val="NormalWeb"/>
        <w:rPr>
          <w:rFonts w:ascii="Verdana" w:hAnsi="Verdana"/>
          <w:sz w:val="22"/>
          <w:szCs w:val="22"/>
        </w:rPr>
      </w:pPr>
      <w:r w:rsidRPr="00162311">
        <w:rPr>
          <w:rFonts w:ascii="Verdana" w:hAnsi="Verdana"/>
          <w:sz w:val="22"/>
          <w:szCs w:val="22"/>
        </w:rPr>
        <w:t>My concern is that this is precisely where the current system falls short. The central problem is not simply that gambling advertising regulation in Great Britain is too permissive, although I believe it is. The more fundamental concern is that the ASA does not demonstrate that its rulings, guidance, or enforcement decisions are grounded in the best available independent evidence. Nor does it clearly explain how evidence is assessed, how conflicting evidence is weighed, or why peer</w:t>
      </w:r>
      <w:r w:rsidRPr="00162311" w:rsidR="00CE6518">
        <w:rPr>
          <w:rFonts w:ascii="Verdana" w:hAnsi="Verdana"/>
          <w:sz w:val="22"/>
          <w:szCs w:val="22"/>
        </w:rPr>
        <w:t>-</w:t>
      </w:r>
      <w:r w:rsidRPr="00162311">
        <w:rPr>
          <w:rFonts w:ascii="Verdana" w:hAnsi="Verdana"/>
          <w:sz w:val="22"/>
          <w:szCs w:val="22"/>
        </w:rPr>
        <w:t>reviewed research and children’s own responses appear to be given limited weight in decisions. This is especially troubling where regulatory decisions depend on claims about what is, or is not, likely to appeal to children.</w:t>
      </w:r>
    </w:p>
    <w:p w:rsidR="005E0E83" w:rsidRPr="00162311" w:rsidP="00DD69DB">
      <w:pPr>
        <w:pStyle w:val="NormalWeb"/>
        <w:rPr>
          <w:rFonts w:ascii="Verdana" w:hAnsi="Verdana"/>
          <w:sz w:val="22"/>
          <w:szCs w:val="22"/>
        </w:rPr>
      </w:pPr>
      <w:r w:rsidRPr="00162311">
        <w:rPr>
          <w:rFonts w:ascii="Verdana" w:hAnsi="Verdana"/>
          <w:sz w:val="22"/>
          <w:szCs w:val="22"/>
        </w:rPr>
        <w:t xml:space="preserve">This point was raised directly during the Committee session, including in Lord Smith’s question about why public figures such as Harry Redknapp or Danny Dyer are treated as not being of </w:t>
      </w:r>
      <w:r w:rsidRPr="00162311" w:rsidR="00FC5007">
        <w:rPr>
          <w:rFonts w:ascii="Verdana" w:hAnsi="Verdana"/>
          <w:sz w:val="22"/>
          <w:szCs w:val="22"/>
        </w:rPr>
        <w:t>strong</w:t>
      </w:r>
      <w:r w:rsidRPr="00162311">
        <w:rPr>
          <w:rFonts w:ascii="Verdana" w:hAnsi="Verdana"/>
          <w:sz w:val="22"/>
          <w:szCs w:val="22"/>
        </w:rPr>
        <w:t xml:space="preserve"> appeal to children. That question goes to the heart of the issue. Assessing </w:t>
      </w:r>
      <w:r w:rsidRPr="00162311" w:rsidR="00FC5007">
        <w:rPr>
          <w:rFonts w:ascii="Verdana" w:hAnsi="Verdana"/>
          <w:sz w:val="22"/>
          <w:szCs w:val="22"/>
        </w:rPr>
        <w:t>what appeals to children</w:t>
      </w:r>
      <w:r w:rsidRPr="00162311">
        <w:rPr>
          <w:rFonts w:ascii="Verdana" w:hAnsi="Verdana"/>
          <w:sz w:val="22"/>
          <w:szCs w:val="22"/>
        </w:rPr>
        <w:t xml:space="preserve"> should not rest primarily on adult judgement, celebrity status, platform-reported follower data, or assumptions about whether children are likely to know a particular personality. It should be informed by evidence about how children </w:t>
      </w:r>
      <w:r w:rsidRPr="00162311">
        <w:rPr>
          <w:rFonts w:ascii="Verdana" w:hAnsi="Verdana"/>
          <w:sz w:val="22"/>
          <w:szCs w:val="22"/>
        </w:rPr>
        <w:t>actually encounter</w:t>
      </w:r>
      <w:r w:rsidRPr="00162311">
        <w:rPr>
          <w:rFonts w:ascii="Verdana" w:hAnsi="Verdana"/>
          <w:sz w:val="22"/>
          <w:szCs w:val="22"/>
        </w:rPr>
        <w:t>, recognise, interpret, and respond to gambling marketing.</w:t>
      </w:r>
      <w:r w:rsidRPr="00162311">
        <w:rPr>
          <w:rFonts w:ascii="Verdana" w:hAnsi="Verdana"/>
          <w:sz w:val="22"/>
          <w:szCs w:val="22"/>
        </w:rPr>
        <w:t xml:space="preserve"> </w:t>
      </w:r>
    </w:p>
    <w:p w:rsidR="005E0E83" w:rsidRPr="00162311" w:rsidP="00DD69DB">
      <w:pPr>
        <w:pStyle w:val="NormalWeb"/>
        <w:rPr>
          <w:rFonts w:ascii="Verdana" w:hAnsi="Verdana"/>
          <w:sz w:val="22"/>
          <w:szCs w:val="22"/>
        </w:rPr>
      </w:pPr>
      <w:r w:rsidRPr="00162311">
        <w:rPr>
          <w:rFonts w:ascii="Verdana" w:hAnsi="Verdana"/>
          <w:sz w:val="22"/>
          <w:szCs w:val="22"/>
        </w:rPr>
        <w:t>Bu t</w:t>
      </w:r>
      <w:r w:rsidRPr="00162311">
        <w:rPr>
          <w:rFonts w:ascii="Verdana" w:hAnsi="Verdana"/>
          <w:sz w:val="22"/>
          <w:szCs w:val="22"/>
        </w:rPr>
        <w:t xml:space="preserve">his is precisely what the ASA, in my view, is not currently doing. Its gambling advertising rulings, guidance, and code changes rarely engage </w:t>
      </w:r>
      <w:r w:rsidRPr="00162311">
        <w:rPr>
          <w:rFonts w:ascii="Verdana" w:hAnsi="Verdana"/>
          <w:sz w:val="22"/>
          <w:szCs w:val="22"/>
        </w:rPr>
        <w:t xml:space="preserve">meaningfully with the evidence base, and its decisions are not sufficiently transparent or consistently informed by independent expertise. </w:t>
      </w:r>
    </w:p>
    <w:p w:rsidR="00986533" w:rsidRPr="00162311" w:rsidP="00DD69DB">
      <w:pPr>
        <w:pStyle w:val="NormalWeb"/>
        <w:rPr>
          <w:rFonts w:ascii="Verdana" w:hAnsi="Verdana"/>
          <w:sz w:val="22"/>
          <w:szCs w:val="22"/>
        </w:rPr>
      </w:pPr>
      <w:r w:rsidRPr="00162311">
        <w:rPr>
          <w:rFonts w:ascii="Verdana" w:hAnsi="Verdana"/>
          <w:sz w:val="22"/>
          <w:szCs w:val="22"/>
        </w:rPr>
        <w:t>Current regulation</w:t>
      </w:r>
      <w:r w:rsidRPr="00162311" w:rsidR="005D1824">
        <w:rPr>
          <w:rFonts w:ascii="Verdana" w:hAnsi="Verdana"/>
          <w:sz w:val="22"/>
          <w:szCs w:val="22"/>
        </w:rPr>
        <w:t>s, for example,</w:t>
      </w:r>
      <w:r w:rsidRPr="00162311">
        <w:rPr>
          <w:rFonts w:ascii="Verdana" w:hAnsi="Verdana"/>
          <w:sz w:val="22"/>
          <w:szCs w:val="22"/>
        </w:rPr>
        <w:t xml:space="preserve"> state that gambling advertising must not be “of strong appeal” to children and young people.</w:t>
      </w:r>
      <w:bookmarkStart w:id="0" w:name="_Ref230782082"/>
      <w:r>
        <w:rPr>
          <w:rStyle w:val="EndnoteReference"/>
          <w:rFonts w:ascii="Verdana" w:hAnsi="Verdana"/>
          <w:sz w:val="22"/>
          <w:szCs w:val="22"/>
        </w:rPr>
        <w:endnoteReference w:id="2"/>
      </w:r>
      <w:bookmarkEnd w:id="0"/>
      <w:r w:rsidRPr="00162311">
        <w:rPr>
          <w:rFonts w:ascii="Verdana" w:hAnsi="Verdana"/>
          <w:sz w:val="22"/>
          <w:szCs w:val="22"/>
        </w:rPr>
        <w:t xml:space="preserve"> </w:t>
      </w:r>
      <w:r w:rsidRPr="00162311" w:rsidR="00E824EB">
        <w:rPr>
          <w:rFonts w:ascii="Verdana" w:hAnsi="Verdana"/>
          <w:sz w:val="22"/>
          <w:szCs w:val="22"/>
        </w:rPr>
        <w:t>Yet the ASA’s recent ruling</w:t>
      </w:r>
      <w:bookmarkStart w:id="1" w:name="_Ref230782858"/>
      <w:r>
        <w:rPr>
          <w:rStyle w:val="EndnoteReference"/>
          <w:rFonts w:ascii="Verdana" w:hAnsi="Verdana"/>
          <w:sz w:val="22"/>
          <w:szCs w:val="22"/>
        </w:rPr>
        <w:endnoteReference w:id="3"/>
      </w:r>
      <w:bookmarkEnd w:id="1"/>
      <w:r w:rsidRPr="00162311" w:rsidR="00E824EB">
        <w:rPr>
          <w:rFonts w:ascii="Verdana" w:hAnsi="Verdana"/>
          <w:sz w:val="22"/>
          <w:szCs w:val="22"/>
        </w:rPr>
        <w:t xml:space="preserve"> on a gambling advert featuring Thierry Henry raises serious questions about how it assesses appeal. </w:t>
      </w:r>
      <w:r w:rsidRPr="00162311">
        <w:rPr>
          <w:rFonts w:ascii="Verdana" w:hAnsi="Verdana"/>
          <w:sz w:val="22"/>
          <w:szCs w:val="22"/>
        </w:rPr>
        <w:t>The ruling gives little indication that the ASA engaged with peer</w:t>
      </w:r>
      <w:r w:rsidRPr="00162311" w:rsidR="00CE6518">
        <w:rPr>
          <w:rFonts w:ascii="Verdana" w:hAnsi="Verdana"/>
          <w:sz w:val="22"/>
          <w:szCs w:val="22"/>
        </w:rPr>
        <w:t>-</w:t>
      </w:r>
      <w:r w:rsidRPr="00162311">
        <w:rPr>
          <w:rFonts w:ascii="Verdana" w:hAnsi="Verdana"/>
          <w:sz w:val="22"/>
          <w:szCs w:val="22"/>
        </w:rPr>
        <w:t xml:space="preserve">reviewed research involving more than </w:t>
      </w:r>
      <w:r w:rsidRPr="00162311" w:rsidR="00CE6518">
        <w:rPr>
          <w:rFonts w:ascii="Verdana" w:hAnsi="Verdana"/>
          <w:sz w:val="22"/>
          <w:szCs w:val="22"/>
        </w:rPr>
        <w:t>500</w:t>
      </w:r>
      <w:r w:rsidRPr="00162311">
        <w:rPr>
          <w:rFonts w:ascii="Verdana" w:hAnsi="Verdana"/>
          <w:sz w:val="22"/>
          <w:szCs w:val="22"/>
        </w:rPr>
        <w:t xml:space="preserve"> children and young people,</w:t>
      </w:r>
      <w:bookmarkStart w:id="2" w:name="_Ref230782964"/>
      <w:r>
        <w:rPr>
          <w:rStyle w:val="EndnoteReference"/>
          <w:rFonts w:ascii="Verdana" w:hAnsi="Verdana"/>
          <w:sz w:val="22"/>
          <w:szCs w:val="22"/>
        </w:rPr>
        <w:endnoteReference w:id="4"/>
      </w:r>
      <w:bookmarkStart w:id="3" w:name="_Ref230783014"/>
      <w:bookmarkEnd w:id="2"/>
      <w:r>
        <w:rPr>
          <w:rStyle w:val="EndnoteReference"/>
          <w:rFonts w:ascii="Verdana" w:hAnsi="Verdana"/>
          <w:sz w:val="22"/>
          <w:szCs w:val="22"/>
        </w:rPr>
        <w:endnoteReference w:id="5"/>
      </w:r>
      <w:bookmarkStart w:id="4" w:name="_Ref230786633"/>
      <w:bookmarkEnd w:id="3"/>
      <w:r>
        <w:rPr>
          <w:rStyle w:val="EndnoteReference"/>
          <w:rFonts w:ascii="Verdana" w:hAnsi="Verdana"/>
          <w:sz w:val="22"/>
          <w:szCs w:val="22"/>
        </w:rPr>
        <w:endnoteReference w:id="6"/>
      </w:r>
      <w:bookmarkEnd w:id="4"/>
      <w:r w:rsidRPr="00162311">
        <w:rPr>
          <w:rFonts w:ascii="Verdana" w:hAnsi="Verdana"/>
          <w:sz w:val="22"/>
          <w:szCs w:val="22"/>
        </w:rPr>
        <w:t xml:space="preserve"> or with its own commissioned research involving 1,687 under-18s</w:t>
      </w:r>
      <w:bookmarkStart w:id="5" w:name="_Ref230786637"/>
      <w:r>
        <w:rPr>
          <w:rStyle w:val="EndnoteReference"/>
          <w:rFonts w:ascii="Verdana" w:hAnsi="Verdana"/>
          <w:sz w:val="22"/>
          <w:szCs w:val="22"/>
        </w:rPr>
        <w:endnoteReference w:id="7"/>
      </w:r>
      <w:bookmarkEnd w:id="5"/>
      <w:r w:rsidRPr="00162311">
        <w:rPr>
          <w:rFonts w:ascii="Verdana" w:hAnsi="Verdana"/>
          <w:sz w:val="22"/>
          <w:szCs w:val="22"/>
        </w:rPr>
        <w:t>.</w:t>
      </w:r>
      <w:r w:rsidRPr="00162311" w:rsidR="0038336B">
        <w:rPr>
          <w:rFonts w:ascii="Verdana" w:hAnsi="Verdana"/>
          <w:sz w:val="22"/>
          <w:szCs w:val="22"/>
        </w:rPr>
        <w:t xml:space="preserve"> Both show that appeal is complex and contextual, and cannot be reduced to current role, follower counts, or platform-reported audience data.</w:t>
      </w:r>
    </w:p>
    <w:p w:rsidR="00910402" w:rsidRPr="00162311" w:rsidP="00DD69DB">
      <w:pPr>
        <w:pStyle w:val="NormalWeb"/>
        <w:rPr>
          <w:rFonts w:ascii="Verdana" w:hAnsi="Verdana"/>
          <w:sz w:val="22"/>
          <w:szCs w:val="22"/>
        </w:rPr>
      </w:pPr>
      <w:r w:rsidRPr="00162311">
        <w:rPr>
          <w:rFonts w:ascii="Verdana" w:hAnsi="Verdana"/>
          <w:sz w:val="22"/>
          <w:szCs w:val="22"/>
        </w:rPr>
        <w:t xml:space="preserve">This matters because the ASA’s own commissioned report </w:t>
      </w:r>
      <w:r w:rsidRPr="00162311" w:rsidR="00E76502">
        <w:rPr>
          <w:rFonts w:ascii="Verdana" w:hAnsi="Verdana"/>
          <w:sz w:val="22"/>
          <w:szCs w:val="22"/>
        </w:rPr>
        <w:t>highlighted</w:t>
      </w:r>
      <w:r w:rsidRPr="00162311">
        <w:rPr>
          <w:rFonts w:ascii="Verdana" w:hAnsi="Verdana"/>
          <w:sz w:val="22"/>
          <w:szCs w:val="22"/>
        </w:rPr>
        <w:t xml:space="preserve"> that social media metrics are not a suitable measure of appeal</w:t>
      </w:r>
      <w:r w:rsidRPr="00162311" w:rsidR="0014762B">
        <w:rPr>
          <w:rFonts w:ascii="Verdana" w:hAnsi="Verdana"/>
          <w:sz w:val="22"/>
          <w:szCs w:val="22"/>
        </w:rPr>
        <w:t>.</w:t>
      </w:r>
      <w:r w:rsidRPr="00162311" w:rsidR="003C00E7">
        <w:rPr>
          <w:rFonts w:ascii="Verdana" w:hAnsi="Verdana"/>
          <w:sz w:val="22"/>
          <w:szCs w:val="22"/>
          <w:vertAlign w:val="superscript"/>
        </w:rPr>
        <w:t>6</w:t>
      </w:r>
      <w:r w:rsidRPr="00162311">
        <w:rPr>
          <w:rFonts w:ascii="Verdana" w:hAnsi="Verdana"/>
          <w:sz w:val="22"/>
          <w:szCs w:val="22"/>
        </w:rPr>
        <w:t xml:space="preserve"> </w:t>
      </w:r>
      <w:r w:rsidRPr="00162311" w:rsidR="00E76502">
        <w:rPr>
          <w:rFonts w:ascii="Verdana" w:hAnsi="Verdana"/>
          <w:sz w:val="22"/>
          <w:szCs w:val="22"/>
        </w:rPr>
        <w:t>Indeed, O</w:t>
      </w:r>
      <w:r w:rsidRPr="00162311">
        <w:rPr>
          <w:rFonts w:ascii="Verdana" w:hAnsi="Verdana"/>
          <w:sz w:val="22"/>
          <w:szCs w:val="22"/>
        </w:rPr>
        <w:t xml:space="preserve">fcom has also shown that </w:t>
      </w:r>
      <w:r w:rsidRPr="00162311" w:rsidR="00527FC9">
        <w:rPr>
          <w:rFonts w:ascii="Verdana" w:hAnsi="Verdana"/>
          <w:sz w:val="22"/>
          <w:szCs w:val="22"/>
        </w:rPr>
        <w:t xml:space="preserve">a third of </w:t>
      </w:r>
      <w:r w:rsidRPr="00162311">
        <w:rPr>
          <w:rFonts w:ascii="Verdana" w:hAnsi="Verdana"/>
          <w:sz w:val="22"/>
          <w:szCs w:val="22"/>
        </w:rPr>
        <w:t xml:space="preserve">8–17-year-olds </w:t>
      </w:r>
      <w:r w:rsidRPr="00162311" w:rsidR="00E76502">
        <w:rPr>
          <w:rFonts w:ascii="Verdana" w:hAnsi="Verdana"/>
          <w:sz w:val="22"/>
          <w:szCs w:val="22"/>
        </w:rPr>
        <w:t xml:space="preserve">with a social media profile </w:t>
      </w:r>
      <w:r w:rsidRPr="00162311">
        <w:rPr>
          <w:rFonts w:ascii="Verdana" w:hAnsi="Verdana"/>
          <w:sz w:val="22"/>
          <w:szCs w:val="22"/>
        </w:rPr>
        <w:t xml:space="preserve">have given a fake age </w:t>
      </w:r>
      <w:r w:rsidRPr="00162311" w:rsidR="00527FC9">
        <w:rPr>
          <w:rFonts w:ascii="Verdana" w:hAnsi="Verdana"/>
          <w:sz w:val="22"/>
          <w:szCs w:val="22"/>
        </w:rPr>
        <w:t xml:space="preserve">on their social </w:t>
      </w:r>
      <w:r w:rsidRPr="00162311" w:rsidR="002E5D3E">
        <w:rPr>
          <w:rFonts w:ascii="Verdana" w:hAnsi="Verdana"/>
          <w:sz w:val="22"/>
          <w:szCs w:val="22"/>
        </w:rPr>
        <w:t>media</w:t>
      </w:r>
      <w:r w:rsidRPr="00162311" w:rsidR="00527FC9">
        <w:rPr>
          <w:rFonts w:ascii="Verdana" w:hAnsi="Verdana"/>
          <w:sz w:val="22"/>
          <w:szCs w:val="22"/>
        </w:rPr>
        <w:t xml:space="preserve"> profile</w:t>
      </w:r>
      <w:r w:rsidRPr="00162311">
        <w:rPr>
          <w:rFonts w:ascii="Verdana" w:hAnsi="Verdana"/>
          <w:sz w:val="22"/>
          <w:szCs w:val="22"/>
        </w:rPr>
        <w:t>, making platform-reported age data a weak basis for child protection.</w:t>
      </w:r>
      <w:r>
        <w:rPr>
          <w:rStyle w:val="EndnoteReference"/>
          <w:rFonts w:ascii="Verdana" w:hAnsi="Verdana"/>
          <w:sz w:val="22"/>
          <w:szCs w:val="22"/>
        </w:rPr>
        <w:endnoteReference w:id="8"/>
      </w:r>
      <w:r w:rsidRPr="00162311">
        <w:rPr>
          <w:rFonts w:ascii="Verdana" w:hAnsi="Verdana"/>
          <w:sz w:val="22"/>
          <w:szCs w:val="22"/>
        </w:rPr>
        <w:t xml:space="preserve"> Yet shortly after publishing its commissioned research</w:t>
      </w:r>
      <w:r w:rsidRPr="00162311" w:rsidR="00900F71">
        <w:rPr>
          <w:rFonts w:ascii="Verdana" w:hAnsi="Verdana"/>
          <w:sz w:val="22"/>
          <w:szCs w:val="22"/>
        </w:rPr>
        <w:t xml:space="preserve"> last year</w:t>
      </w:r>
      <w:r w:rsidRPr="00162311">
        <w:rPr>
          <w:rFonts w:ascii="Verdana" w:hAnsi="Verdana"/>
          <w:sz w:val="22"/>
          <w:szCs w:val="22"/>
        </w:rPr>
        <w:t>, the ASA introduced a 100,000 under-18 follower “rule of thumb” for strong appeal.</w:t>
      </w:r>
      <w:r>
        <w:rPr>
          <w:rStyle w:val="EndnoteReference"/>
          <w:rFonts w:ascii="Verdana" w:hAnsi="Verdana"/>
          <w:sz w:val="22"/>
          <w:szCs w:val="22"/>
        </w:rPr>
        <w:endnoteReference w:id="9"/>
      </w:r>
      <w:r w:rsidRPr="00162311">
        <w:rPr>
          <w:rFonts w:ascii="Verdana" w:hAnsi="Verdana"/>
          <w:sz w:val="22"/>
          <w:szCs w:val="22"/>
        </w:rPr>
        <w:t xml:space="preserve"> In the Henry ruling</w:t>
      </w:r>
      <w:r w:rsidRPr="00162311" w:rsidR="00E72096">
        <w:rPr>
          <w:rFonts w:ascii="Verdana" w:hAnsi="Verdana"/>
          <w:sz w:val="22"/>
          <w:szCs w:val="22"/>
        </w:rPr>
        <w:t xml:space="preserve"> – which </w:t>
      </w:r>
      <w:r w:rsidRPr="00162311" w:rsidR="008854E9">
        <w:rPr>
          <w:rFonts w:ascii="Verdana" w:hAnsi="Verdana"/>
          <w:sz w:val="22"/>
          <w:szCs w:val="22"/>
        </w:rPr>
        <w:t xml:space="preserve">does not cite any research evidence </w:t>
      </w:r>
      <w:r w:rsidRPr="00162311" w:rsidR="00E72096">
        <w:rPr>
          <w:rFonts w:ascii="Verdana" w:hAnsi="Verdana"/>
          <w:sz w:val="22"/>
          <w:szCs w:val="22"/>
        </w:rPr>
        <w:t>-</w:t>
      </w:r>
      <w:r w:rsidRPr="00162311">
        <w:rPr>
          <w:rFonts w:ascii="Verdana" w:hAnsi="Verdana"/>
          <w:sz w:val="22"/>
          <w:szCs w:val="22"/>
        </w:rPr>
        <w:t xml:space="preserve"> this metric-led approach appears to have carried substantial weight, with the ASA concluding that Henry was not of strong appeal partly because he had around 20,000 UK-based under-18 followers</w:t>
      </w:r>
      <w:r w:rsidRPr="00162311" w:rsidR="002C691C">
        <w:rPr>
          <w:rFonts w:ascii="Verdana" w:hAnsi="Verdana"/>
          <w:sz w:val="22"/>
          <w:szCs w:val="22"/>
        </w:rPr>
        <w:t>.</w:t>
      </w:r>
      <w:r w:rsidRPr="00162311" w:rsidR="003C00E7">
        <w:rPr>
          <w:rFonts w:ascii="Verdana" w:hAnsi="Verdana"/>
          <w:sz w:val="22"/>
          <w:szCs w:val="22"/>
          <w:vertAlign w:val="superscript"/>
        </w:rPr>
        <w:t xml:space="preserve">2 </w:t>
      </w:r>
      <w:r w:rsidRPr="00162311" w:rsidR="002C691C">
        <w:rPr>
          <w:rFonts w:ascii="Verdana" w:hAnsi="Verdana"/>
          <w:sz w:val="22"/>
          <w:szCs w:val="22"/>
          <w:vertAlign w:val="superscript"/>
        </w:rPr>
        <w:t xml:space="preserve"> </w:t>
      </w:r>
      <w:r w:rsidRPr="00162311" w:rsidR="006743A6">
        <w:rPr>
          <w:rFonts w:ascii="Verdana" w:hAnsi="Verdana"/>
          <w:sz w:val="22"/>
          <w:szCs w:val="22"/>
        </w:rPr>
        <w:t xml:space="preserve">The concern is not only this individual ruling, but a wider regulatory approach that appears to </w:t>
      </w:r>
      <w:r w:rsidRPr="00162311" w:rsidR="002077AC">
        <w:rPr>
          <w:rFonts w:ascii="Verdana" w:hAnsi="Verdana"/>
          <w:sz w:val="22"/>
          <w:szCs w:val="22"/>
        </w:rPr>
        <w:t>prioritise</w:t>
      </w:r>
      <w:r w:rsidRPr="00162311" w:rsidR="006743A6">
        <w:rPr>
          <w:rFonts w:ascii="Verdana" w:hAnsi="Verdana"/>
          <w:sz w:val="22"/>
          <w:szCs w:val="22"/>
        </w:rPr>
        <w:t xml:space="preserve"> unreliable platform metrics and</w:t>
      </w:r>
      <w:r w:rsidRPr="00162311" w:rsidR="002077AC">
        <w:rPr>
          <w:rFonts w:ascii="Verdana" w:hAnsi="Verdana"/>
          <w:sz w:val="22"/>
          <w:szCs w:val="22"/>
        </w:rPr>
        <w:t xml:space="preserve"> </w:t>
      </w:r>
      <w:r w:rsidRPr="00162311" w:rsidR="006743A6">
        <w:rPr>
          <w:rFonts w:ascii="Verdana" w:hAnsi="Verdana"/>
          <w:sz w:val="22"/>
          <w:szCs w:val="22"/>
        </w:rPr>
        <w:t>judgement</w:t>
      </w:r>
      <w:r w:rsidRPr="00162311" w:rsidR="002077AC">
        <w:rPr>
          <w:rFonts w:ascii="Verdana" w:hAnsi="Verdana"/>
          <w:sz w:val="22"/>
          <w:szCs w:val="22"/>
        </w:rPr>
        <w:t xml:space="preserve"> of adults in the ASA’s enforcement team,</w:t>
      </w:r>
      <w:r w:rsidRPr="00162311" w:rsidR="006743A6">
        <w:rPr>
          <w:rFonts w:ascii="Verdana" w:hAnsi="Verdana"/>
          <w:sz w:val="22"/>
          <w:szCs w:val="22"/>
        </w:rPr>
        <w:t xml:space="preserve"> over evidence from </w:t>
      </w:r>
      <w:r w:rsidRPr="00162311" w:rsidR="00FD25FB">
        <w:rPr>
          <w:rFonts w:ascii="Verdana" w:hAnsi="Verdana"/>
          <w:sz w:val="22"/>
          <w:szCs w:val="22"/>
        </w:rPr>
        <w:t xml:space="preserve">more than </w:t>
      </w:r>
      <w:r w:rsidRPr="00162311" w:rsidR="00282967">
        <w:rPr>
          <w:rFonts w:ascii="Verdana" w:hAnsi="Verdana"/>
          <w:sz w:val="22"/>
          <w:szCs w:val="22"/>
        </w:rPr>
        <w:t>2</w:t>
      </w:r>
      <w:r w:rsidRPr="00162311" w:rsidR="005A275A">
        <w:rPr>
          <w:rFonts w:ascii="Verdana" w:hAnsi="Verdana"/>
          <w:sz w:val="22"/>
          <w:szCs w:val="22"/>
        </w:rPr>
        <w:t>,</w:t>
      </w:r>
      <w:r w:rsidRPr="00162311" w:rsidR="007F6FDC">
        <w:rPr>
          <w:rFonts w:ascii="Verdana" w:hAnsi="Verdana"/>
          <w:sz w:val="22"/>
          <w:szCs w:val="22"/>
        </w:rPr>
        <w:t>0</w:t>
      </w:r>
      <w:r w:rsidRPr="00162311" w:rsidR="005A275A">
        <w:rPr>
          <w:rFonts w:ascii="Verdana" w:hAnsi="Verdana"/>
          <w:sz w:val="22"/>
          <w:szCs w:val="22"/>
        </w:rPr>
        <w:t xml:space="preserve">00 </w:t>
      </w:r>
      <w:r w:rsidRPr="00162311" w:rsidR="006743A6">
        <w:rPr>
          <w:rFonts w:ascii="Verdana" w:hAnsi="Verdana"/>
          <w:sz w:val="22"/>
          <w:szCs w:val="22"/>
        </w:rPr>
        <w:t xml:space="preserve">children </w:t>
      </w:r>
      <w:r w:rsidRPr="00162311" w:rsidR="00105803">
        <w:rPr>
          <w:rFonts w:ascii="Verdana" w:hAnsi="Verdana"/>
          <w:sz w:val="22"/>
          <w:szCs w:val="22"/>
        </w:rPr>
        <w:t xml:space="preserve">across </w:t>
      </w:r>
      <w:r w:rsidRPr="00162311" w:rsidR="00900CAB">
        <w:rPr>
          <w:rFonts w:ascii="Verdana" w:hAnsi="Verdana"/>
          <w:sz w:val="22"/>
          <w:szCs w:val="22"/>
        </w:rPr>
        <w:t>a body of literature</w:t>
      </w:r>
      <w:r w:rsidRPr="00162311" w:rsidR="009E4D41">
        <w:rPr>
          <w:rFonts w:ascii="Verdana" w:hAnsi="Verdana"/>
          <w:sz w:val="22"/>
          <w:szCs w:val="22"/>
        </w:rPr>
        <w:t>.</w:t>
      </w:r>
      <w:r w:rsidRPr="00162311" w:rsidR="003C00E7">
        <w:rPr>
          <w:rFonts w:ascii="Verdana" w:hAnsi="Verdana"/>
          <w:sz w:val="22"/>
          <w:szCs w:val="22"/>
          <w:vertAlign w:val="superscript"/>
        </w:rPr>
        <w:t>3-6</w:t>
      </w:r>
      <w:r w:rsidRPr="00162311" w:rsidR="009E4D41">
        <w:rPr>
          <w:rFonts w:ascii="Verdana" w:hAnsi="Verdana"/>
          <w:sz w:val="22"/>
          <w:szCs w:val="22"/>
        </w:rPr>
        <w:t xml:space="preserve"> </w:t>
      </w:r>
    </w:p>
    <w:p w:rsidR="00B31929" w:rsidRPr="00162311" w:rsidP="00DD69DB">
      <w:pPr>
        <w:pStyle w:val="NormalWeb"/>
        <w:rPr>
          <w:rFonts w:ascii="Verdana" w:hAnsi="Verdana"/>
          <w:sz w:val="22"/>
          <w:szCs w:val="22"/>
        </w:rPr>
      </w:pPr>
      <w:r w:rsidRPr="00162311">
        <w:rPr>
          <w:rFonts w:ascii="Verdana" w:hAnsi="Verdana"/>
          <w:sz w:val="22"/>
          <w:szCs w:val="22"/>
        </w:rPr>
        <w:t xml:space="preserve">As I noted in oral evidence, two further examples illustrate the same problem. First, the ASA has been repeatedly warned since at least 2019 about gambling content marketing, including humour, memes and banter that blur the line between content and advertising. Research shows that this form of marketing is especially appealing to children and often not recognised by them as advertising, yet the </w:t>
      </w:r>
      <w:r w:rsidRPr="00162311" w:rsidR="005D1824">
        <w:rPr>
          <w:rFonts w:ascii="Verdana" w:hAnsi="Verdana"/>
          <w:sz w:val="22"/>
          <w:szCs w:val="22"/>
        </w:rPr>
        <w:t>regulator</w:t>
      </w:r>
      <w:r w:rsidRPr="00162311">
        <w:rPr>
          <w:rFonts w:ascii="Verdana" w:hAnsi="Verdana"/>
          <w:sz w:val="22"/>
          <w:szCs w:val="22"/>
        </w:rPr>
        <w:t xml:space="preserve"> has still not treated it as a serious child protection issue</w:t>
      </w:r>
      <w:r w:rsidRPr="00162311" w:rsidR="005D1824">
        <w:rPr>
          <w:rFonts w:ascii="Verdana" w:hAnsi="Verdana"/>
          <w:sz w:val="22"/>
          <w:szCs w:val="22"/>
        </w:rPr>
        <w:t xml:space="preserve"> – partly hiding behind remit technicalities</w:t>
      </w:r>
      <w:r w:rsidRPr="00162311" w:rsidR="00F93F02">
        <w:rPr>
          <w:rFonts w:ascii="Verdana" w:hAnsi="Verdana"/>
          <w:sz w:val="22"/>
          <w:szCs w:val="22"/>
        </w:rPr>
        <w:t xml:space="preserve"> around “editorial content”</w:t>
      </w:r>
      <w:r w:rsidRPr="00162311">
        <w:rPr>
          <w:rFonts w:ascii="Verdana" w:hAnsi="Verdana"/>
          <w:sz w:val="22"/>
          <w:szCs w:val="22"/>
        </w:rPr>
        <w:t xml:space="preserve">. Second, until September 2025, UK-licensed gambling operators could avoid ASA oversight of their own social media channels by registering </w:t>
      </w:r>
      <w:r w:rsidRPr="00162311" w:rsidR="00F93F02">
        <w:rPr>
          <w:rFonts w:ascii="Verdana" w:hAnsi="Verdana"/>
          <w:sz w:val="22"/>
          <w:szCs w:val="22"/>
        </w:rPr>
        <w:t xml:space="preserve">their offices </w:t>
      </w:r>
      <w:r w:rsidRPr="00162311">
        <w:rPr>
          <w:rFonts w:ascii="Verdana" w:hAnsi="Verdana"/>
          <w:sz w:val="22"/>
          <w:szCs w:val="22"/>
        </w:rPr>
        <w:t xml:space="preserve">overseas. This loophole was raised repeatedly by researchers, parliamentarians and others, yet remained open for years, allowing tens of thousands of gambling adverts to fall outside the ASA’s remit. </w:t>
      </w:r>
    </w:p>
    <w:p w:rsidR="00527FC9" w:rsidRPr="00162311" w:rsidP="00DD69DB">
      <w:pPr>
        <w:pStyle w:val="NormalWeb"/>
        <w:rPr>
          <w:rFonts w:ascii="Verdana" w:hAnsi="Verdana"/>
          <w:sz w:val="22"/>
          <w:szCs w:val="22"/>
        </w:rPr>
      </w:pPr>
      <w:r w:rsidRPr="00162311">
        <w:rPr>
          <w:rFonts w:ascii="Verdana" w:hAnsi="Verdana"/>
          <w:sz w:val="22"/>
          <w:szCs w:val="22"/>
        </w:rPr>
        <w:t xml:space="preserve">Taken together, these examples suggest that the ASA’s approach to gambling advertising does not currently meet the standard of evidence-led regulation that </w:t>
      </w:r>
      <w:r w:rsidRPr="00162311" w:rsidR="00E76502">
        <w:rPr>
          <w:rFonts w:ascii="Verdana" w:hAnsi="Verdana"/>
          <w:sz w:val="22"/>
          <w:szCs w:val="22"/>
        </w:rPr>
        <w:t xml:space="preserve">the </w:t>
      </w:r>
      <w:r w:rsidRPr="00162311">
        <w:rPr>
          <w:rFonts w:ascii="Verdana" w:hAnsi="Verdana"/>
          <w:sz w:val="22"/>
          <w:szCs w:val="22"/>
        </w:rPr>
        <w:t xml:space="preserve">Minister </w:t>
      </w:r>
      <w:r w:rsidRPr="00162311" w:rsidR="00E76502">
        <w:rPr>
          <w:rFonts w:ascii="Verdana" w:hAnsi="Verdana"/>
          <w:sz w:val="22"/>
          <w:szCs w:val="22"/>
        </w:rPr>
        <w:t>has</w:t>
      </w:r>
      <w:r w:rsidRPr="00162311">
        <w:rPr>
          <w:rFonts w:ascii="Verdana" w:hAnsi="Verdana"/>
          <w:sz w:val="22"/>
          <w:szCs w:val="22"/>
        </w:rPr>
        <w:t xml:space="preserve"> rightly said should guide policy in this area. The concern is</w:t>
      </w:r>
      <w:r w:rsidRPr="00162311" w:rsidR="00E76502">
        <w:rPr>
          <w:rFonts w:ascii="Verdana" w:hAnsi="Verdana"/>
          <w:sz w:val="22"/>
          <w:szCs w:val="22"/>
        </w:rPr>
        <w:t xml:space="preserve"> </w:t>
      </w:r>
      <w:r w:rsidRPr="00162311">
        <w:rPr>
          <w:rFonts w:ascii="Verdana" w:hAnsi="Verdana"/>
          <w:sz w:val="22"/>
          <w:szCs w:val="22"/>
        </w:rPr>
        <w:t>that the ASA has not shown, consistently or transparently, how the evidence</w:t>
      </w:r>
      <w:r w:rsidRPr="00162311" w:rsidR="00CE6518">
        <w:rPr>
          <w:rFonts w:ascii="Verdana" w:hAnsi="Verdana"/>
          <w:sz w:val="22"/>
          <w:szCs w:val="22"/>
        </w:rPr>
        <w:t xml:space="preserve"> </w:t>
      </w:r>
      <w:r w:rsidRPr="00162311">
        <w:rPr>
          <w:rFonts w:ascii="Verdana" w:hAnsi="Verdana"/>
          <w:sz w:val="22"/>
          <w:szCs w:val="22"/>
        </w:rPr>
        <w:t>base is used in its rulings, guidance, enforcement decisions, or responses to known regulatory loopholes. If the ASA cannot demonstrate this level of accountability, responsibility for gambling advertising regulation should be reconsidered and moved to a body that can show genuine independence, transparency, and engagement with the evidence.</w:t>
      </w:r>
    </w:p>
    <w:sectPr w:rsidSect="000818A1">
      <w:endnotePr>
        <w:numFmt w:val="decimal"/>
      </w:endnotePr>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F456C1" w:rsidP="00924274">
      <w:r>
        <w:separator/>
      </w:r>
    </w:p>
  </w:endnote>
  <w:endnote w:type="continuationSeparator" w:id="1">
    <w:p w:rsidR="00F456C1" w:rsidP="00924274">
      <w:r>
        <w:continuationSeparator/>
      </w:r>
    </w:p>
  </w:endnote>
  <w:endnote w:id="2">
    <w:p w:rsidR="003073FD" w:rsidRPr="00BF3BCF">
      <w:pPr>
        <w:pStyle w:val="EndnoteText"/>
        <w:rPr>
          <w:rFonts w:ascii="Verdana" w:hAnsi="Verdana" w:cs="Times New Roman"/>
          <w:sz w:val="18"/>
          <w:szCs w:val="18"/>
        </w:rPr>
      </w:pPr>
      <w:r w:rsidRPr="00BF3BCF">
        <w:rPr>
          <w:rStyle w:val="EndnoteReference"/>
          <w:rFonts w:ascii="Verdana" w:hAnsi="Verdana" w:cs="Times New Roman"/>
          <w:sz w:val="18"/>
          <w:szCs w:val="18"/>
        </w:rPr>
        <w:endnoteRef/>
      </w:r>
      <w:r w:rsidRPr="00BF3BCF">
        <w:rPr>
          <w:rFonts w:ascii="Verdana" w:hAnsi="Verdana" w:cs="Times New Roman"/>
          <w:sz w:val="18"/>
          <w:szCs w:val="18"/>
        </w:rPr>
        <w:t xml:space="preserve"> Committee of Advertising Practice (2024) The CAP Code: 16 Gambling. Available at: </w:t>
      </w:r>
      <w:r w:rsidRPr="00BF3BCF" w:rsidR="003B6D43">
        <w:rPr>
          <w:rFonts w:ascii="Verdana" w:hAnsi="Verdana" w:cs="Times New Roman"/>
          <w:sz w:val="18"/>
          <w:szCs w:val="18"/>
        </w:rPr>
        <w:t xml:space="preserve">https://www.asa.org.uk/type/non_broadcast/code_section/16.html </w:t>
      </w:r>
    </w:p>
    <w:p w:rsidR="003073FD" w:rsidRPr="00BF3BCF">
      <w:pPr>
        <w:pStyle w:val="EndnoteText"/>
        <w:rPr>
          <w:rFonts w:ascii="Verdana" w:hAnsi="Verdana" w:cs="Times New Roman"/>
          <w:sz w:val="18"/>
          <w:szCs w:val="18"/>
        </w:rPr>
      </w:pPr>
    </w:p>
  </w:endnote>
  <w:endnote w:id="3">
    <w:p w:rsidR="0022109F" w:rsidRPr="00BF3BCF">
      <w:pPr>
        <w:pStyle w:val="EndnoteText"/>
        <w:rPr>
          <w:rFonts w:ascii="Verdana" w:hAnsi="Verdana" w:cs="Times New Roman"/>
          <w:sz w:val="18"/>
          <w:szCs w:val="18"/>
        </w:rPr>
      </w:pPr>
      <w:r w:rsidRPr="00BF3BCF">
        <w:rPr>
          <w:rStyle w:val="EndnoteReference"/>
          <w:rFonts w:ascii="Verdana" w:hAnsi="Verdana" w:cs="Times New Roman"/>
          <w:sz w:val="18"/>
          <w:szCs w:val="18"/>
        </w:rPr>
        <w:endnoteRef/>
      </w:r>
      <w:r w:rsidRPr="00BF3BCF">
        <w:rPr>
          <w:rFonts w:ascii="Verdana" w:hAnsi="Verdana" w:cs="Times New Roman"/>
          <w:sz w:val="18"/>
          <w:szCs w:val="18"/>
        </w:rPr>
        <w:t xml:space="preserve"> </w:t>
      </w:r>
      <w:r w:rsidRPr="00BF3BCF" w:rsidR="00DC2E46">
        <w:rPr>
          <w:rFonts w:ascii="Verdana" w:hAnsi="Verdana" w:cs="Times New Roman"/>
          <w:sz w:val="18"/>
          <w:szCs w:val="18"/>
        </w:rPr>
        <w:t xml:space="preserve">Advertising Standards Authority (2026) ASA Ruling on Betway Ltd t/a Betway. Available at: </w:t>
      </w:r>
      <w:r w:rsidRPr="00BF3BCF" w:rsidR="003B6D43">
        <w:rPr>
          <w:rFonts w:ascii="Verdana" w:hAnsi="Verdana" w:cs="Times New Roman"/>
          <w:sz w:val="18"/>
          <w:szCs w:val="18"/>
        </w:rPr>
        <w:t xml:space="preserve">https://www.asa.org.uk/rulings/betway-ltd-a25-1319927-betway-ltd.html </w:t>
      </w:r>
    </w:p>
    <w:p w:rsidR="002853C3" w:rsidRPr="00BF3BCF">
      <w:pPr>
        <w:pStyle w:val="EndnoteText"/>
        <w:rPr>
          <w:rFonts w:ascii="Verdana" w:hAnsi="Verdana" w:cs="Times New Roman"/>
          <w:sz w:val="18"/>
          <w:szCs w:val="18"/>
        </w:rPr>
      </w:pPr>
    </w:p>
  </w:endnote>
  <w:endnote w:id="4">
    <w:p w:rsidR="004E60BF" w:rsidRPr="00BF3BCF">
      <w:pPr>
        <w:pStyle w:val="EndnoteText"/>
        <w:rPr>
          <w:rFonts w:ascii="Verdana" w:hAnsi="Verdana" w:cs="Times New Roman"/>
          <w:sz w:val="18"/>
          <w:szCs w:val="18"/>
        </w:rPr>
      </w:pPr>
      <w:r w:rsidRPr="00BF3BCF">
        <w:rPr>
          <w:rStyle w:val="EndnoteReference"/>
          <w:rFonts w:ascii="Verdana" w:hAnsi="Verdana" w:cs="Times New Roman"/>
          <w:sz w:val="18"/>
          <w:szCs w:val="18"/>
        </w:rPr>
        <w:endnoteRef/>
      </w:r>
      <w:r w:rsidRPr="00BF3BCF">
        <w:rPr>
          <w:rFonts w:ascii="Verdana" w:hAnsi="Verdana" w:cs="Times New Roman"/>
          <w:sz w:val="18"/>
          <w:szCs w:val="18"/>
        </w:rPr>
        <w:t xml:space="preserve"> </w:t>
      </w:r>
      <w:r w:rsidRPr="00BF3BCF" w:rsidR="002853C3">
        <w:rPr>
          <w:rFonts w:ascii="Verdana" w:hAnsi="Verdana" w:cs="Times New Roman"/>
          <w:sz w:val="18"/>
          <w:szCs w:val="18"/>
        </w:rPr>
        <w:t xml:space="preserve">Rossi, R. and Nairn, A. (2024) ‘Priming young minds: The appeal of gambling advertising to children and young people’, Journal of the Association for Consumer Research, 9(2), pp. 187–199. </w:t>
      </w:r>
      <w:r>
        <w:fldChar w:fldCharType="begin"/>
      </w:r>
      <w:r>
        <w:instrText xml:space="preserve"> HYPERLINK "https://doi.org/10.1086/729290" </w:instrText>
      </w:r>
      <w:r>
        <w:fldChar w:fldCharType="separate"/>
      </w:r>
      <w:r w:rsidRPr="00BF3BCF" w:rsidR="002853C3">
        <w:rPr>
          <w:rStyle w:val="Hyperlink"/>
          <w:rFonts w:ascii="Verdana" w:hAnsi="Verdana" w:cs="Times New Roman"/>
          <w:color w:val="auto"/>
          <w:sz w:val="18"/>
          <w:szCs w:val="18"/>
        </w:rPr>
        <w:t>https://doi.org/10.1086/729290</w:t>
      </w:r>
      <w:r>
        <w:fldChar w:fldCharType="end"/>
      </w:r>
    </w:p>
    <w:p w:rsidR="002853C3" w:rsidRPr="00BF3BCF">
      <w:pPr>
        <w:pStyle w:val="EndnoteText"/>
        <w:rPr>
          <w:rFonts w:ascii="Verdana" w:hAnsi="Verdana" w:cs="Times New Roman"/>
          <w:sz w:val="18"/>
          <w:szCs w:val="18"/>
        </w:rPr>
      </w:pPr>
    </w:p>
  </w:endnote>
  <w:endnote w:id="5">
    <w:p w:rsidR="008A2452" w:rsidRPr="00BF3BCF">
      <w:pPr>
        <w:pStyle w:val="EndnoteText"/>
        <w:rPr>
          <w:rFonts w:ascii="Verdana" w:hAnsi="Verdana" w:cs="Times New Roman"/>
          <w:sz w:val="18"/>
          <w:szCs w:val="18"/>
        </w:rPr>
      </w:pPr>
      <w:r w:rsidRPr="00BF3BCF">
        <w:rPr>
          <w:rStyle w:val="EndnoteReference"/>
          <w:rFonts w:ascii="Verdana" w:hAnsi="Verdana" w:cs="Times New Roman"/>
          <w:sz w:val="18"/>
          <w:szCs w:val="18"/>
        </w:rPr>
        <w:endnoteRef/>
      </w:r>
      <w:r w:rsidRPr="00BF3BCF">
        <w:rPr>
          <w:rFonts w:ascii="Verdana" w:hAnsi="Verdana" w:cs="Times New Roman"/>
          <w:sz w:val="18"/>
          <w:szCs w:val="18"/>
        </w:rPr>
        <w:t xml:space="preserve"> Rossi, R. and Nairn, A. (2025) ‘Clearly (not) identifiable – The recognisability of gambling content marketing’, International Journal of Market Research, 67(1), pp. 33–52. </w:t>
      </w:r>
      <w:r>
        <w:fldChar w:fldCharType="begin"/>
      </w:r>
      <w:r>
        <w:instrText xml:space="preserve"> HYPERLINK "https://doi.org/10.1177/14707853241292953" </w:instrText>
      </w:r>
      <w:r>
        <w:fldChar w:fldCharType="separate"/>
      </w:r>
      <w:r w:rsidRPr="00BF3BCF">
        <w:rPr>
          <w:rStyle w:val="Hyperlink"/>
          <w:rFonts w:ascii="Verdana" w:hAnsi="Verdana" w:cs="Times New Roman"/>
          <w:color w:val="auto"/>
          <w:sz w:val="18"/>
          <w:szCs w:val="18"/>
        </w:rPr>
        <w:t>https://doi.org/10.1177/14707853241292953</w:t>
      </w:r>
      <w:r>
        <w:fldChar w:fldCharType="end"/>
      </w:r>
    </w:p>
    <w:p w:rsidR="008A2452" w:rsidRPr="00BF3BCF">
      <w:pPr>
        <w:pStyle w:val="EndnoteText"/>
        <w:rPr>
          <w:rFonts w:ascii="Verdana" w:hAnsi="Verdana" w:cs="Times New Roman"/>
          <w:sz w:val="18"/>
          <w:szCs w:val="18"/>
        </w:rPr>
      </w:pPr>
    </w:p>
  </w:endnote>
  <w:endnote w:id="6">
    <w:p w:rsidR="008A2452" w:rsidRPr="00BF3BCF">
      <w:pPr>
        <w:pStyle w:val="EndnoteText"/>
        <w:rPr>
          <w:rFonts w:ascii="Verdana" w:hAnsi="Verdana" w:cs="Times New Roman"/>
          <w:sz w:val="18"/>
          <w:szCs w:val="18"/>
        </w:rPr>
      </w:pPr>
      <w:r w:rsidRPr="00BF3BCF">
        <w:rPr>
          <w:rStyle w:val="EndnoteReference"/>
          <w:rFonts w:ascii="Verdana" w:hAnsi="Verdana" w:cs="Times New Roman"/>
          <w:sz w:val="18"/>
          <w:szCs w:val="18"/>
        </w:rPr>
        <w:endnoteRef/>
      </w:r>
      <w:r w:rsidRPr="00BF3BCF">
        <w:rPr>
          <w:rFonts w:ascii="Verdana" w:hAnsi="Verdana" w:cs="Times New Roman"/>
          <w:sz w:val="18"/>
          <w:szCs w:val="18"/>
        </w:rPr>
        <w:t xml:space="preserve"> </w:t>
      </w:r>
      <w:r w:rsidRPr="00BF3BCF" w:rsidR="00CB59EE">
        <w:rPr>
          <w:rFonts w:ascii="Verdana" w:hAnsi="Verdana" w:cs="Times New Roman"/>
          <w:sz w:val="18"/>
          <w:szCs w:val="18"/>
        </w:rPr>
        <w:t xml:space="preserve">Rossi, R., Tozzi, E. and Nairn, A. (2026) ‘Cognitive overload and emotional arousal: Why gambling content marketing appeals to children and resists established educational interventions’, Psychology &amp; Marketing, 43(6), pp. 1472–1487. </w:t>
      </w:r>
      <w:r>
        <w:fldChar w:fldCharType="begin"/>
      </w:r>
      <w:r>
        <w:instrText xml:space="preserve"> HYPERLINK "https://doi.org/10.1002/mar.70122" </w:instrText>
      </w:r>
      <w:r>
        <w:fldChar w:fldCharType="separate"/>
      </w:r>
      <w:r w:rsidRPr="00BF3BCF" w:rsidR="0022669F">
        <w:rPr>
          <w:rStyle w:val="Hyperlink"/>
          <w:rFonts w:ascii="Verdana" w:hAnsi="Verdana" w:cs="Times New Roman"/>
          <w:color w:val="auto"/>
          <w:sz w:val="18"/>
          <w:szCs w:val="18"/>
        </w:rPr>
        <w:t>https://doi.org/10.1002/mar.70122</w:t>
      </w:r>
      <w:r>
        <w:fldChar w:fldCharType="end"/>
      </w:r>
    </w:p>
    <w:p w:rsidR="0022669F" w:rsidRPr="00BF3BCF">
      <w:pPr>
        <w:pStyle w:val="EndnoteText"/>
        <w:rPr>
          <w:rFonts w:ascii="Verdana" w:hAnsi="Verdana" w:cs="Times New Roman"/>
          <w:sz w:val="18"/>
          <w:szCs w:val="18"/>
        </w:rPr>
      </w:pPr>
    </w:p>
  </w:endnote>
  <w:endnote w:id="7">
    <w:p w:rsidR="0022669F" w:rsidRPr="00BF3BCF">
      <w:pPr>
        <w:pStyle w:val="EndnoteText"/>
        <w:rPr>
          <w:rFonts w:ascii="Verdana" w:hAnsi="Verdana" w:cs="Times New Roman"/>
          <w:sz w:val="18"/>
          <w:szCs w:val="18"/>
        </w:rPr>
      </w:pPr>
      <w:r w:rsidRPr="00BF3BCF">
        <w:rPr>
          <w:rStyle w:val="EndnoteReference"/>
          <w:rFonts w:ascii="Verdana" w:hAnsi="Verdana" w:cs="Times New Roman"/>
          <w:sz w:val="18"/>
          <w:szCs w:val="18"/>
        </w:rPr>
        <w:endnoteRef/>
      </w:r>
      <w:r w:rsidRPr="00BF3BCF">
        <w:rPr>
          <w:rFonts w:ascii="Verdana" w:hAnsi="Verdana" w:cs="Times New Roman"/>
          <w:sz w:val="18"/>
          <w:szCs w:val="18"/>
        </w:rPr>
        <w:t xml:space="preserve"> </w:t>
      </w:r>
      <w:r w:rsidRPr="00BF3BCF" w:rsidR="00336720">
        <w:rPr>
          <w:rFonts w:ascii="Verdana" w:hAnsi="Verdana" w:cs="Times New Roman"/>
          <w:sz w:val="18"/>
          <w:szCs w:val="18"/>
        </w:rPr>
        <w:t xml:space="preserve">Advertising Standards Authority (2025) Research on the ‘strong appeal’ of personalities in advertising to young people. 7 March. </w:t>
      </w:r>
      <w:r>
        <w:fldChar w:fldCharType="begin"/>
      </w:r>
      <w:r>
        <w:instrText xml:space="preserve"> HYPERLINK "https://www.asa.org.uk/resource/research-on-the-strong-appeal-of-personalities-in-advertising-to-young-people.html" </w:instrText>
      </w:r>
      <w:r>
        <w:fldChar w:fldCharType="separate"/>
      </w:r>
      <w:r w:rsidRPr="00BF3BCF" w:rsidR="007C4FAD">
        <w:rPr>
          <w:rStyle w:val="Hyperlink"/>
          <w:rFonts w:ascii="Verdana" w:hAnsi="Verdana" w:cs="Times New Roman"/>
          <w:color w:val="auto"/>
          <w:sz w:val="18"/>
          <w:szCs w:val="18"/>
        </w:rPr>
        <w:t>https://www.asa.org.uk/resource/research-on-the-strong-appeal-of-personalities-in-advertising-to-young-people.html</w:t>
      </w:r>
      <w:r>
        <w:fldChar w:fldCharType="end"/>
      </w:r>
      <w:r w:rsidRPr="00BF3BCF" w:rsidR="007C4FAD">
        <w:rPr>
          <w:rFonts w:ascii="Verdana" w:hAnsi="Verdana" w:cs="Times New Roman"/>
          <w:sz w:val="18"/>
          <w:szCs w:val="18"/>
        </w:rPr>
        <w:t xml:space="preserve"> </w:t>
      </w:r>
    </w:p>
    <w:p w:rsidR="00336720" w:rsidRPr="00BF3BCF">
      <w:pPr>
        <w:pStyle w:val="EndnoteText"/>
        <w:rPr>
          <w:rFonts w:ascii="Verdana" w:hAnsi="Verdana" w:cs="Times New Roman"/>
          <w:sz w:val="18"/>
          <w:szCs w:val="18"/>
        </w:rPr>
      </w:pPr>
    </w:p>
  </w:endnote>
  <w:endnote w:id="8">
    <w:p w:rsidR="007C4FAD" w:rsidRPr="00BF3BCF">
      <w:pPr>
        <w:pStyle w:val="EndnoteText"/>
        <w:rPr>
          <w:rFonts w:ascii="Verdana" w:hAnsi="Verdana" w:cs="Times New Roman"/>
          <w:sz w:val="18"/>
          <w:szCs w:val="18"/>
        </w:rPr>
      </w:pPr>
      <w:r w:rsidRPr="00BF3BCF">
        <w:rPr>
          <w:rStyle w:val="EndnoteReference"/>
          <w:rFonts w:ascii="Verdana" w:hAnsi="Verdana" w:cs="Times New Roman"/>
          <w:sz w:val="18"/>
          <w:szCs w:val="18"/>
        </w:rPr>
        <w:endnoteRef/>
      </w:r>
      <w:r w:rsidRPr="00BF3BCF">
        <w:rPr>
          <w:rFonts w:ascii="Verdana" w:hAnsi="Verdana" w:cs="Times New Roman"/>
          <w:sz w:val="18"/>
          <w:szCs w:val="18"/>
        </w:rPr>
        <w:t xml:space="preserve"> Ofcom. </w:t>
      </w:r>
      <w:r w:rsidRPr="00BF3BCF" w:rsidR="002E5D3E">
        <w:rPr>
          <w:rFonts w:ascii="Verdana" w:hAnsi="Verdana" w:cs="Times New Roman"/>
          <w:sz w:val="18"/>
          <w:szCs w:val="18"/>
        </w:rPr>
        <w:t xml:space="preserve">A third of children have false social media age of 18+ </w:t>
      </w:r>
      <w:r w:rsidRPr="00BF3BCF">
        <w:rPr>
          <w:rFonts w:ascii="Verdana" w:hAnsi="Verdana" w:cs="Times New Roman"/>
          <w:sz w:val="18"/>
          <w:szCs w:val="18"/>
        </w:rPr>
        <w:t>(202</w:t>
      </w:r>
      <w:r w:rsidRPr="00BF3BCF" w:rsidR="002E5D3E">
        <w:rPr>
          <w:rFonts w:ascii="Verdana" w:hAnsi="Verdana" w:cs="Times New Roman"/>
          <w:sz w:val="18"/>
          <w:szCs w:val="18"/>
        </w:rPr>
        <w:t>2</w:t>
      </w:r>
      <w:r w:rsidRPr="00BF3BCF">
        <w:rPr>
          <w:rFonts w:ascii="Verdana" w:hAnsi="Verdana" w:cs="Times New Roman"/>
          <w:sz w:val="18"/>
          <w:szCs w:val="18"/>
        </w:rPr>
        <w:t xml:space="preserve">). London: Ofcom. Available from: </w:t>
      </w:r>
      <w:r>
        <w:fldChar w:fldCharType="begin"/>
      </w:r>
      <w:r>
        <w:instrText xml:space="preserve"> HYPERLINK "https://www.ofcom.org.uk/online-safety/protecting-children/a-third-of-children-have-false-social-media-age-of-18" </w:instrText>
      </w:r>
      <w:r>
        <w:fldChar w:fldCharType="separate"/>
      </w:r>
      <w:r w:rsidRPr="00BF3BCF" w:rsidR="00527FC9">
        <w:rPr>
          <w:rStyle w:val="Hyperlink"/>
          <w:rFonts w:ascii="Verdana" w:hAnsi="Verdana"/>
          <w:color w:val="auto"/>
          <w:sz w:val="18"/>
          <w:szCs w:val="18"/>
        </w:rPr>
        <w:t>https://www.ofcom.org.uk/online-safety/protecting-children/a-third-of-children-have-false-social-media-age-of-18</w:t>
      </w:r>
      <w:r>
        <w:fldChar w:fldCharType="end"/>
      </w:r>
      <w:r w:rsidRPr="00BF3BCF" w:rsidR="00527FC9">
        <w:rPr>
          <w:rFonts w:ascii="Verdana" w:hAnsi="Verdana"/>
          <w:sz w:val="18"/>
          <w:szCs w:val="18"/>
        </w:rPr>
        <w:t xml:space="preserve">. </w:t>
      </w:r>
    </w:p>
    <w:p w:rsidR="007C4FAD" w:rsidRPr="00BF3BCF">
      <w:pPr>
        <w:pStyle w:val="EndnoteText"/>
        <w:rPr>
          <w:rFonts w:ascii="Verdana" w:hAnsi="Verdana" w:cs="Times New Roman"/>
          <w:sz w:val="18"/>
          <w:szCs w:val="18"/>
        </w:rPr>
      </w:pPr>
    </w:p>
  </w:endnote>
  <w:endnote w:id="9">
    <w:p w:rsidR="00A92451">
      <w:pPr>
        <w:pStyle w:val="EndnoteText"/>
        <w:rPr>
          <w:rFonts w:ascii="Verdana" w:hAnsi="Verdana" w:cs="Times New Roman"/>
          <w:sz w:val="18"/>
          <w:szCs w:val="18"/>
        </w:rPr>
      </w:pPr>
      <w:r w:rsidRPr="00BF3BCF">
        <w:rPr>
          <w:rStyle w:val="EndnoteReference"/>
          <w:rFonts w:ascii="Verdana" w:hAnsi="Verdana" w:cs="Times New Roman"/>
          <w:sz w:val="18"/>
          <w:szCs w:val="18"/>
        </w:rPr>
        <w:endnoteRef/>
      </w:r>
      <w:r w:rsidRPr="00BF3BCF">
        <w:rPr>
          <w:rFonts w:ascii="Verdana" w:hAnsi="Verdana" w:cs="Times New Roman"/>
          <w:sz w:val="18"/>
          <w:szCs w:val="18"/>
        </w:rPr>
        <w:t xml:space="preserve"> </w:t>
      </w:r>
      <w:r w:rsidRPr="00BF3BCF" w:rsidR="00B83EF1">
        <w:rPr>
          <w:rFonts w:ascii="Verdana" w:hAnsi="Verdana" w:cs="Times New Roman"/>
          <w:sz w:val="18"/>
          <w:szCs w:val="18"/>
        </w:rPr>
        <w:t>Committee of Advertising Practice (2025) Gambling and lotteries advertising: protecting under-18s. Advertising Guidance (non-broadcast and broadcast).</w:t>
      </w:r>
      <w:r w:rsidRPr="00BF3BCF" w:rsidR="005333A1">
        <w:rPr>
          <w:rFonts w:ascii="Verdana" w:hAnsi="Verdana" w:cs="Times New Roman"/>
          <w:sz w:val="18"/>
          <w:szCs w:val="18"/>
        </w:rPr>
        <w:t xml:space="preserve"> 14 October.</w:t>
      </w:r>
      <w:r w:rsidRPr="00BF3BCF" w:rsidR="00B83EF1">
        <w:rPr>
          <w:rFonts w:ascii="Verdana" w:hAnsi="Verdana" w:cs="Times New Roman"/>
          <w:sz w:val="18"/>
          <w:szCs w:val="18"/>
        </w:rPr>
        <w:t xml:space="preserve"> </w:t>
      </w:r>
      <w:r>
        <w:fldChar w:fldCharType="begin"/>
      </w:r>
      <w:r>
        <w:instrText xml:space="preserve"> HYPERLINK "https://www.asa.org.uk/static/d9dd9d06-00e7-4630-81d460b598c7d976/gambling-and-lotteries-advertising-protecting-under-18s.pdf" </w:instrText>
      </w:r>
      <w:r>
        <w:fldChar w:fldCharType="separate"/>
      </w:r>
      <w:r w:rsidRPr="00BF3BCF" w:rsidR="00675237">
        <w:rPr>
          <w:rStyle w:val="Hyperlink"/>
          <w:rFonts w:ascii="Verdana" w:hAnsi="Verdana" w:cs="Times New Roman"/>
          <w:color w:val="auto"/>
          <w:sz w:val="18"/>
          <w:szCs w:val="18"/>
        </w:rPr>
        <w:t>https://www.asa.org.uk/static/d9dd9d06-00e7-4630-81d460b598c7d976/gambling-and-lotteries-advertising-protecting-under-18s.pdf</w:t>
      </w:r>
      <w:r>
        <w:fldChar w:fldCharType="end"/>
      </w:r>
      <w:r w:rsidRPr="00BF3BCF" w:rsidR="00675237">
        <w:rPr>
          <w:rFonts w:ascii="Verdana" w:hAnsi="Verdana" w:cs="Times New Roman"/>
          <w:sz w:val="18"/>
          <w:szCs w:val="18"/>
        </w:rPr>
        <w:t xml:space="preserve"> </w:t>
      </w:r>
    </w:p>
    <w:p w:rsidR="00BF3BCF">
      <w:pPr>
        <w:pStyle w:val="EndnoteText"/>
        <w:rPr>
          <w:rFonts w:ascii="Verdana" w:hAnsi="Verdana" w:cs="Times New Roman"/>
          <w:sz w:val="18"/>
          <w:szCs w:val="18"/>
        </w:rPr>
      </w:pPr>
    </w:p>
    <w:p w:rsidR="00BF3BCF" w:rsidRPr="00BF3BCF" w:rsidP="00BF3BCF">
      <w:pPr>
        <w:pStyle w:val="NormalWeb"/>
        <w:rPr>
          <w:rFonts w:ascii="Verdana" w:hAnsi="Verdana"/>
          <w:i/>
          <w:iCs/>
          <w:sz w:val="22"/>
          <w:szCs w:val="22"/>
        </w:rPr>
      </w:pPr>
      <w:r>
        <w:rPr>
          <w:rFonts w:ascii="Verdana" w:hAnsi="Verdana"/>
          <w:i/>
          <w:iCs/>
          <w:sz w:val="22"/>
          <w:szCs w:val="22"/>
        </w:rPr>
        <w:t>June 2026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C97CD5"/>
    <w:multiLevelType w:val="multilevel"/>
    <w:tmpl w:val="BBD458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4875523"/>
    <w:multiLevelType w:val="multilevel"/>
    <w:tmpl w:val="C5FE5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B03C37"/>
    <w:multiLevelType w:val="multilevel"/>
    <w:tmpl w:val="B58EA7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28B431BE"/>
    <w:multiLevelType w:val="multilevel"/>
    <w:tmpl w:val="160A0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A604A2"/>
    <w:multiLevelType w:val="multilevel"/>
    <w:tmpl w:val="E15638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51F600BD"/>
    <w:multiLevelType w:val="multilevel"/>
    <w:tmpl w:val="096834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58F31D4D"/>
    <w:multiLevelType w:val="multilevel"/>
    <w:tmpl w:val="8C4CA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E8320F0"/>
    <w:multiLevelType w:val="multilevel"/>
    <w:tmpl w:val="C2584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8C6262"/>
    <w:multiLevelType w:val="multilevel"/>
    <w:tmpl w:val="0B82F5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70A368D0"/>
    <w:multiLevelType w:val="multilevel"/>
    <w:tmpl w:val="A0603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9E1375"/>
    <w:multiLevelType w:val="multilevel"/>
    <w:tmpl w:val="665AF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10"/>
  </w:num>
  <w:num w:numId="4">
    <w:abstractNumId w:val="7"/>
  </w:num>
  <w:num w:numId="5">
    <w:abstractNumId w:val="3"/>
  </w:num>
  <w:num w:numId="6">
    <w:abstractNumId w:val="9"/>
  </w:num>
  <w:num w:numId="7">
    <w:abstractNumId w:val="0"/>
  </w:num>
  <w:num w:numId="8">
    <w:abstractNumId w:val="5"/>
  </w:num>
  <w:num w:numId="9">
    <w:abstractNumId w:val="2"/>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link w:val="Heading1Char"/>
    <w:uiPriority w:val="9"/>
    <w:qFormat/>
    <w:rsid w:val="00E8610C"/>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6D434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Headline 0"/>
    <w:basedOn w:val="DefaultParagraphFont"/>
    <w:uiPriority w:val="22"/>
    <w:qFormat/>
    <w:rsid w:val="00B95096"/>
    <w:rPr>
      <w:rFonts w:ascii="Avenir Book" w:hAnsi="Avenir Book"/>
      <w:b w:val="0"/>
      <w:bCs/>
      <w:color w:val="000000" w:themeColor="text1"/>
      <w:sz w:val="30"/>
    </w:rPr>
  </w:style>
  <w:style w:type="character" w:customStyle="1" w:styleId="Heading1Char">
    <w:name w:val="Heading 1 Char"/>
    <w:basedOn w:val="DefaultParagraphFont"/>
    <w:link w:val="Heading1"/>
    <w:uiPriority w:val="9"/>
    <w:rsid w:val="00E8610C"/>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E8610C"/>
    <w:pPr>
      <w:spacing w:before="100" w:beforeAutospacing="1" w:after="100" w:afterAutospacing="1"/>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semiHidden/>
    <w:rsid w:val="006D434A"/>
    <w:rPr>
      <w:rFonts w:asciiTheme="majorHAnsi" w:eastAsiaTheme="majorEastAsia" w:hAnsiTheme="majorHAnsi" w:cstheme="majorBidi"/>
      <w:color w:val="2F5496" w:themeColor="accent1" w:themeShade="BF"/>
      <w:sz w:val="26"/>
      <w:szCs w:val="26"/>
    </w:rPr>
  </w:style>
  <w:style w:type="character" w:customStyle="1" w:styleId="apple-converted-space">
    <w:name w:val="apple-converted-space"/>
    <w:basedOn w:val="DefaultParagraphFont"/>
    <w:rsid w:val="006D434A"/>
  </w:style>
  <w:style w:type="paragraph" w:styleId="ListParagraph">
    <w:name w:val="List Paragraph"/>
    <w:basedOn w:val="Normal"/>
    <w:uiPriority w:val="34"/>
    <w:qFormat/>
    <w:rsid w:val="002019D8"/>
    <w:pPr>
      <w:ind w:left="720"/>
      <w:contextualSpacing/>
    </w:pPr>
  </w:style>
  <w:style w:type="character" w:styleId="Hyperlink">
    <w:name w:val="Hyperlink"/>
    <w:basedOn w:val="DefaultParagraphFont"/>
    <w:uiPriority w:val="99"/>
    <w:unhideWhenUsed/>
    <w:rsid w:val="002019D8"/>
    <w:rPr>
      <w:color w:val="0563C1" w:themeColor="hyperlink"/>
      <w:u w:val="single"/>
    </w:rPr>
  </w:style>
  <w:style w:type="character" w:customStyle="1" w:styleId="UnresolvedMention">
    <w:name w:val="Unresolved Mention"/>
    <w:basedOn w:val="DefaultParagraphFont"/>
    <w:uiPriority w:val="99"/>
    <w:semiHidden/>
    <w:unhideWhenUsed/>
    <w:rsid w:val="002019D8"/>
    <w:rPr>
      <w:color w:val="605E5C"/>
      <w:shd w:val="clear" w:color="auto" w:fill="E1DFDD"/>
    </w:rPr>
  </w:style>
  <w:style w:type="paragraph" w:styleId="Revision">
    <w:name w:val="Revision"/>
    <w:hidden/>
    <w:uiPriority w:val="99"/>
    <w:semiHidden/>
    <w:rsid w:val="00A10157"/>
  </w:style>
  <w:style w:type="character" w:styleId="CommentReference">
    <w:name w:val="annotation reference"/>
    <w:basedOn w:val="DefaultParagraphFont"/>
    <w:uiPriority w:val="99"/>
    <w:semiHidden/>
    <w:unhideWhenUsed/>
    <w:rsid w:val="0071166B"/>
    <w:rPr>
      <w:sz w:val="16"/>
      <w:szCs w:val="16"/>
    </w:rPr>
  </w:style>
  <w:style w:type="paragraph" w:styleId="CommentText">
    <w:name w:val="annotation text"/>
    <w:basedOn w:val="Normal"/>
    <w:link w:val="CommentTextChar"/>
    <w:uiPriority w:val="99"/>
    <w:semiHidden/>
    <w:unhideWhenUsed/>
    <w:rsid w:val="0071166B"/>
    <w:rPr>
      <w:sz w:val="20"/>
      <w:szCs w:val="20"/>
    </w:rPr>
  </w:style>
  <w:style w:type="character" w:customStyle="1" w:styleId="CommentTextChar">
    <w:name w:val="Comment Text Char"/>
    <w:basedOn w:val="DefaultParagraphFont"/>
    <w:link w:val="CommentText"/>
    <w:uiPriority w:val="99"/>
    <w:semiHidden/>
    <w:rsid w:val="0071166B"/>
    <w:rPr>
      <w:sz w:val="20"/>
      <w:szCs w:val="20"/>
    </w:rPr>
  </w:style>
  <w:style w:type="paragraph" w:styleId="CommentSubject">
    <w:name w:val="annotation subject"/>
    <w:basedOn w:val="CommentText"/>
    <w:next w:val="CommentText"/>
    <w:link w:val="CommentSubjectChar"/>
    <w:uiPriority w:val="99"/>
    <w:semiHidden/>
    <w:unhideWhenUsed/>
    <w:rsid w:val="0071166B"/>
    <w:rPr>
      <w:b/>
      <w:bCs/>
    </w:rPr>
  </w:style>
  <w:style w:type="character" w:customStyle="1" w:styleId="CommentSubjectChar">
    <w:name w:val="Comment Subject Char"/>
    <w:basedOn w:val="CommentTextChar"/>
    <w:link w:val="CommentSubject"/>
    <w:uiPriority w:val="99"/>
    <w:semiHidden/>
    <w:rsid w:val="0071166B"/>
    <w:rPr>
      <w:b/>
      <w:bCs/>
      <w:sz w:val="20"/>
      <w:szCs w:val="20"/>
    </w:rPr>
  </w:style>
  <w:style w:type="character" w:styleId="FollowedHyperlink">
    <w:name w:val="FollowedHyperlink"/>
    <w:basedOn w:val="DefaultParagraphFont"/>
    <w:uiPriority w:val="99"/>
    <w:semiHidden/>
    <w:unhideWhenUsed/>
    <w:rsid w:val="007025DD"/>
    <w:rPr>
      <w:color w:val="954F72" w:themeColor="followedHyperlink"/>
      <w:u w:val="single"/>
    </w:rPr>
  </w:style>
  <w:style w:type="paragraph" w:styleId="EndnoteText">
    <w:name w:val="endnote text"/>
    <w:basedOn w:val="Normal"/>
    <w:link w:val="EndnoteTextChar"/>
    <w:uiPriority w:val="99"/>
    <w:semiHidden/>
    <w:unhideWhenUsed/>
    <w:rsid w:val="00924274"/>
    <w:rPr>
      <w:sz w:val="20"/>
      <w:szCs w:val="20"/>
    </w:rPr>
  </w:style>
  <w:style w:type="character" w:customStyle="1" w:styleId="EndnoteTextChar">
    <w:name w:val="Endnote Text Char"/>
    <w:basedOn w:val="DefaultParagraphFont"/>
    <w:link w:val="EndnoteText"/>
    <w:uiPriority w:val="99"/>
    <w:semiHidden/>
    <w:rsid w:val="00924274"/>
    <w:rPr>
      <w:sz w:val="20"/>
      <w:szCs w:val="20"/>
    </w:rPr>
  </w:style>
  <w:style w:type="character" w:styleId="EndnoteReference">
    <w:name w:val="endnote reference"/>
    <w:basedOn w:val="DefaultParagraphFont"/>
    <w:uiPriority w:val="99"/>
    <w:semiHidden/>
    <w:unhideWhenUsed/>
    <w:rsid w:val="00924274"/>
    <w:rPr>
      <w:vertAlign w:val="superscript"/>
    </w:rPr>
  </w:style>
  <w:style w:type="paragraph" w:styleId="Header">
    <w:name w:val="header"/>
    <w:basedOn w:val="Normal"/>
    <w:link w:val="HeaderChar"/>
    <w:uiPriority w:val="99"/>
    <w:unhideWhenUsed/>
    <w:rsid w:val="008B0973"/>
    <w:pPr>
      <w:tabs>
        <w:tab w:val="center" w:pos="4513"/>
        <w:tab w:val="right" w:pos="9026"/>
      </w:tabs>
    </w:pPr>
  </w:style>
  <w:style w:type="character" w:customStyle="1" w:styleId="HeaderChar">
    <w:name w:val="Header Char"/>
    <w:basedOn w:val="DefaultParagraphFont"/>
    <w:link w:val="Header"/>
    <w:uiPriority w:val="99"/>
    <w:rsid w:val="008B0973"/>
  </w:style>
  <w:style w:type="paragraph" w:styleId="Footer">
    <w:name w:val="footer"/>
    <w:basedOn w:val="Normal"/>
    <w:link w:val="FooterChar"/>
    <w:uiPriority w:val="99"/>
    <w:unhideWhenUsed/>
    <w:rsid w:val="008B0973"/>
    <w:pPr>
      <w:tabs>
        <w:tab w:val="center" w:pos="4513"/>
        <w:tab w:val="right" w:pos="9026"/>
      </w:tabs>
    </w:pPr>
  </w:style>
  <w:style w:type="character" w:customStyle="1" w:styleId="FooterChar">
    <w:name w:val="Footer Char"/>
    <w:basedOn w:val="DefaultParagraphFont"/>
    <w:link w:val="Footer"/>
    <w:uiPriority w:val="99"/>
    <w:rsid w:val="008B0973"/>
  </w:style>
  <w:style w:type="paragraph" w:styleId="FootnoteText">
    <w:name w:val="footnote text"/>
    <w:basedOn w:val="Normal"/>
    <w:link w:val="FootnoteTextChar"/>
    <w:uiPriority w:val="99"/>
    <w:semiHidden/>
    <w:unhideWhenUsed/>
    <w:rsid w:val="00E71D03"/>
    <w:rPr>
      <w:sz w:val="20"/>
      <w:szCs w:val="20"/>
    </w:rPr>
  </w:style>
  <w:style w:type="character" w:customStyle="1" w:styleId="FootnoteTextChar">
    <w:name w:val="Footnote Text Char"/>
    <w:basedOn w:val="DefaultParagraphFont"/>
    <w:link w:val="FootnoteText"/>
    <w:uiPriority w:val="99"/>
    <w:semiHidden/>
    <w:rsid w:val="00E71D03"/>
    <w:rPr>
      <w:sz w:val="20"/>
      <w:szCs w:val="20"/>
    </w:rPr>
  </w:style>
  <w:style w:type="character" w:styleId="FootnoteReference">
    <w:name w:val="footnote reference"/>
    <w:basedOn w:val="DefaultParagraphFont"/>
    <w:uiPriority w:val="99"/>
    <w:semiHidden/>
    <w:unhideWhenUsed/>
    <w:rsid w:val="00E71D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27D1D-14F1-4125-88FF-569D1A0B92A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GAM0017</dc:title>
  <cp:revision>0</cp:revision>
</cp:coreProperties>
</file>