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7837239F" w:rsidRPr="00AF0A0D" w:rsidP="00806544">
      <w:pPr>
        <w:spacing w:after="0" w:line="240" w:lineRule="auto"/>
        <w:rPr>
          <w:rFonts w:ascii="Verdana" w:hAnsi="Verdana"/>
          <w:sz w:val="28"/>
          <w:szCs w:val="28"/>
        </w:rPr>
      </w:pPr>
      <w:r w:rsidRPr="00AF0A0D">
        <w:rPr>
          <w:rFonts w:ascii="Verdana" w:hAnsi="Verdana" w:eastAsiaTheme="minorEastAsia"/>
          <w:b/>
          <w:bCs/>
          <w:noProof/>
          <w:sz w:val="28"/>
          <w:szCs w:val="28"/>
          <w:lang w:eastAsia="en-GB"/>
        </w:rPr>
        <w:t>Supplementary written</w:t>
      </w:r>
      <w:r w:rsidRPr="00AF0A0D" w:rsidR="00B31301">
        <w:rPr>
          <w:rFonts w:ascii="Verdana" w:hAnsi="Verdana" w:eastAsiaTheme="minorEastAsia"/>
          <w:b/>
          <w:bCs/>
          <w:noProof/>
          <w:sz w:val="28"/>
          <w:szCs w:val="28"/>
          <w:lang w:eastAsia="en-GB"/>
        </w:rPr>
        <w:t xml:space="preserve"> </w:t>
      </w:r>
      <w:r w:rsidRPr="00AF0A0D" w:rsidR="00D42304">
        <w:rPr>
          <w:rFonts w:ascii="Verdana" w:hAnsi="Verdana" w:eastAsiaTheme="minorEastAsia"/>
          <w:b/>
          <w:bCs/>
          <w:noProof/>
          <w:sz w:val="28"/>
          <w:szCs w:val="28"/>
          <w:lang w:eastAsia="en-GB"/>
        </w:rPr>
        <w:t>evidence from the Gambling Commission</w:t>
      </w:r>
      <w:r w:rsidRPr="00AF0A0D">
        <w:rPr>
          <w:rFonts w:ascii="Verdana" w:hAnsi="Verdana" w:eastAsiaTheme="minorEastAsia"/>
          <w:b/>
          <w:bCs/>
          <w:noProof/>
          <w:sz w:val="28"/>
          <w:szCs w:val="28"/>
          <w:lang w:eastAsia="en-GB"/>
        </w:rPr>
        <w:t xml:space="preserve"> (GAM001</w:t>
      </w:r>
      <w:r w:rsidR="00BA462A">
        <w:rPr>
          <w:rFonts w:ascii="Verdana" w:hAnsi="Verdana" w:eastAsiaTheme="minorEastAsia"/>
          <w:b/>
          <w:bCs/>
          <w:noProof/>
          <w:sz w:val="28"/>
          <w:szCs w:val="28"/>
          <w:lang w:eastAsia="en-GB"/>
        </w:rPr>
        <w:t>5</w:t>
      </w:r>
      <w:r w:rsidRPr="00AF0A0D">
        <w:rPr>
          <w:rFonts w:ascii="Verdana" w:hAnsi="Verdana" w:eastAsiaTheme="minorEastAsia"/>
          <w:b/>
          <w:bCs/>
          <w:noProof/>
          <w:sz w:val="28"/>
          <w:szCs w:val="28"/>
          <w:lang w:eastAsia="en-GB"/>
        </w:rPr>
        <w:t>)</w:t>
      </w:r>
    </w:p>
    <w:p w:rsidR="00C16820" w:rsidRPr="00AF0A0D" w:rsidP="00806544">
      <w:pPr>
        <w:spacing w:after="0" w:line="240" w:lineRule="auto"/>
        <w:rPr>
          <w:rFonts w:ascii="Verdana" w:hAnsi="Verdana" w:eastAsiaTheme="minorEastAsia"/>
          <w:sz w:val="22"/>
          <w:szCs w:val="22"/>
        </w:rPr>
      </w:pPr>
    </w:p>
    <w:p w:rsidR="00131B3A" w:rsidRPr="00AF0A0D" w:rsidP="00806544">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Thank you for </w:t>
      </w:r>
      <w:r w:rsidRPr="00AF0A0D" w:rsidR="00D05984">
        <w:rPr>
          <w:rFonts w:ascii="Verdana" w:hAnsi="Verdana" w:eastAsiaTheme="minorEastAsia"/>
          <w:sz w:val="22"/>
          <w:szCs w:val="22"/>
        </w:rPr>
        <w:t xml:space="preserve">inviting </w:t>
      </w:r>
      <w:r w:rsidRPr="00AF0A0D" w:rsidR="00A37EE5">
        <w:rPr>
          <w:rFonts w:ascii="Verdana" w:hAnsi="Verdana" w:eastAsiaTheme="minorEastAsia"/>
          <w:sz w:val="22"/>
          <w:szCs w:val="22"/>
        </w:rPr>
        <w:t>me as</w:t>
      </w:r>
      <w:r w:rsidRPr="00AF0A0D" w:rsidR="00D05984">
        <w:rPr>
          <w:rFonts w:ascii="Verdana" w:hAnsi="Verdana" w:eastAsiaTheme="minorEastAsia"/>
          <w:sz w:val="22"/>
          <w:szCs w:val="22"/>
        </w:rPr>
        <w:t xml:space="preserve"> Acting Chief Executive</w:t>
      </w:r>
      <w:r w:rsidRPr="00AF0A0D" w:rsidR="00A37EE5">
        <w:rPr>
          <w:rFonts w:ascii="Verdana" w:hAnsi="Verdana" w:eastAsiaTheme="minorEastAsia"/>
          <w:sz w:val="22"/>
          <w:szCs w:val="22"/>
        </w:rPr>
        <w:t xml:space="preserve"> of the Gambling Commission </w:t>
      </w:r>
      <w:r w:rsidRPr="00AF0A0D" w:rsidR="00C9235B">
        <w:rPr>
          <w:rFonts w:ascii="Verdana" w:hAnsi="Verdana" w:eastAsiaTheme="minorEastAsia"/>
          <w:sz w:val="22"/>
          <w:szCs w:val="22"/>
        </w:rPr>
        <w:t xml:space="preserve">to give evidence alongside Baroness Twycross </w:t>
      </w:r>
      <w:r w:rsidRPr="00AF0A0D" w:rsidR="000E64E3">
        <w:rPr>
          <w:rFonts w:ascii="Verdana" w:hAnsi="Verdana" w:eastAsiaTheme="minorEastAsia"/>
          <w:sz w:val="22"/>
          <w:szCs w:val="22"/>
        </w:rPr>
        <w:t xml:space="preserve">and Sarah Fox </w:t>
      </w:r>
      <w:r w:rsidRPr="00AF0A0D" w:rsidR="00C9235B">
        <w:rPr>
          <w:rFonts w:ascii="Verdana" w:hAnsi="Verdana" w:eastAsiaTheme="minorEastAsia"/>
          <w:sz w:val="22"/>
          <w:szCs w:val="22"/>
        </w:rPr>
        <w:t xml:space="preserve">last week to </w:t>
      </w:r>
      <w:r w:rsidRPr="00AF0A0D" w:rsidR="00B57DA0">
        <w:rPr>
          <w:rFonts w:ascii="Verdana" w:hAnsi="Verdana" w:eastAsiaTheme="minorEastAsia"/>
          <w:sz w:val="22"/>
          <w:szCs w:val="22"/>
        </w:rPr>
        <w:t>the Liaison Committee’s</w:t>
      </w:r>
      <w:r w:rsidRPr="00AF0A0D" w:rsidR="00C9235B">
        <w:rPr>
          <w:rFonts w:ascii="Verdana" w:hAnsi="Verdana" w:eastAsiaTheme="minorEastAsia"/>
          <w:sz w:val="22"/>
          <w:szCs w:val="22"/>
        </w:rPr>
        <w:t xml:space="preserve"> inquiry regarding the 2020 report </w:t>
      </w:r>
      <w:r w:rsidRPr="00AF0A0D" w:rsidR="00806544">
        <w:rPr>
          <w:rFonts w:ascii="Verdana" w:hAnsi="Verdana" w:eastAsiaTheme="minorEastAsia"/>
          <w:sz w:val="22"/>
          <w:szCs w:val="22"/>
        </w:rPr>
        <w:t>on the Social and Economic Impact of the Gambling Industry.</w:t>
      </w:r>
      <w:r w:rsidRPr="00AF0A0D" w:rsidR="00D14730">
        <w:rPr>
          <w:rFonts w:ascii="Verdana" w:hAnsi="Verdana" w:eastAsiaTheme="minorEastAsia"/>
          <w:sz w:val="22"/>
          <w:szCs w:val="22"/>
        </w:rPr>
        <w:t xml:space="preserve">  I also thank you and your clerks for sharing with the Commission the supplementary submission you received from </w:t>
      </w:r>
      <w:r w:rsidRPr="00AF0A0D" w:rsidR="00601E75">
        <w:rPr>
          <w:rFonts w:ascii="Verdana" w:hAnsi="Verdana" w:eastAsiaTheme="minorEastAsia"/>
          <w:sz w:val="22"/>
          <w:szCs w:val="22"/>
        </w:rPr>
        <w:t xml:space="preserve">Mr Waugh of Regulus Partners.  </w:t>
      </w:r>
    </w:p>
    <w:p w:rsidR="00131B3A" w:rsidRPr="00AF0A0D" w:rsidP="00806544">
      <w:pPr>
        <w:spacing w:after="0" w:line="240" w:lineRule="auto"/>
        <w:rPr>
          <w:rFonts w:ascii="Verdana" w:hAnsi="Verdana" w:eastAsiaTheme="minorEastAsia"/>
          <w:sz w:val="22"/>
          <w:szCs w:val="22"/>
        </w:rPr>
      </w:pPr>
    </w:p>
    <w:p w:rsidR="00806544" w:rsidRPr="00AF0A0D" w:rsidP="00806544">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I am writing to you today in response to some of the points Mr Waugh has raised and </w:t>
      </w:r>
      <w:r w:rsidRPr="00AF0A0D" w:rsidR="005D0C2B">
        <w:rPr>
          <w:rFonts w:ascii="Verdana" w:hAnsi="Verdana" w:eastAsiaTheme="minorEastAsia"/>
          <w:sz w:val="22"/>
          <w:szCs w:val="22"/>
        </w:rPr>
        <w:t xml:space="preserve">to point out various misuses – inadvertent or otherwise – of statistics </w:t>
      </w:r>
      <w:r w:rsidRPr="00AF0A0D" w:rsidR="008743A3">
        <w:rPr>
          <w:rFonts w:ascii="Verdana" w:hAnsi="Verdana" w:eastAsiaTheme="minorEastAsia"/>
          <w:sz w:val="22"/>
          <w:szCs w:val="22"/>
        </w:rPr>
        <w:t xml:space="preserve">and research </w:t>
      </w:r>
      <w:r w:rsidRPr="00AF0A0D" w:rsidR="005D0C2B">
        <w:rPr>
          <w:rFonts w:ascii="Verdana" w:hAnsi="Verdana" w:eastAsiaTheme="minorEastAsia"/>
          <w:sz w:val="22"/>
          <w:szCs w:val="22"/>
        </w:rPr>
        <w:t xml:space="preserve">that were made in the sessions last week.  </w:t>
      </w:r>
      <w:r w:rsidRPr="00AF0A0D" w:rsidR="00131B3A">
        <w:rPr>
          <w:rFonts w:ascii="Verdana" w:hAnsi="Verdana" w:eastAsiaTheme="minorEastAsia"/>
          <w:sz w:val="22"/>
          <w:szCs w:val="22"/>
        </w:rPr>
        <w:t xml:space="preserve">Whilst the time constraints placed upon the Committee’s work mean we have not had enough time to go through all the points made to the Committee on Wednesday 17 June, </w:t>
      </w:r>
      <w:r w:rsidRPr="00AF0A0D" w:rsidR="00F100D8">
        <w:rPr>
          <w:rFonts w:ascii="Verdana" w:hAnsi="Verdana" w:eastAsiaTheme="minorEastAsia"/>
          <w:sz w:val="22"/>
          <w:szCs w:val="22"/>
        </w:rPr>
        <w:t>we nevertheless felt it sensible to share with you where we have foun</w:t>
      </w:r>
      <w:r w:rsidRPr="00AF0A0D" w:rsidR="008743A3">
        <w:rPr>
          <w:rFonts w:ascii="Verdana" w:hAnsi="Verdana" w:eastAsiaTheme="minorEastAsia"/>
          <w:sz w:val="22"/>
          <w:szCs w:val="22"/>
        </w:rPr>
        <w:t>d witnesses either misspeak or misuse statistics and research</w:t>
      </w:r>
      <w:r w:rsidRPr="00AF0A0D" w:rsidR="00BF6EFD">
        <w:rPr>
          <w:rFonts w:ascii="Verdana" w:hAnsi="Verdana" w:eastAsiaTheme="minorEastAsia"/>
          <w:sz w:val="22"/>
          <w:szCs w:val="22"/>
        </w:rPr>
        <w:t xml:space="preserve"> or where we have felt additional context was required, especially in relation to Commission data and statistics</w:t>
      </w:r>
      <w:r w:rsidRPr="00AF0A0D" w:rsidR="008743A3">
        <w:rPr>
          <w:rFonts w:ascii="Verdana" w:hAnsi="Verdana" w:eastAsiaTheme="minorEastAsia"/>
          <w:sz w:val="22"/>
          <w:szCs w:val="22"/>
        </w:rPr>
        <w:t>.</w:t>
      </w:r>
    </w:p>
    <w:p w:rsidR="00F608AD" w:rsidRPr="00AF0A0D" w:rsidP="00806544">
      <w:pPr>
        <w:spacing w:after="0" w:line="240" w:lineRule="auto"/>
        <w:rPr>
          <w:rFonts w:ascii="Verdana" w:hAnsi="Verdana" w:eastAsiaTheme="minorEastAsia"/>
          <w:sz w:val="22"/>
          <w:szCs w:val="22"/>
        </w:rPr>
      </w:pPr>
    </w:p>
    <w:p w:rsidR="00F608AD" w:rsidRPr="00AF0A0D" w:rsidP="00806544">
      <w:pPr>
        <w:spacing w:after="0" w:line="240" w:lineRule="auto"/>
        <w:rPr>
          <w:rFonts w:ascii="Verdana" w:hAnsi="Verdana" w:eastAsiaTheme="minorEastAsia"/>
          <w:sz w:val="22"/>
          <w:szCs w:val="22"/>
        </w:rPr>
      </w:pPr>
      <w:r w:rsidRPr="00AF0A0D">
        <w:rPr>
          <w:rFonts w:ascii="Verdana" w:hAnsi="Verdana" w:eastAsiaTheme="minorEastAsia"/>
          <w:sz w:val="22"/>
          <w:szCs w:val="22"/>
          <w:u w:val="single"/>
        </w:rPr>
        <w:t>Gambling Survey for Great Britain</w:t>
      </w:r>
      <w:r w:rsidRPr="00AF0A0D" w:rsidR="007D2478">
        <w:rPr>
          <w:rFonts w:ascii="Verdana" w:hAnsi="Verdana" w:eastAsiaTheme="minorEastAsia"/>
          <w:sz w:val="22"/>
          <w:szCs w:val="22"/>
          <w:u w:val="single"/>
        </w:rPr>
        <w:t xml:space="preserve"> (GSGB)</w:t>
      </w:r>
    </w:p>
    <w:p w:rsidR="00A828F7" w:rsidRPr="00AF0A0D" w:rsidP="00806544">
      <w:pPr>
        <w:spacing w:after="0" w:line="240" w:lineRule="auto"/>
        <w:rPr>
          <w:rFonts w:ascii="Verdana" w:hAnsi="Verdana" w:eastAsiaTheme="minorEastAsia"/>
          <w:sz w:val="22"/>
          <w:szCs w:val="22"/>
        </w:rPr>
      </w:pPr>
    </w:p>
    <w:p w:rsidR="00A828F7" w:rsidRPr="00AF0A0D" w:rsidP="007D2478">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As </w:t>
      </w:r>
      <w:r w:rsidRPr="00AF0A0D" w:rsidR="00A37EE5">
        <w:rPr>
          <w:rFonts w:ascii="Verdana" w:hAnsi="Verdana" w:eastAsiaTheme="minorEastAsia"/>
          <w:sz w:val="22"/>
          <w:szCs w:val="22"/>
        </w:rPr>
        <w:t>I</w:t>
      </w:r>
      <w:r w:rsidRPr="00AF0A0D">
        <w:rPr>
          <w:rFonts w:ascii="Verdana" w:hAnsi="Verdana" w:eastAsiaTheme="minorEastAsia"/>
          <w:sz w:val="22"/>
          <w:szCs w:val="22"/>
        </w:rPr>
        <w:t xml:space="preserve"> </w:t>
      </w:r>
      <w:r w:rsidRPr="00AF0A0D" w:rsidR="00A37EE5">
        <w:rPr>
          <w:rFonts w:ascii="Verdana" w:hAnsi="Verdana" w:eastAsiaTheme="minorEastAsia"/>
          <w:sz w:val="22"/>
          <w:szCs w:val="22"/>
        </w:rPr>
        <w:t xml:space="preserve">said </w:t>
      </w:r>
      <w:r w:rsidRPr="00AF0A0D">
        <w:rPr>
          <w:rFonts w:ascii="Verdana" w:hAnsi="Verdana" w:eastAsiaTheme="minorEastAsia"/>
          <w:sz w:val="22"/>
          <w:szCs w:val="22"/>
        </w:rPr>
        <w:t>last week,</w:t>
      </w:r>
      <w:r w:rsidRPr="00AF0A0D" w:rsidR="007D2478">
        <w:rPr>
          <w:rFonts w:ascii="Verdana" w:hAnsi="Verdana" w:eastAsiaTheme="minorEastAsia"/>
          <w:sz w:val="22"/>
          <w:szCs w:val="22"/>
        </w:rPr>
        <w:t xml:space="preserve"> GSGB is the largest survey</w:t>
      </w:r>
      <w:r w:rsidRPr="00AF0A0D" w:rsidR="00232742">
        <w:rPr>
          <w:rFonts w:ascii="Verdana" w:hAnsi="Verdana" w:eastAsiaTheme="minorEastAsia"/>
          <w:sz w:val="22"/>
          <w:szCs w:val="22"/>
        </w:rPr>
        <w:t xml:space="preserve"> of its kind</w:t>
      </w:r>
      <w:r w:rsidRPr="00AF0A0D" w:rsidR="007D2478">
        <w:rPr>
          <w:rFonts w:ascii="Verdana" w:hAnsi="Verdana" w:eastAsiaTheme="minorEastAsia"/>
          <w:sz w:val="22"/>
          <w:szCs w:val="22"/>
        </w:rPr>
        <w:t xml:space="preserve"> about gambling in the world. It has been developed by experts in the field of social research and gambling research at NatCen and the University of Glasgow. It also adheres to latest best practice from the ESRC funded ‘Survey Futures’ programme.  The survey methodology has been independently endorsed by Professor Sturgis, a Professor of Quantitative Social Science at the Department of Methodology at London School of Economics.</w:t>
      </w:r>
    </w:p>
    <w:p w:rsidR="00333755" w:rsidRPr="00AF0A0D" w:rsidP="007D2478">
      <w:pPr>
        <w:spacing w:after="0" w:line="240" w:lineRule="auto"/>
        <w:rPr>
          <w:rFonts w:ascii="Verdana" w:hAnsi="Verdana" w:eastAsiaTheme="minorEastAsia"/>
          <w:sz w:val="22"/>
          <w:szCs w:val="22"/>
        </w:rPr>
      </w:pPr>
    </w:p>
    <w:p w:rsidR="00AD52E0" w:rsidRPr="00AF0A0D" w:rsidP="00AD52E0">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The supplementary written evidence rightly states that the GSGB produces estimates of those scoring 8+ on the Problem Gambling Severity Index (PGSI) and therefore deemed to be experiencing problem gambling that are higher than previous surveys have suggested. However, it fails to draw on research published by leading methodological experts at the London School of Economics about the reasons for these differences. </w:t>
      </w:r>
    </w:p>
    <w:p w:rsidR="00AD52E0" w:rsidRPr="00AF0A0D" w:rsidP="00AD52E0">
      <w:pPr>
        <w:spacing w:after="0" w:line="240" w:lineRule="auto"/>
        <w:rPr>
          <w:rFonts w:ascii="Verdana" w:hAnsi="Verdana" w:eastAsiaTheme="minorEastAsia"/>
          <w:sz w:val="22"/>
          <w:szCs w:val="22"/>
        </w:rPr>
      </w:pPr>
    </w:p>
    <w:p w:rsidR="00AD52E0" w:rsidRPr="00AF0A0D" w:rsidP="00AD52E0">
      <w:pPr>
        <w:spacing w:after="0" w:line="240" w:lineRule="auto"/>
        <w:rPr>
          <w:rFonts w:ascii="Verdana" w:hAnsi="Verdana" w:eastAsiaTheme="minorEastAsia"/>
          <w:sz w:val="22"/>
          <w:szCs w:val="22"/>
        </w:rPr>
      </w:pPr>
      <w:r w:rsidRPr="00AF0A0D">
        <w:rPr>
          <w:rFonts w:ascii="Verdana" w:hAnsi="Verdana" w:eastAsiaTheme="minorEastAsia"/>
          <w:sz w:val="22"/>
          <w:szCs w:val="22"/>
        </w:rPr>
        <w:t>The research concludes that respondents under report undesirable behaviours in the presence of an interviewer, which reflects general literature in this area. Previous Health Surveys, the NHS Adult Psychiatric Morbidity Survey and the Commission’s Quarterly Telephone Survey were all undertaken using an approach where an interviewer is present, meaning their estimates may be subject to downward biases</w:t>
      </w:r>
      <w:r w:rsidRPr="00AF0A0D" w:rsidR="007C2F37">
        <w:rPr>
          <w:rFonts w:ascii="Verdana" w:hAnsi="Verdana" w:eastAsiaTheme="minorEastAsia"/>
          <w:sz w:val="22"/>
          <w:szCs w:val="22"/>
        </w:rPr>
        <w:t xml:space="preserve">, </w:t>
      </w:r>
      <w:r w:rsidRPr="00AF0A0D" w:rsidR="003B2346">
        <w:rPr>
          <w:rFonts w:ascii="Verdana" w:hAnsi="Verdana" w:eastAsiaTheme="minorEastAsia"/>
          <w:sz w:val="22"/>
          <w:szCs w:val="22"/>
        </w:rPr>
        <w:t>something th</w:t>
      </w:r>
      <w:r w:rsidRPr="00AF0A0D" w:rsidR="00CE573A">
        <w:rPr>
          <w:rFonts w:ascii="Verdana" w:hAnsi="Verdana" w:eastAsiaTheme="minorEastAsia"/>
          <w:sz w:val="22"/>
          <w:szCs w:val="22"/>
        </w:rPr>
        <w:t xml:space="preserve">at is </w:t>
      </w:r>
      <w:r w:rsidRPr="00AF0A0D" w:rsidR="00100AF7">
        <w:rPr>
          <w:rFonts w:ascii="Verdana" w:hAnsi="Verdana" w:eastAsiaTheme="minorEastAsia"/>
          <w:sz w:val="22"/>
          <w:szCs w:val="22"/>
        </w:rPr>
        <w:t>outlined in accompanying technical information</w:t>
      </w:r>
      <w:r w:rsidRPr="00AF0A0D">
        <w:rPr>
          <w:rFonts w:ascii="Verdana" w:hAnsi="Verdana" w:eastAsiaTheme="minorEastAsia"/>
          <w:sz w:val="22"/>
          <w:szCs w:val="22"/>
        </w:rPr>
        <w:t>. The GSGB is different because it uses an approach where an interviewer is not present when the survey is being completed, and as such respondents can provide more honest responses when answering sensitive questions such as those asked in the PGSI.</w:t>
      </w:r>
      <w:r w:rsidRPr="00AF0A0D" w:rsidR="00500585">
        <w:rPr>
          <w:rFonts w:ascii="Verdana" w:hAnsi="Verdana" w:eastAsiaTheme="minorEastAsia"/>
          <w:sz w:val="22"/>
          <w:szCs w:val="22"/>
        </w:rPr>
        <w:t xml:space="preserve"> </w:t>
      </w:r>
    </w:p>
    <w:p w:rsidR="00AD52E0" w:rsidRPr="00AF0A0D" w:rsidP="00AD52E0">
      <w:pPr>
        <w:spacing w:after="0" w:line="240" w:lineRule="auto"/>
        <w:rPr>
          <w:rFonts w:ascii="Verdana" w:hAnsi="Verdana" w:eastAsiaTheme="minorEastAsia"/>
          <w:sz w:val="22"/>
          <w:szCs w:val="22"/>
        </w:rPr>
      </w:pPr>
    </w:p>
    <w:p w:rsidR="00FB62A1" w:rsidRPr="00AF0A0D" w:rsidP="00FB62A1">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We are aware of analysis undertaken by Mr Waugh to compare participation estimates from the GSGB with administrative data for three </w:t>
      </w:r>
      <w:r w:rsidRPr="00AF0A0D" w:rsidR="00037657">
        <w:rPr>
          <w:rFonts w:ascii="Verdana" w:hAnsi="Verdana" w:eastAsiaTheme="minorEastAsia"/>
          <w:sz w:val="22"/>
          <w:szCs w:val="22"/>
        </w:rPr>
        <w:t>smaller</w:t>
      </w:r>
      <w:r w:rsidRPr="00AF0A0D">
        <w:rPr>
          <w:rFonts w:ascii="Verdana" w:hAnsi="Verdana" w:eastAsiaTheme="minorEastAsia"/>
          <w:sz w:val="22"/>
          <w:szCs w:val="22"/>
        </w:rPr>
        <w:t xml:space="preserve"> gambling activities (football pools, betting exchange and land-based casinos). We disagree </w:t>
      </w:r>
      <w:r w:rsidRPr="00AF0A0D">
        <w:rPr>
          <w:rFonts w:ascii="Verdana" w:hAnsi="Verdana" w:eastAsiaTheme="minorEastAsia"/>
          <w:sz w:val="22"/>
          <w:szCs w:val="22"/>
        </w:rPr>
        <w:t xml:space="preserve">with his conclusions that differences between the two sets of data can only be as a result of selection bias or a vast unlicensed market. There are many reasons why these estimates will differ as per our findings </w:t>
      </w:r>
      <w:r>
        <w:fldChar w:fldCharType="begin"/>
      </w:r>
      <w:r>
        <w:instrText xml:space="preserve"> HYPERLINK "https://www.gamblingcommission.gov.uk/blog/post/eyes-down-on-the-data" </w:instrText>
      </w:r>
      <w:r>
        <w:fldChar w:fldCharType="separate"/>
      </w:r>
      <w:r w:rsidRPr="00AF0A0D">
        <w:rPr>
          <w:rStyle w:val="Hyperlink"/>
          <w:rFonts w:ascii="Verdana" w:hAnsi="Verdana" w:eastAsiaTheme="minorEastAsia"/>
          <w:color w:val="auto"/>
          <w:sz w:val="22"/>
          <w:szCs w:val="22"/>
        </w:rPr>
        <w:t>based on research undertaken with the Bingo Association</w:t>
      </w:r>
      <w:r>
        <w:fldChar w:fldCharType="end"/>
      </w:r>
      <w:r w:rsidRPr="00AF0A0D">
        <w:rPr>
          <w:rFonts w:ascii="Verdana" w:hAnsi="Verdana" w:eastAsiaTheme="minorEastAsia"/>
          <w:sz w:val="22"/>
          <w:szCs w:val="22"/>
        </w:rPr>
        <w:t xml:space="preserve">, which explained the reasons for differences in estimates between a consumer survey (GSGB) and in this case, admissions data into licensed bingo halls. </w:t>
      </w:r>
      <w:r w:rsidRPr="00AF0A0D">
        <w:rPr>
          <w:rFonts w:ascii="Verdana" w:hAnsi="Verdana" w:eastAsiaTheme="minorEastAsia"/>
          <w:sz w:val="22"/>
          <w:szCs w:val="22"/>
        </w:rPr>
        <w:t xml:space="preserve"> </w:t>
      </w:r>
      <w:r w:rsidRPr="00AF0A0D" w:rsidR="002D2BD7">
        <w:rPr>
          <w:rFonts w:ascii="Verdana" w:hAnsi="Verdana" w:eastAsiaTheme="minorEastAsia"/>
          <w:sz w:val="22"/>
          <w:szCs w:val="22"/>
        </w:rPr>
        <w:t>We stand by both the GSGB, its methodology and the data that comes from it.  Whilst we will continue to work with partners and experts in the field to further improve and strengthen it, the GSGB and its methodology have been designed by experts, reviewed by experts and approved by experts.</w:t>
      </w:r>
    </w:p>
    <w:p w:rsidR="00AD52E0" w:rsidRPr="00AF0A0D" w:rsidP="00AD52E0">
      <w:pPr>
        <w:spacing w:after="0" w:line="240" w:lineRule="auto"/>
        <w:rPr>
          <w:rFonts w:ascii="Verdana" w:hAnsi="Verdana" w:eastAsiaTheme="minorEastAsia"/>
          <w:sz w:val="22"/>
          <w:szCs w:val="22"/>
        </w:rPr>
      </w:pPr>
    </w:p>
    <w:p w:rsidR="00333755" w:rsidRPr="00AF0A0D" w:rsidP="00AD52E0">
      <w:pPr>
        <w:spacing w:after="0" w:line="240" w:lineRule="auto"/>
        <w:rPr>
          <w:rFonts w:ascii="Verdana" w:hAnsi="Verdana" w:eastAsiaTheme="minorEastAsia"/>
          <w:sz w:val="22"/>
          <w:szCs w:val="22"/>
        </w:rPr>
      </w:pPr>
      <w:r w:rsidRPr="00AF0A0D">
        <w:rPr>
          <w:rFonts w:ascii="Verdana" w:hAnsi="Verdana" w:eastAsiaTheme="minorEastAsia"/>
          <w:sz w:val="22"/>
          <w:szCs w:val="22"/>
        </w:rPr>
        <w:t>Nonetheless</w:t>
      </w:r>
      <w:r w:rsidRPr="00AF0A0D" w:rsidR="000D7BEF">
        <w:rPr>
          <w:rFonts w:ascii="Verdana" w:hAnsi="Verdana" w:eastAsiaTheme="minorEastAsia"/>
          <w:sz w:val="22"/>
          <w:szCs w:val="22"/>
        </w:rPr>
        <w:t>,</w:t>
      </w:r>
      <w:r w:rsidRPr="00AF0A0D">
        <w:rPr>
          <w:rFonts w:ascii="Verdana" w:hAnsi="Verdana" w:eastAsiaTheme="minorEastAsia"/>
          <w:sz w:val="22"/>
          <w:szCs w:val="22"/>
        </w:rPr>
        <w:t xml:space="preserve"> we will always triangulate data from multiple sources in order to understand the gambling landscape in G</w:t>
      </w:r>
      <w:r w:rsidRPr="00AF0A0D" w:rsidR="00245B03">
        <w:rPr>
          <w:rFonts w:ascii="Verdana" w:hAnsi="Verdana" w:eastAsiaTheme="minorEastAsia"/>
          <w:sz w:val="22"/>
          <w:szCs w:val="22"/>
        </w:rPr>
        <w:t>reat</w:t>
      </w:r>
      <w:r w:rsidRPr="00AF0A0D" w:rsidR="001A4539">
        <w:rPr>
          <w:rFonts w:ascii="Verdana" w:hAnsi="Verdana" w:eastAsiaTheme="minorEastAsia"/>
          <w:sz w:val="22"/>
          <w:szCs w:val="22"/>
        </w:rPr>
        <w:t xml:space="preserve"> </w:t>
      </w:r>
      <w:r w:rsidRPr="00AF0A0D">
        <w:rPr>
          <w:rFonts w:ascii="Verdana" w:hAnsi="Verdana" w:eastAsiaTheme="minorEastAsia"/>
          <w:sz w:val="22"/>
          <w:szCs w:val="22"/>
        </w:rPr>
        <w:t>B</w:t>
      </w:r>
      <w:r w:rsidRPr="00AF0A0D" w:rsidR="001A4539">
        <w:rPr>
          <w:rFonts w:ascii="Verdana" w:hAnsi="Verdana" w:eastAsiaTheme="minorEastAsia"/>
          <w:sz w:val="22"/>
          <w:szCs w:val="22"/>
        </w:rPr>
        <w:t>r</w:t>
      </w:r>
      <w:r w:rsidRPr="00AF0A0D" w:rsidR="00432F4C">
        <w:rPr>
          <w:rFonts w:ascii="Verdana" w:hAnsi="Verdana" w:eastAsiaTheme="minorEastAsia"/>
          <w:sz w:val="22"/>
          <w:szCs w:val="22"/>
        </w:rPr>
        <w:t>itain</w:t>
      </w:r>
      <w:r w:rsidRPr="00AF0A0D" w:rsidR="00D44A6E">
        <w:rPr>
          <w:rFonts w:ascii="Verdana" w:hAnsi="Verdana" w:eastAsiaTheme="minorEastAsia"/>
          <w:sz w:val="22"/>
          <w:szCs w:val="22"/>
        </w:rPr>
        <w:t>. T</w:t>
      </w:r>
      <w:r w:rsidRPr="00AF0A0D">
        <w:rPr>
          <w:rFonts w:ascii="Verdana" w:hAnsi="Verdana" w:eastAsiaTheme="minorEastAsia"/>
          <w:sz w:val="22"/>
          <w:szCs w:val="22"/>
        </w:rPr>
        <w:t>he GSGB provides a way of detecting and understanding patterns and trends in gambling behaviour that up until the introduction of the GSGB had not been satisfactorily met</w:t>
      </w:r>
      <w:r w:rsidRPr="00AF0A0D" w:rsidR="00570670">
        <w:rPr>
          <w:rFonts w:ascii="Verdana" w:hAnsi="Verdana" w:eastAsiaTheme="minorEastAsia"/>
          <w:sz w:val="22"/>
          <w:szCs w:val="22"/>
        </w:rPr>
        <w:t>, w</w:t>
      </w:r>
      <w:r w:rsidRPr="00AF0A0D" w:rsidR="000B1958">
        <w:rPr>
          <w:rFonts w:ascii="Verdana" w:hAnsi="Verdana" w:eastAsiaTheme="minorEastAsia"/>
          <w:sz w:val="22"/>
          <w:szCs w:val="22"/>
        </w:rPr>
        <w:t>hich along</w:t>
      </w:r>
      <w:r w:rsidRPr="00AF0A0D" w:rsidR="00FB796F">
        <w:rPr>
          <w:rFonts w:ascii="Verdana" w:hAnsi="Verdana" w:eastAsiaTheme="minorEastAsia"/>
          <w:sz w:val="22"/>
          <w:szCs w:val="22"/>
        </w:rPr>
        <w:t>side oth</w:t>
      </w:r>
      <w:r w:rsidRPr="00AF0A0D" w:rsidR="004911CD">
        <w:rPr>
          <w:rFonts w:ascii="Verdana" w:hAnsi="Verdana" w:eastAsiaTheme="minorEastAsia"/>
          <w:sz w:val="22"/>
          <w:szCs w:val="22"/>
        </w:rPr>
        <w:t xml:space="preserve">er </w:t>
      </w:r>
      <w:r w:rsidRPr="00AF0A0D" w:rsidR="00804B12">
        <w:rPr>
          <w:rFonts w:ascii="Verdana" w:hAnsi="Verdana" w:eastAsiaTheme="minorEastAsia"/>
          <w:sz w:val="22"/>
          <w:szCs w:val="22"/>
        </w:rPr>
        <w:t>data sou</w:t>
      </w:r>
      <w:r w:rsidRPr="00AF0A0D" w:rsidR="00B51DC7">
        <w:rPr>
          <w:rFonts w:ascii="Verdana" w:hAnsi="Verdana" w:eastAsiaTheme="minorEastAsia"/>
          <w:sz w:val="22"/>
          <w:szCs w:val="22"/>
        </w:rPr>
        <w:t>r</w:t>
      </w:r>
      <w:r w:rsidRPr="00AF0A0D" w:rsidR="000509F5">
        <w:rPr>
          <w:rFonts w:ascii="Verdana" w:hAnsi="Verdana" w:eastAsiaTheme="minorEastAsia"/>
          <w:sz w:val="22"/>
          <w:szCs w:val="22"/>
        </w:rPr>
        <w:t xml:space="preserve">ces </w:t>
      </w:r>
      <w:r w:rsidRPr="00AF0A0D" w:rsidR="00C82409">
        <w:rPr>
          <w:rFonts w:ascii="Verdana" w:hAnsi="Verdana" w:eastAsiaTheme="minorEastAsia"/>
          <w:sz w:val="22"/>
          <w:szCs w:val="22"/>
        </w:rPr>
        <w:t xml:space="preserve">strengthens </w:t>
      </w:r>
      <w:r w:rsidRPr="00AF0A0D" w:rsidR="008B03C4">
        <w:rPr>
          <w:rFonts w:ascii="Verdana" w:hAnsi="Verdana" w:eastAsiaTheme="minorEastAsia"/>
          <w:sz w:val="22"/>
          <w:szCs w:val="22"/>
        </w:rPr>
        <w:t>our e</w:t>
      </w:r>
      <w:r w:rsidRPr="00AF0A0D" w:rsidR="004B07E7">
        <w:rPr>
          <w:rFonts w:ascii="Verdana" w:hAnsi="Verdana" w:eastAsiaTheme="minorEastAsia"/>
          <w:sz w:val="22"/>
          <w:szCs w:val="22"/>
        </w:rPr>
        <w:t>vidence base</w:t>
      </w:r>
      <w:r w:rsidRPr="00AF0A0D" w:rsidR="00FD5142">
        <w:rPr>
          <w:rFonts w:ascii="Verdana" w:hAnsi="Verdana" w:eastAsiaTheme="minorEastAsia"/>
          <w:sz w:val="22"/>
          <w:szCs w:val="22"/>
        </w:rPr>
        <w:t xml:space="preserve">. </w:t>
      </w:r>
    </w:p>
    <w:p w:rsidR="00D42304" w:rsidRPr="00AF0A0D" w:rsidP="00806544">
      <w:pPr>
        <w:spacing w:after="0" w:line="240" w:lineRule="auto"/>
        <w:rPr>
          <w:rFonts w:ascii="Verdana" w:eastAsia="Yu Mincho" w:hAnsi="Verdana" w:cs="Arial"/>
          <w:sz w:val="22"/>
          <w:szCs w:val="22"/>
        </w:rPr>
      </w:pPr>
    </w:p>
    <w:p w:rsidR="1C644C7C" w:rsidRPr="00AF0A0D" w:rsidP="00806544">
      <w:pPr>
        <w:spacing w:after="0" w:line="240" w:lineRule="auto"/>
        <w:rPr>
          <w:rFonts w:ascii="Verdana" w:eastAsia="Yu Mincho" w:hAnsi="Verdana" w:cs="Arial"/>
          <w:sz w:val="22"/>
          <w:szCs w:val="22"/>
        </w:rPr>
      </w:pPr>
      <w:r w:rsidRPr="00AF0A0D">
        <w:rPr>
          <w:rFonts w:ascii="Verdana" w:eastAsia="Yu Mincho" w:hAnsi="Verdana" w:cs="Arial"/>
          <w:sz w:val="22"/>
          <w:szCs w:val="22"/>
          <w:u w:val="single"/>
        </w:rPr>
        <w:t>Children and Young People Report</w:t>
      </w:r>
    </w:p>
    <w:p w:rsidR="0047276B" w:rsidRPr="00AF0A0D" w:rsidP="00806544">
      <w:pPr>
        <w:spacing w:after="0" w:line="240" w:lineRule="auto"/>
        <w:rPr>
          <w:rFonts w:ascii="Verdana" w:eastAsia="Yu Mincho" w:hAnsi="Verdana" w:cs="Arial"/>
          <w:sz w:val="22"/>
          <w:szCs w:val="22"/>
        </w:rPr>
      </w:pPr>
    </w:p>
    <w:p w:rsidR="0047276B" w:rsidRPr="00AF0A0D" w:rsidP="00806544">
      <w:pPr>
        <w:spacing w:after="0" w:line="240" w:lineRule="auto"/>
        <w:rPr>
          <w:rFonts w:ascii="Verdana" w:eastAsia="Yu Mincho" w:hAnsi="Verdana" w:cs="Arial"/>
          <w:sz w:val="22"/>
          <w:szCs w:val="22"/>
        </w:rPr>
      </w:pPr>
      <w:r w:rsidRPr="00AF0A0D">
        <w:rPr>
          <w:rFonts w:ascii="Verdana" w:eastAsia="Yu Mincho" w:hAnsi="Verdana" w:cs="Arial"/>
          <w:sz w:val="22"/>
          <w:szCs w:val="22"/>
        </w:rPr>
        <w:t>The Commission is responsible for protecting children and other vulnerable people from being harmed or exploited by gambling. Since 2011, we have undertaken a programme of research with children and young people to understand their gambling experiences and to detect how they may be experiencing harm.</w:t>
      </w:r>
      <w:r w:rsidRPr="00AF0A0D" w:rsidR="004A2FA6">
        <w:rPr>
          <w:rFonts w:ascii="Verdana" w:eastAsia="Yu Mincho" w:hAnsi="Verdana" w:cs="Arial"/>
          <w:sz w:val="22"/>
          <w:szCs w:val="22"/>
        </w:rPr>
        <w:t xml:space="preserve">  W</w:t>
      </w:r>
      <w:r w:rsidRPr="00AF0A0D" w:rsidR="007410E0">
        <w:rPr>
          <w:rFonts w:ascii="Verdana" w:eastAsia="Yu Mincho" w:hAnsi="Verdana" w:cs="Arial"/>
          <w:sz w:val="22"/>
          <w:szCs w:val="22"/>
        </w:rPr>
        <w:t>hat we</w:t>
      </w:r>
      <w:r w:rsidRPr="00AF0A0D" w:rsidR="004A2FA6">
        <w:rPr>
          <w:rFonts w:ascii="Verdana" w:eastAsia="Yu Mincho" w:hAnsi="Verdana" w:cs="Arial"/>
          <w:sz w:val="22"/>
          <w:szCs w:val="22"/>
        </w:rPr>
        <w:t xml:space="preserve"> publish </w:t>
      </w:r>
      <w:r w:rsidRPr="00AF0A0D" w:rsidR="007410E0">
        <w:rPr>
          <w:rFonts w:ascii="Verdana" w:eastAsia="Yu Mincho" w:hAnsi="Verdana" w:cs="Arial"/>
          <w:sz w:val="22"/>
          <w:szCs w:val="22"/>
        </w:rPr>
        <w:t>a</w:t>
      </w:r>
      <w:r w:rsidRPr="00AF0A0D" w:rsidR="004A2FA6">
        <w:rPr>
          <w:rFonts w:ascii="Verdana" w:eastAsia="Yu Mincho" w:hAnsi="Verdana" w:cs="Arial"/>
          <w:sz w:val="22"/>
          <w:szCs w:val="22"/>
        </w:rPr>
        <w:t>nnual</w:t>
      </w:r>
      <w:r w:rsidRPr="00AF0A0D" w:rsidR="007410E0">
        <w:rPr>
          <w:rFonts w:ascii="Verdana" w:eastAsia="Yu Mincho" w:hAnsi="Verdana" w:cs="Arial"/>
          <w:sz w:val="22"/>
          <w:szCs w:val="22"/>
        </w:rPr>
        <w:t>ly in this space is</w:t>
      </w:r>
      <w:r w:rsidRPr="00AF0A0D" w:rsidR="004A2FA6">
        <w:rPr>
          <w:rFonts w:ascii="Verdana" w:eastAsia="Yu Mincho" w:hAnsi="Verdana" w:cs="Arial"/>
          <w:sz w:val="22"/>
          <w:szCs w:val="22"/>
        </w:rPr>
        <w:t xml:space="preserve"> the Children and Young People Report</w:t>
      </w:r>
      <w:r w:rsidRPr="00AF0A0D" w:rsidR="007410E0">
        <w:rPr>
          <w:rFonts w:ascii="Verdana" w:eastAsia="Yu Mincho" w:hAnsi="Verdana" w:cs="Arial"/>
          <w:sz w:val="22"/>
          <w:szCs w:val="22"/>
        </w:rPr>
        <w:t>.</w:t>
      </w:r>
    </w:p>
    <w:p w:rsidR="007410E0" w:rsidRPr="00AF0A0D" w:rsidP="00806544">
      <w:pPr>
        <w:spacing w:after="0" w:line="240" w:lineRule="auto"/>
        <w:rPr>
          <w:rFonts w:ascii="Verdana" w:eastAsia="Yu Mincho" w:hAnsi="Verdana" w:cs="Arial"/>
          <w:sz w:val="22"/>
          <w:szCs w:val="22"/>
        </w:rPr>
      </w:pPr>
    </w:p>
    <w:p w:rsidR="00904EE9" w:rsidRPr="00AF0A0D" w:rsidP="00443E42">
      <w:pPr>
        <w:spacing w:after="0" w:line="240" w:lineRule="auto"/>
        <w:rPr>
          <w:rFonts w:ascii="Verdana" w:eastAsia="Yu Mincho" w:hAnsi="Verdana" w:cs="Arial"/>
          <w:sz w:val="22"/>
          <w:szCs w:val="22"/>
        </w:rPr>
      </w:pPr>
      <w:r w:rsidRPr="00AF0A0D">
        <w:rPr>
          <w:rFonts w:ascii="Verdana" w:eastAsia="Yu Mincho" w:hAnsi="Verdana" w:cs="Arial"/>
          <w:sz w:val="22"/>
          <w:szCs w:val="22"/>
        </w:rPr>
        <w:t>We work with Ipsos, a nationally renown</w:t>
      </w:r>
      <w:r w:rsidRPr="00AF0A0D" w:rsidR="00E03C8A">
        <w:rPr>
          <w:rFonts w:ascii="Verdana" w:eastAsia="Yu Mincho" w:hAnsi="Verdana" w:cs="Arial"/>
          <w:sz w:val="22"/>
          <w:szCs w:val="22"/>
        </w:rPr>
        <w:t>ed</w:t>
      </w:r>
      <w:r w:rsidRPr="00AF0A0D">
        <w:rPr>
          <w:rFonts w:ascii="Verdana" w:eastAsia="Yu Mincho" w:hAnsi="Verdana" w:cs="Arial"/>
          <w:sz w:val="22"/>
          <w:szCs w:val="22"/>
        </w:rPr>
        <w:t xml:space="preserve"> social research agency to undertake a programme of research in schools which is used to produce the Report. The reason for undertaking the survey in school is to ensure children and young people can answer the survey confidentially. We also invest in a robust sampling approach to ensure a representative sample of children and young people are selected to take part in the survey, rather than relying on cheaper alternatives such as online panels. </w:t>
      </w:r>
    </w:p>
    <w:p w:rsidR="00904EE9" w:rsidRPr="00AF0A0D" w:rsidP="00443E42">
      <w:pPr>
        <w:spacing w:after="0" w:line="240" w:lineRule="auto"/>
        <w:rPr>
          <w:rFonts w:ascii="Verdana" w:eastAsia="Yu Mincho" w:hAnsi="Verdana" w:cs="Arial"/>
          <w:sz w:val="22"/>
          <w:szCs w:val="22"/>
        </w:rPr>
      </w:pPr>
    </w:p>
    <w:p w:rsidR="00FC0CF1" w:rsidRPr="00AF0A0D" w:rsidP="0041679B">
      <w:pPr>
        <w:spacing w:after="0" w:line="240" w:lineRule="auto"/>
        <w:rPr>
          <w:rFonts w:ascii="Verdana" w:eastAsia="Yu Mincho" w:hAnsi="Verdana" w:cs="Aptos"/>
          <w:sz w:val="22"/>
          <w:szCs w:val="22"/>
        </w:rPr>
      </w:pPr>
      <w:r w:rsidRPr="00AF0A0D">
        <w:rPr>
          <w:rFonts w:ascii="Verdana" w:eastAsia="Yu Mincho" w:hAnsi="Verdana" w:cs="Arial"/>
          <w:sz w:val="22"/>
          <w:szCs w:val="22"/>
        </w:rPr>
        <w:t xml:space="preserve">In 2025, </w:t>
      </w:r>
      <w:r w:rsidRPr="00AF0A0D" w:rsidR="00115955">
        <w:rPr>
          <w:rFonts w:ascii="Verdana" w:eastAsia="Yu Mincho" w:hAnsi="Verdana" w:cs="Arial"/>
          <w:sz w:val="22"/>
          <w:szCs w:val="22"/>
        </w:rPr>
        <w:t>t</w:t>
      </w:r>
      <w:r w:rsidRPr="00AF0A0D">
        <w:rPr>
          <w:rFonts w:ascii="Verdana" w:eastAsia="Yu Mincho" w:hAnsi="Verdana" w:cs="Arial"/>
          <w:sz w:val="22"/>
          <w:szCs w:val="22"/>
        </w:rPr>
        <w:t>he study collected data from 3,666 pupils aged 11 to 17 years old across curriculum years 7 to 12 (S1 to S6 in Scotland) attending academies, maintained and independent schools in England, Scotland, and Wales using the Ipsos Young People Omnibus. Pupils completed an online self-report survey in class, fieldwork took place between January and June 2025.</w:t>
      </w:r>
      <w:r w:rsidRPr="00AF0A0D" w:rsidR="008B213E">
        <w:rPr>
          <w:rFonts w:ascii="Verdana" w:eastAsia="Yu Mincho" w:hAnsi="Verdana" w:cs="Arial"/>
          <w:sz w:val="22"/>
          <w:szCs w:val="22"/>
        </w:rPr>
        <w:t xml:space="preserve"> </w:t>
      </w:r>
      <w:r w:rsidRPr="00AF0A0D" w:rsidR="00B726ED">
        <w:rPr>
          <w:rFonts w:ascii="Verdana" w:eastAsia="Yu Mincho" w:hAnsi="Verdana" w:cs="Arial"/>
          <w:sz w:val="22"/>
          <w:szCs w:val="22"/>
        </w:rPr>
        <w:t>Further to this, i</w:t>
      </w:r>
      <w:r w:rsidRPr="00AF0A0D" w:rsidR="008B213E">
        <w:rPr>
          <w:rFonts w:ascii="Verdana" w:eastAsia="Yu Mincho" w:hAnsi="Verdana" w:cs="Arial"/>
          <w:sz w:val="22"/>
          <w:szCs w:val="22"/>
        </w:rPr>
        <w:t xml:space="preserve">n the 2025 Children and Young People report, as </w:t>
      </w:r>
      <w:r w:rsidRPr="00AF0A0D" w:rsidR="00A37EE5">
        <w:rPr>
          <w:rFonts w:ascii="Verdana" w:eastAsia="Yu Mincho" w:hAnsi="Verdana" w:cs="Arial"/>
          <w:sz w:val="22"/>
          <w:szCs w:val="22"/>
        </w:rPr>
        <w:t>I</w:t>
      </w:r>
      <w:r w:rsidRPr="00AF0A0D" w:rsidR="008B213E">
        <w:rPr>
          <w:rFonts w:ascii="Verdana" w:eastAsia="Yu Mincho" w:hAnsi="Verdana" w:cs="Arial"/>
          <w:sz w:val="22"/>
          <w:szCs w:val="22"/>
        </w:rPr>
        <w:t xml:space="preserve"> reported to the Committee, 1.2% of 11-17 year olds scored 4 or more on the youth adapted DSM,</w:t>
      </w:r>
      <w:r w:rsidRPr="00AF0A0D" w:rsidR="008B213E">
        <w:rPr>
          <w:rFonts w:ascii="Verdana" w:eastAsia="Yu Mincho" w:hAnsi="Verdana" w:cs="Aptos"/>
          <w:sz w:val="22"/>
          <w:szCs w:val="22"/>
        </w:rPr>
        <w:t> </w:t>
      </w:r>
      <w:r w:rsidRPr="00AF0A0D" w:rsidR="008B213E">
        <w:rPr>
          <w:rFonts w:ascii="Verdana" w:eastAsia="Yu Mincho" w:hAnsi="Verdana" w:cs="Arial"/>
          <w:sz w:val="22"/>
          <w:szCs w:val="22"/>
        </w:rPr>
        <w:t xml:space="preserve">which equates to approximately 68,000 </w:t>
      </w:r>
      <w:r w:rsidRPr="00AF0A0D" w:rsidR="00BB69E9">
        <w:rPr>
          <w:rFonts w:ascii="Verdana" w:eastAsia="Yu Mincho" w:hAnsi="Verdana" w:cs="Arial"/>
          <w:sz w:val="22"/>
          <w:szCs w:val="22"/>
        </w:rPr>
        <w:t>children and young people</w:t>
      </w:r>
      <w:r w:rsidRPr="00AF0A0D" w:rsidR="008B213E">
        <w:rPr>
          <w:rFonts w:ascii="Verdana" w:eastAsia="Yu Mincho" w:hAnsi="Verdana" w:cs="Arial"/>
          <w:sz w:val="22"/>
          <w:szCs w:val="22"/>
        </w:rPr>
        <w:t xml:space="preserve"> (with confidence</w:t>
      </w:r>
      <w:r w:rsidR="00AF0A0D">
        <w:rPr>
          <w:rFonts w:ascii="Verdana" w:eastAsia="Yu Mincho" w:hAnsi="Verdana" w:cs="Arial"/>
          <w:sz w:val="22"/>
          <w:szCs w:val="22"/>
        </w:rPr>
        <w:t xml:space="preserve"> </w:t>
      </w:r>
      <w:r w:rsidRPr="00AF0A0D" w:rsidR="008B213E">
        <w:rPr>
          <w:rFonts w:ascii="Verdana" w:eastAsia="Yu Mincho" w:hAnsi="Verdana" w:cs="Arial"/>
          <w:sz w:val="22"/>
          <w:szCs w:val="22"/>
        </w:rPr>
        <w:t>intervals this is likely to lie in the range of 46,000 to 91,000)</w:t>
      </w:r>
      <w:r w:rsidRPr="00AF0A0D" w:rsidR="008B213E">
        <w:rPr>
          <w:rFonts w:ascii="Verdana" w:eastAsia="Yu Mincho" w:hAnsi="Verdana" w:cs="Aptos"/>
          <w:sz w:val="22"/>
          <w:szCs w:val="22"/>
        </w:rPr>
        <w:t>.</w:t>
      </w:r>
      <w:r w:rsidRPr="00AF0A0D" w:rsidR="00BB69E9">
        <w:rPr>
          <w:rFonts w:ascii="Verdana" w:eastAsia="Yu Mincho" w:hAnsi="Verdana" w:cs="Aptos"/>
          <w:sz w:val="22"/>
          <w:szCs w:val="22"/>
        </w:rPr>
        <w:t xml:space="preserve"> </w:t>
      </w:r>
    </w:p>
    <w:p w:rsidR="00FC0CF1" w:rsidRPr="00AF0A0D" w:rsidP="0041679B">
      <w:pPr>
        <w:spacing w:after="0" w:line="240" w:lineRule="auto"/>
        <w:rPr>
          <w:rFonts w:ascii="Verdana" w:eastAsia="Yu Mincho" w:hAnsi="Verdana" w:cs="Aptos"/>
          <w:sz w:val="22"/>
          <w:szCs w:val="22"/>
        </w:rPr>
      </w:pPr>
    </w:p>
    <w:p w:rsidR="00443E42" w:rsidRPr="00AF0A0D" w:rsidP="00443E42">
      <w:pPr>
        <w:spacing w:after="0" w:line="240" w:lineRule="auto"/>
        <w:rPr>
          <w:rFonts w:ascii="Verdana" w:eastAsia="Yu Mincho" w:hAnsi="Verdana" w:cs="Arial"/>
          <w:sz w:val="22"/>
          <w:szCs w:val="22"/>
        </w:rPr>
      </w:pPr>
      <w:r w:rsidRPr="00AF0A0D">
        <w:rPr>
          <w:rFonts w:ascii="Verdana" w:eastAsia="Yu Mincho" w:hAnsi="Verdana" w:cs="Aptos"/>
          <w:sz w:val="22"/>
          <w:szCs w:val="22"/>
        </w:rPr>
        <w:t>A</w:t>
      </w:r>
      <w:r w:rsidRPr="00AF0A0D" w:rsidR="000A5993">
        <w:rPr>
          <w:rFonts w:ascii="Verdana" w:eastAsia="Yu Mincho" w:hAnsi="Verdana" w:cs="Aptos"/>
          <w:sz w:val="22"/>
          <w:szCs w:val="22"/>
        </w:rPr>
        <w:t xml:space="preserve">s I have already noted above, </w:t>
      </w:r>
      <w:r w:rsidRPr="00AF0A0D">
        <w:rPr>
          <w:rFonts w:ascii="Verdana" w:eastAsia="Yu Mincho" w:hAnsi="Verdana" w:cs="Aptos"/>
          <w:sz w:val="22"/>
          <w:szCs w:val="22"/>
        </w:rPr>
        <w:t xml:space="preserve">we are </w:t>
      </w:r>
      <w:r w:rsidRPr="00AF0A0D" w:rsidR="000A5993">
        <w:rPr>
          <w:rFonts w:ascii="Verdana" w:eastAsia="Yu Mincho" w:hAnsi="Verdana" w:cs="Aptos"/>
          <w:sz w:val="22"/>
          <w:szCs w:val="22"/>
        </w:rPr>
        <w:t xml:space="preserve">always looking to work with partners and experts in the field to further improve and strengthen our statistics.  </w:t>
      </w:r>
      <w:r w:rsidRPr="00AF0A0D" w:rsidR="00F86620">
        <w:rPr>
          <w:rFonts w:ascii="Verdana" w:eastAsia="Yu Mincho" w:hAnsi="Verdana" w:cs="Aptos"/>
          <w:sz w:val="22"/>
          <w:szCs w:val="22"/>
        </w:rPr>
        <w:t xml:space="preserve">This is also the case for the Children and Young People Report.  </w:t>
      </w:r>
      <w:r w:rsidRPr="00AF0A0D">
        <w:rPr>
          <w:rFonts w:ascii="Verdana" w:eastAsia="Yu Mincho" w:hAnsi="Verdana" w:cs="Arial"/>
          <w:sz w:val="22"/>
          <w:szCs w:val="22"/>
        </w:rPr>
        <w:t xml:space="preserve">Over the years we have adapted and improved the survey to keep up to date with best practice, most recently undertaking a programme of cognitive testing of survey questions and expanding the sampling frame to include 17 year olds. </w:t>
      </w:r>
    </w:p>
    <w:p w:rsidR="00443E42" w:rsidRPr="00AF0A0D" w:rsidP="00443E42">
      <w:pPr>
        <w:spacing w:after="0" w:line="240" w:lineRule="auto"/>
        <w:rPr>
          <w:rFonts w:ascii="Verdana" w:eastAsia="Yu Mincho" w:hAnsi="Verdana" w:cs="Arial"/>
          <w:sz w:val="22"/>
          <w:szCs w:val="22"/>
        </w:rPr>
      </w:pPr>
    </w:p>
    <w:p w:rsidR="00DD1718" w:rsidRPr="00AF0A0D" w:rsidP="00DD1718">
      <w:pPr>
        <w:spacing w:after="0" w:line="240" w:lineRule="auto"/>
        <w:rPr>
          <w:rFonts w:ascii="Verdana" w:eastAsia="Yu Mincho" w:hAnsi="Verdana" w:cs="Arial"/>
          <w:sz w:val="22"/>
          <w:szCs w:val="22"/>
        </w:rPr>
      </w:pPr>
      <w:r w:rsidRPr="00AF0A0D">
        <w:rPr>
          <w:rFonts w:ascii="Verdana" w:eastAsia="Yu Mincho" w:hAnsi="Verdana" w:cs="Arial"/>
          <w:sz w:val="22"/>
          <w:szCs w:val="22"/>
        </w:rPr>
        <w:t xml:space="preserve">As </w:t>
      </w:r>
      <w:r w:rsidRPr="00AF0A0D" w:rsidR="0088593C">
        <w:rPr>
          <w:rFonts w:ascii="Verdana" w:eastAsia="Yu Mincho" w:hAnsi="Verdana" w:cs="Arial"/>
          <w:sz w:val="22"/>
          <w:szCs w:val="22"/>
        </w:rPr>
        <w:t>I</w:t>
      </w:r>
      <w:r w:rsidRPr="00AF0A0D">
        <w:rPr>
          <w:rFonts w:ascii="Verdana" w:eastAsia="Yu Mincho" w:hAnsi="Verdana" w:cs="Arial"/>
          <w:sz w:val="22"/>
          <w:szCs w:val="22"/>
        </w:rPr>
        <w:t xml:space="preserve"> said as part of </w:t>
      </w:r>
      <w:r w:rsidRPr="00AF0A0D" w:rsidR="0088593C">
        <w:rPr>
          <w:rFonts w:ascii="Verdana" w:eastAsia="Yu Mincho" w:hAnsi="Verdana" w:cs="Arial"/>
          <w:sz w:val="22"/>
          <w:szCs w:val="22"/>
        </w:rPr>
        <w:t>my</w:t>
      </w:r>
      <w:r w:rsidRPr="00AF0A0D">
        <w:rPr>
          <w:rFonts w:ascii="Verdana" w:eastAsia="Yu Mincho" w:hAnsi="Verdana" w:cs="Arial"/>
          <w:sz w:val="22"/>
          <w:szCs w:val="22"/>
        </w:rPr>
        <w:t xml:space="preserve"> evidence</w:t>
      </w:r>
      <w:r w:rsidRPr="00AF0A0D" w:rsidR="00523973">
        <w:rPr>
          <w:rFonts w:ascii="Verdana" w:eastAsia="Yu Mincho" w:hAnsi="Verdana" w:cs="Arial"/>
          <w:sz w:val="22"/>
          <w:szCs w:val="22"/>
        </w:rPr>
        <w:t>,</w:t>
      </w:r>
      <w:r w:rsidRPr="00AF0A0D">
        <w:rPr>
          <w:rFonts w:ascii="Verdana" w:eastAsia="Yu Mincho" w:hAnsi="Verdana" w:cs="Arial"/>
          <w:sz w:val="22"/>
          <w:szCs w:val="22"/>
        </w:rPr>
        <w:t xml:space="preserve"> the findings show that the most popular forms of gambling that children take part in are legal and not age restricted. We do also collect evidence about the difficulties that children and young people may experience from gambling or the gambling of a parent/carer.</w:t>
      </w:r>
      <w:r w:rsidRPr="00AF0A0D" w:rsidR="00E877EE">
        <w:rPr>
          <w:rFonts w:ascii="Verdana" w:eastAsia="Yu Mincho" w:hAnsi="Verdana" w:cs="Arial"/>
          <w:sz w:val="22"/>
          <w:szCs w:val="22"/>
        </w:rPr>
        <w:t xml:space="preserve"> </w:t>
      </w:r>
      <w:r w:rsidRPr="00AF0A0D">
        <w:rPr>
          <w:rFonts w:ascii="Verdana" w:eastAsia="Yu Mincho" w:hAnsi="Verdana" w:cs="Arial"/>
          <w:sz w:val="22"/>
          <w:szCs w:val="22"/>
        </w:rPr>
        <w:t xml:space="preserve"> In </w:t>
      </w:r>
      <w:r w:rsidRPr="00AF0A0D" w:rsidR="00391D9C">
        <w:rPr>
          <w:rFonts w:ascii="Verdana" w:eastAsia="Yu Mincho" w:hAnsi="Verdana" w:cs="Arial"/>
          <w:sz w:val="22"/>
          <w:szCs w:val="22"/>
        </w:rPr>
        <w:t>my</w:t>
      </w:r>
      <w:r w:rsidRPr="00AF0A0D">
        <w:rPr>
          <w:rFonts w:ascii="Verdana" w:eastAsia="Yu Mincho" w:hAnsi="Verdana" w:cs="Arial"/>
          <w:sz w:val="22"/>
          <w:szCs w:val="22"/>
        </w:rPr>
        <w:t xml:space="preserve"> evidence, </w:t>
      </w:r>
      <w:r w:rsidRPr="00AF0A0D" w:rsidR="00391D9C">
        <w:rPr>
          <w:rFonts w:ascii="Verdana" w:eastAsia="Yu Mincho" w:hAnsi="Verdana" w:cs="Arial"/>
          <w:sz w:val="22"/>
          <w:szCs w:val="22"/>
        </w:rPr>
        <w:t xml:space="preserve">I </w:t>
      </w:r>
      <w:r w:rsidRPr="00AF0A0D">
        <w:rPr>
          <w:rFonts w:ascii="Verdana" w:eastAsia="Yu Mincho" w:hAnsi="Verdana" w:cs="Arial"/>
          <w:sz w:val="22"/>
          <w:szCs w:val="22"/>
        </w:rPr>
        <w:t xml:space="preserve">explained how the way this is measured </w:t>
      </w:r>
      <w:r w:rsidRPr="00AF0A0D" w:rsidR="00E877EE">
        <w:rPr>
          <w:rFonts w:ascii="Verdana" w:eastAsia="Yu Mincho" w:hAnsi="Verdana" w:cs="Arial"/>
          <w:sz w:val="22"/>
          <w:szCs w:val="22"/>
        </w:rPr>
        <w:t>i</w:t>
      </w:r>
      <w:r w:rsidRPr="00AF0A0D">
        <w:rPr>
          <w:rFonts w:ascii="Verdana" w:eastAsia="Yu Mincho" w:hAnsi="Verdana" w:cs="Arial"/>
          <w:sz w:val="22"/>
          <w:szCs w:val="22"/>
        </w:rPr>
        <w:t>n our schools survey is age appropriate, and differs greatly from the way it is measured amongst adults. The annual collection of data for the children and young people survey provides the opportunity to track patterns and trends in the data over consecutive years and is one of the only sources of this information in Great Britain.</w:t>
      </w:r>
      <w:r w:rsidRPr="00AF0A0D">
        <w:rPr>
          <w:rFonts w:ascii="Verdana" w:eastAsia="Yu Mincho" w:hAnsi="Verdana" w:cs="Arial"/>
          <w:sz w:val="22"/>
          <w:szCs w:val="22"/>
        </w:rPr>
        <w:t xml:space="preserve">  As a result, whilst we are always happy to look at potential concerns in previous data and reports, we would recommend to the Committee that the 2025 Report be used for your deliberations and that i</w:t>
      </w:r>
      <w:r w:rsidRPr="00AF0A0D" w:rsidR="0064230D">
        <w:rPr>
          <w:rFonts w:ascii="Verdana" w:eastAsia="Yu Mincho" w:hAnsi="Verdana" w:cs="Arial"/>
          <w:sz w:val="22"/>
          <w:szCs w:val="22"/>
        </w:rPr>
        <w:t xml:space="preserve">t is robust, in line with best practice </w:t>
      </w:r>
      <w:r w:rsidRPr="00AF0A0D" w:rsidR="001F222C">
        <w:rPr>
          <w:rFonts w:ascii="Verdana" w:eastAsia="Yu Mincho" w:hAnsi="Verdana" w:cs="Arial"/>
          <w:sz w:val="22"/>
          <w:szCs w:val="22"/>
        </w:rPr>
        <w:t>in the field and a</w:t>
      </w:r>
      <w:r w:rsidRPr="00AF0A0D" w:rsidR="00097A25">
        <w:rPr>
          <w:rFonts w:ascii="Verdana" w:eastAsia="Yu Mincho" w:hAnsi="Verdana" w:cs="Arial"/>
          <w:sz w:val="22"/>
          <w:szCs w:val="22"/>
        </w:rPr>
        <w:t xml:space="preserve"> valuable source of data.</w:t>
      </w:r>
    </w:p>
    <w:p w:rsidR="007410E0" w:rsidRPr="00AF0A0D" w:rsidP="00443E42">
      <w:pPr>
        <w:spacing w:after="0" w:line="240" w:lineRule="auto"/>
        <w:rPr>
          <w:rFonts w:ascii="Verdana" w:eastAsia="Yu Mincho" w:hAnsi="Verdana" w:cs="Arial"/>
          <w:sz w:val="22"/>
          <w:szCs w:val="22"/>
        </w:rPr>
      </w:pPr>
    </w:p>
    <w:p w:rsidR="00525A0F" w:rsidRPr="00AF0A0D" w:rsidP="00806544">
      <w:pPr>
        <w:spacing w:after="0" w:line="240" w:lineRule="auto"/>
        <w:rPr>
          <w:rFonts w:ascii="Verdana" w:hAnsi="Verdana" w:eastAsiaTheme="minorEastAsia"/>
          <w:sz w:val="22"/>
          <w:szCs w:val="22"/>
          <w:u w:val="single"/>
        </w:rPr>
      </w:pPr>
      <w:r w:rsidRPr="00AF0A0D">
        <w:rPr>
          <w:rFonts w:ascii="Verdana" w:hAnsi="Verdana" w:eastAsiaTheme="minorEastAsia"/>
          <w:sz w:val="22"/>
          <w:szCs w:val="22"/>
          <w:u w:val="single"/>
        </w:rPr>
        <w:t>Commentary on</w:t>
      </w:r>
      <w:r w:rsidRPr="00AF0A0D" w:rsidR="00454828">
        <w:rPr>
          <w:rFonts w:ascii="Verdana" w:hAnsi="Verdana" w:eastAsiaTheme="minorEastAsia"/>
          <w:sz w:val="22"/>
          <w:szCs w:val="22"/>
          <w:u w:val="single"/>
        </w:rPr>
        <w:t xml:space="preserve"> statistics</w:t>
      </w:r>
      <w:r w:rsidRPr="00AF0A0D">
        <w:rPr>
          <w:rFonts w:ascii="Verdana" w:hAnsi="Verdana" w:eastAsiaTheme="minorEastAsia"/>
          <w:sz w:val="22"/>
          <w:szCs w:val="22"/>
          <w:u w:val="single"/>
        </w:rPr>
        <w:t>, including misuse</w:t>
      </w:r>
    </w:p>
    <w:p w:rsidR="00D3385D" w:rsidRPr="00AF0A0D" w:rsidP="00806544">
      <w:pPr>
        <w:spacing w:after="0" w:line="240" w:lineRule="auto"/>
        <w:rPr>
          <w:rFonts w:ascii="Verdana" w:hAnsi="Verdana"/>
          <w:sz w:val="22"/>
          <w:szCs w:val="22"/>
        </w:rPr>
      </w:pPr>
    </w:p>
    <w:p w:rsidR="00205845" w:rsidRPr="00AF0A0D" w:rsidP="00806544">
      <w:pPr>
        <w:spacing w:after="0" w:line="240" w:lineRule="auto"/>
        <w:rPr>
          <w:rFonts w:ascii="Verdana" w:hAnsi="Verdana"/>
          <w:sz w:val="22"/>
          <w:szCs w:val="22"/>
        </w:rPr>
      </w:pPr>
      <w:r w:rsidRPr="00AF0A0D">
        <w:rPr>
          <w:rFonts w:ascii="Verdana" w:hAnsi="Verdana"/>
          <w:sz w:val="22"/>
          <w:szCs w:val="22"/>
        </w:rPr>
        <w:t xml:space="preserve">Given our official statistics were discussed through the sessions of the Liaison Committee on the </w:t>
      </w:r>
      <w:r w:rsidRPr="00AF0A0D" w:rsidR="00D142BD">
        <w:rPr>
          <w:rFonts w:ascii="Verdana" w:hAnsi="Verdana"/>
          <w:sz w:val="22"/>
          <w:szCs w:val="22"/>
        </w:rPr>
        <w:t>17 June, we have begun to review the discussions in order to aid the Committee</w:t>
      </w:r>
      <w:r w:rsidRPr="00AF0A0D" w:rsidR="00C75F14">
        <w:rPr>
          <w:rFonts w:ascii="Verdana" w:hAnsi="Verdana"/>
          <w:sz w:val="22"/>
          <w:szCs w:val="22"/>
        </w:rPr>
        <w:t>,</w:t>
      </w:r>
      <w:r w:rsidRPr="00AF0A0D" w:rsidR="00D142BD">
        <w:rPr>
          <w:rFonts w:ascii="Verdana" w:hAnsi="Verdana"/>
          <w:sz w:val="22"/>
          <w:szCs w:val="22"/>
        </w:rPr>
        <w:t xml:space="preserve"> by making sure our statistics have not been misused.  </w:t>
      </w:r>
      <w:r w:rsidRPr="00AF0A0D" w:rsidR="00165279">
        <w:rPr>
          <w:rFonts w:ascii="Verdana" w:hAnsi="Verdana"/>
          <w:sz w:val="22"/>
          <w:szCs w:val="22"/>
        </w:rPr>
        <w:t>Whilst we have not been able to complete this process within the timeframe your Committee must conduct its work</w:t>
      </w:r>
      <w:r w:rsidRPr="00AF0A0D" w:rsidR="006A6233">
        <w:rPr>
          <w:rFonts w:ascii="Verdana" w:hAnsi="Verdana"/>
          <w:sz w:val="22"/>
          <w:szCs w:val="22"/>
        </w:rPr>
        <w:t>,</w:t>
      </w:r>
      <w:r w:rsidRPr="00AF0A0D" w:rsidR="00165279">
        <w:rPr>
          <w:rFonts w:ascii="Verdana" w:hAnsi="Verdana"/>
          <w:sz w:val="22"/>
          <w:szCs w:val="22"/>
        </w:rPr>
        <w:t xml:space="preserve"> we felt it was important to share with you what we ha</w:t>
      </w:r>
      <w:r w:rsidRPr="00AF0A0D">
        <w:rPr>
          <w:rFonts w:ascii="Verdana" w:hAnsi="Verdana"/>
          <w:sz w:val="22"/>
          <w:szCs w:val="22"/>
        </w:rPr>
        <w:t>d looked at so far.  That is detailed below.  I should also note that whilst we would normally restrict our commentary to our own official statistics – where other statistics have been used to discuss our own (for example comparisons with GSGB)</w:t>
      </w:r>
      <w:r w:rsidRPr="00AF0A0D" w:rsidR="006D0A7B">
        <w:rPr>
          <w:rFonts w:ascii="Verdana" w:hAnsi="Verdana"/>
          <w:sz w:val="22"/>
          <w:szCs w:val="22"/>
        </w:rPr>
        <w:t xml:space="preserve"> </w:t>
      </w:r>
      <w:r w:rsidRPr="00AF0A0D" w:rsidR="001637A4">
        <w:rPr>
          <w:rFonts w:ascii="Verdana" w:hAnsi="Verdana"/>
          <w:sz w:val="22"/>
          <w:szCs w:val="22"/>
        </w:rPr>
        <w:t>and given the co</w:t>
      </w:r>
      <w:r w:rsidRPr="00AF0A0D" w:rsidR="00647DC5">
        <w:rPr>
          <w:rFonts w:ascii="Verdana" w:hAnsi="Verdana"/>
          <w:sz w:val="22"/>
          <w:szCs w:val="22"/>
        </w:rPr>
        <w:t xml:space="preserve">ntext </w:t>
      </w:r>
      <w:r w:rsidRPr="00AF0A0D" w:rsidR="00AB02D4">
        <w:rPr>
          <w:rFonts w:ascii="Verdana" w:hAnsi="Verdana"/>
          <w:sz w:val="22"/>
          <w:szCs w:val="22"/>
        </w:rPr>
        <w:t xml:space="preserve">where you </w:t>
      </w:r>
      <w:r w:rsidRPr="00AF0A0D" w:rsidR="00BF1B82">
        <w:rPr>
          <w:rFonts w:ascii="Verdana" w:hAnsi="Verdana"/>
          <w:sz w:val="22"/>
          <w:szCs w:val="22"/>
        </w:rPr>
        <w:t>have share</w:t>
      </w:r>
      <w:r w:rsidRPr="00AF0A0D" w:rsidR="00654067">
        <w:rPr>
          <w:rFonts w:ascii="Verdana" w:hAnsi="Verdana"/>
          <w:sz w:val="22"/>
          <w:szCs w:val="22"/>
        </w:rPr>
        <w:t>d</w:t>
      </w:r>
      <w:r w:rsidR="00AF0A0D">
        <w:rPr>
          <w:rFonts w:ascii="Verdana" w:hAnsi="Verdana"/>
          <w:sz w:val="22"/>
          <w:szCs w:val="22"/>
        </w:rPr>
        <w:t xml:space="preserve"> </w:t>
      </w:r>
      <w:r w:rsidRPr="00AF0A0D" w:rsidR="00654067">
        <w:rPr>
          <w:rFonts w:ascii="Verdana" w:hAnsi="Verdana"/>
          <w:sz w:val="22"/>
          <w:szCs w:val="22"/>
        </w:rPr>
        <w:t>supp</w:t>
      </w:r>
      <w:r w:rsidRPr="00AF0A0D" w:rsidR="008E0BAC">
        <w:rPr>
          <w:rFonts w:ascii="Verdana" w:hAnsi="Verdana"/>
          <w:sz w:val="22"/>
          <w:szCs w:val="22"/>
        </w:rPr>
        <w:t>lementary</w:t>
      </w:r>
      <w:r w:rsidRPr="00AF0A0D" w:rsidR="006F2DA8">
        <w:rPr>
          <w:rFonts w:ascii="Verdana" w:hAnsi="Verdana"/>
          <w:sz w:val="22"/>
          <w:szCs w:val="22"/>
        </w:rPr>
        <w:t xml:space="preserve"> evid</w:t>
      </w:r>
      <w:r w:rsidRPr="00AF0A0D" w:rsidR="00A82F57">
        <w:rPr>
          <w:rFonts w:ascii="Verdana" w:hAnsi="Verdana"/>
          <w:sz w:val="22"/>
          <w:szCs w:val="22"/>
        </w:rPr>
        <w:t>ence f</w:t>
      </w:r>
      <w:r w:rsidRPr="00AF0A0D" w:rsidR="000D6F9C">
        <w:rPr>
          <w:rFonts w:ascii="Verdana" w:hAnsi="Verdana"/>
          <w:sz w:val="22"/>
          <w:szCs w:val="22"/>
        </w:rPr>
        <w:t>or us to c</w:t>
      </w:r>
      <w:r w:rsidRPr="00AF0A0D" w:rsidR="00EF3BDB">
        <w:rPr>
          <w:rFonts w:ascii="Verdana" w:hAnsi="Verdana"/>
          <w:sz w:val="22"/>
          <w:szCs w:val="22"/>
        </w:rPr>
        <w:t xml:space="preserve">omment on, </w:t>
      </w:r>
      <w:r w:rsidRPr="00AF0A0D">
        <w:rPr>
          <w:rFonts w:ascii="Verdana" w:hAnsi="Verdana"/>
          <w:sz w:val="22"/>
          <w:szCs w:val="22"/>
        </w:rPr>
        <w:t xml:space="preserve">we have on this occasion </w:t>
      </w:r>
      <w:r w:rsidRPr="00AF0A0D" w:rsidR="00605F30">
        <w:rPr>
          <w:rFonts w:ascii="Verdana" w:hAnsi="Verdana"/>
          <w:sz w:val="22"/>
          <w:szCs w:val="22"/>
        </w:rPr>
        <w:t>gone slightly wider of our standard practice, including making</w:t>
      </w:r>
      <w:r w:rsidRPr="00AF0A0D">
        <w:rPr>
          <w:rFonts w:ascii="Verdana" w:hAnsi="Verdana"/>
          <w:sz w:val="22"/>
          <w:szCs w:val="22"/>
        </w:rPr>
        <w:t xml:space="preserve"> sure </w:t>
      </w:r>
      <w:r w:rsidRPr="00AF0A0D" w:rsidR="00605F30">
        <w:rPr>
          <w:rFonts w:ascii="Verdana" w:hAnsi="Verdana"/>
          <w:sz w:val="22"/>
          <w:szCs w:val="22"/>
        </w:rPr>
        <w:t>where comparisons to Commission data ha</w:t>
      </w:r>
      <w:r w:rsidRPr="00AF0A0D" w:rsidR="008C6741">
        <w:rPr>
          <w:rFonts w:ascii="Verdana" w:hAnsi="Verdana"/>
          <w:sz w:val="22"/>
          <w:szCs w:val="22"/>
        </w:rPr>
        <w:t>ve</w:t>
      </w:r>
      <w:r w:rsidRPr="00AF0A0D" w:rsidR="00605F30">
        <w:rPr>
          <w:rFonts w:ascii="Verdana" w:hAnsi="Verdana"/>
          <w:sz w:val="22"/>
          <w:szCs w:val="22"/>
        </w:rPr>
        <w:t xml:space="preserve"> been made, </w:t>
      </w:r>
      <w:r w:rsidRPr="00AF0A0D">
        <w:rPr>
          <w:rFonts w:ascii="Verdana" w:hAnsi="Verdana"/>
          <w:sz w:val="22"/>
          <w:szCs w:val="22"/>
        </w:rPr>
        <w:t>those comparisons are accurate.</w:t>
      </w:r>
    </w:p>
    <w:p w:rsidR="00205845" w:rsidRPr="00AF0A0D" w:rsidP="00806544">
      <w:pPr>
        <w:spacing w:after="0" w:line="240" w:lineRule="auto"/>
        <w:rPr>
          <w:rFonts w:ascii="Verdana" w:hAnsi="Verdana"/>
          <w:sz w:val="22"/>
          <w:szCs w:val="22"/>
        </w:rPr>
      </w:pPr>
    </w:p>
    <w:p w:rsidR="00205845" w:rsidRPr="00AF0A0D" w:rsidP="00806544">
      <w:pPr>
        <w:spacing w:after="0" w:line="240" w:lineRule="auto"/>
        <w:rPr>
          <w:rFonts w:ascii="Verdana" w:hAnsi="Verdana"/>
          <w:sz w:val="22"/>
          <w:szCs w:val="22"/>
        </w:rPr>
      </w:pPr>
      <w:r w:rsidRPr="00AF0A0D">
        <w:rPr>
          <w:rFonts w:ascii="Verdana" w:hAnsi="Verdana"/>
          <w:sz w:val="22"/>
          <w:szCs w:val="22"/>
        </w:rPr>
        <w:t>Below are detailed points we wanted the Committee to be aware of:</w:t>
      </w:r>
    </w:p>
    <w:p w:rsidR="00502A92" w:rsidRPr="00AF0A0D" w:rsidP="00806544">
      <w:pPr>
        <w:spacing w:after="0" w:line="240" w:lineRule="auto"/>
        <w:rPr>
          <w:rFonts w:ascii="Verdana" w:hAnsi="Verdana"/>
          <w:sz w:val="22"/>
          <w:szCs w:val="22"/>
          <w:u w:val="single"/>
        </w:rPr>
      </w:pPr>
    </w:p>
    <w:p w:rsidR="0052106D" w:rsidRPr="00AF0A0D" w:rsidP="00806544">
      <w:pPr>
        <w:spacing w:after="0" w:line="240" w:lineRule="auto"/>
        <w:rPr>
          <w:rFonts w:ascii="Verdana" w:hAnsi="Verdana"/>
          <w:b/>
          <w:sz w:val="22"/>
          <w:szCs w:val="22"/>
        </w:rPr>
      </w:pPr>
      <w:r w:rsidRPr="00AF0A0D">
        <w:rPr>
          <w:rFonts w:ascii="Verdana" w:hAnsi="Verdana"/>
          <w:b/>
          <w:sz w:val="22"/>
          <w:szCs w:val="22"/>
        </w:rPr>
        <w:t>N</w:t>
      </w:r>
      <w:r w:rsidRPr="00AF0A0D" w:rsidR="00BC4103">
        <w:rPr>
          <w:rFonts w:ascii="Verdana" w:hAnsi="Verdana"/>
          <w:b/>
          <w:sz w:val="22"/>
          <w:szCs w:val="22"/>
        </w:rPr>
        <w:t xml:space="preserve">HS </w:t>
      </w:r>
      <w:r w:rsidRPr="00AF0A0D" w:rsidR="009B7690">
        <w:rPr>
          <w:rFonts w:ascii="Verdana" w:hAnsi="Verdana"/>
          <w:b/>
          <w:sz w:val="22"/>
          <w:szCs w:val="22"/>
        </w:rPr>
        <w:t>sta</w:t>
      </w:r>
      <w:r w:rsidRPr="00AF0A0D" w:rsidR="00CD431A">
        <w:rPr>
          <w:rFonts w:ascii="Verdana" w:hAnsi="Verdana"/>
          <w:b/>
          <w:sz w:val="22"/>
          <w:szCs w:val="22"/>
        </w:rPr>
        <w:t>tis</w:t>
      </w:r>
      <w:r w:rsidRPr="00AF0A0D" w:rsidR="008C5B48">
        <w:rPr>
          <w:rFonts w:ascii="Verdana" w:hAnsi="Verdana"/>
          <w:b/>
          <w:sz w:val="22"/>
          <w:szCs w:val="22"/>
        </w:rPr>
        <w:t xml:space="preserve">tics </w:t>
      </w:r>
      <w:r w:rsidRPr="00AF0A0D" w:rsidR="008E1DEB">
        <w:rPr>
          <w:rFonts w:ascii="Verdana" w:hAnsi="Verdana"/>
          <w:b/>
          <w:sz w:val="22"/>
          <w:szCs w:val="22"/>
        </w:rPr>
        <w:t>a</w:t>
      </w:r>
      <w:r w:rsidRPr="00AF0A0D" w:rsidR="00395D2C">
        <w:rPr>
          <w:rFonts w:ascii="Verdana" w:hAnsi="Verdana"/>
          <w:b/>
          <w:sz w:val="22"/>
          <w:szCs w:val="22"/>
        </w:rPr>
        <w:t>n</w:t>
      </w:r>
      <w:r w:rsidRPr="00AF0A0D" w:rsidR="00D73307">
        <w:rPr>
          <w:rFonts w:ascii="Verdana" w:hAnsi="Verdana"/>
          <w:b/>
          <w:sz w:val="22"/>
          <w:szCs w:val="22"/>
        </w:rPr>
        <w:t>d P</w:t>
      </w:r>
      <w:r w:rsidRPr="00AF0A0D" w:rsidR="00EA6B2E">
        <w:rPr>
          <w:rFonts w:ascii="Verdana" w:hAnsi="Verdana"/>
          <w:b/>
          <w:sz w:val="22"/>
          <w:szCs w:val="22"/>
        </w:rPr>
        <w:t>GSI sc</w:t>
      </w:r>
      <w:r w:rsidRPr="00AF0A0D" w:rsidR="005B72E1">
        <w:rPr>
          <w:rFonts w:ascii="Verdana" w:hAnsi="Verdana"/>
          <w:b/>
          <w:sz w:val="22"/>
          <w:szCs w:val="22"/>
        </w:rPr>
        <w:t>ores</w:t>
      </w:r>
    </w:p>
    <w:p w:rsidR="00E81C4A" w:rsidRPr="00AF0A0D" w:rsidP="00E81C4A">
      <w:pPr>
        <w:pStyle w:val="ListParagraph"/>
        <w:numPr>
          <w:ilvl w:val="0"/>
          <w:numId w:val="3"/>
        </w:numPr>
        <w:spacing w:after="0" w:line="240" w:lineRule="auto"/>
        <w:rPr>
          <w:rFonts w:ascii="Verdana" w:hAnsi="Verdana"/>
          <w:sz w:val="22"/>
          <w:szCs w:val="22"/>
        </w:rPr>
      </w:pPr>
      <w:r w:rsidRPr="00AF0A0D">
        <w:rPr>
          <w:rFonts w:ascii="Verdana" w:hAnsi="Verdana"/>
          <w:sz w:val="22"/>
          <w:szCs w:val="22"/>
        </w:rPr>
        <w:t xml:space="preserve">In Session 2, there is a reference to NHS statistics showing that 0.7% of adults are at risk of gambling harm. This is incorrect. </w:t>
      </w:r>
      <w:r w:rsidRPr="00AF0A0D" w:rsidR="003A3BD2">
        <w:rPr>
          <w:rFonts w:ascii="Verdana" w:hAnsi="Verdana"/>
          <w:sz w:val="22"/>
          <w:szCs w:val="22"/>
        </w:rPr>
        <w:t xml:space="preserve">The </w:t>
      </w:r>
      <w:r w:rsidRPr="00AF0A0D" w:rsidR="00843932">
        <w:rPr>
          <w:rFonts w:ascii="Verdana" w:hAnsi="Verdana"/>
          <w:sz w:val="22"/>
          <w:szCs w:val="22"/>
        </w:rPr>
        <w:t>Health Sur</w:t>
      </w:r>
      <w:r w:rsidRPr="00AF0A0D" w:rsidR="004D351F">
        <w:rPr>
          <w:rFonts w:ascii="Verdana" w:hAnsi="Verdana"/>
          <w:sz w:val="22"/>
          <w:szCs w:val="22"/>
        </w:rPr>
        <w:t xml:space="preserve">vey for </w:t>
      </w:r>
      <w:r w:rsidRPr="00AF0A0D" w:rsidR="00AE68E8">
        <w:rPr>
          <w:rFonts w:ascii="Verdana" w:hAnsi="Verdana"/>
          <w:sz w:val="22"/>
          <w:szCs w:val="22"/>
        </w:rPr>
        <w:t>England 2</w:t>
      </w:r>
      <w:r w:rsidRPr="00AF0A0D" w:rsidR="0063454F">
        <w:rPr>
          <w:rFonts w:ascii="Verdana" w:hAnsi="Verdana"/>
          <w:sz w:val="22"/>
          <w:szCs w:val="22"/>
        </w:rPr>
        <w:t>024</w:t>
      </w:r>
      <w:r w:rsidRPr="00AF0A0D" w:rsidR="00850D6B">
        <w:rPr>
          <w:rFonts w:ascii="Verdana" w:hAnsi="Verdana"/>
          <w:sz w:val="22"/>
          <w:szCs w:val="22"/>
        </w:rPr>
        <w:t xml:space="preserve">, </w:t>
      </w:r>
      <w:r w:rsidRPr="00AF0A0D" w:rsidR="009B169B">
        <w:rPr>
          <w:rFonts w:ascii="Verdana" w:hAnsi="Verdana"/>
          <w:sz w:val="22"/>
          <w:szCs w:val="22"/>
        </w:rPr>
        <w:t>found that</w:t>
      </w:r>
      <w:r w:rsidRPr="00AF0A0D" w:rsidR="00787A3C">
        <w:rPr>
          <w:rFonts w:ascii="Verdana" w:hAnsi="Verdana"/>
          <w:sz w:val="22"/>
          <w:szCs w:val="22"/>
        </w:rPr>
        <w:t xml:space="preserve"> </w:t>
      </w:r>
      <w:r w:rsidRPr="00AF0A0D">
        <w:rPr>
          <w:rFonts w:ascii="Verdana" w:hAnsi="Verdana"/>
          <w:sz w:val="22"/>
          <w:szCs w:val="22"/>
        </w:rPr>
        <w:t xml:space="preserve">0.7% of adults scored 8+ on the PGSI, </w:t>
      </w:r>
      <w:r w:rsidRPr="00AF0A0D" w:rsidR="00020170">
        <w:rPr>
          <w:rFonts w:ascii="Verdana" w:hAnsi="Verdana"/>
          <w:sz w:val="22"/>
          <w:szCs w:val="22"/>
        </w:rPr>
        <w:t>which</w:t>
      </w:r>
      <w:r w:rsidRPr="00AF0A0D" w:rsidR="00F879D1">
        <w:rPr>
          <w:rFonts w:ascii="Verdana" w:hAnsi="Verdana"/>
          <w:sz w:val="22"/>
          <w:szCs w:val="22"/>
        </w:rPr>
        <w:t xml:space="preserve"> is the de</w:t>
      </w:r>
      <w:r w:rsidRPr="00AF0A0D" w:rsidR="00885722">
        <w:rPr>
          <w:rFonts w:ascii="Verdana" w:hAnsi="Verdana"/>
          <w:sz w:val="22"/>
          <w:szCs w:val="22"/>
        </w:rPr>
        <w:t>fin</w:t>
      </w:r>
      <w:r w:rsidRPr="00AF0A0D" w:rsidR="00570214">
        <w:rPr>
          <w:rFonts w:ascii="Verdana" w:hAnsi="Verdana"/>
          <w:sz w:val="22"/>
          <w:szCs w:val="22"/>
        </w:rPr>
        <w:t xml:space="preserve">ed as </w:t>
      </w:r>
      <w:r w:rsidRPr="00AF0A0D" w:rsidR="003A2FF8">
        <w:rPr>
          <w:rFonts w:ascii="Verdana" w:hAnsi="Verdana"/>
          <w:sz w:val="22"/>
          <w:szCs w:val="22"/>
        </w:rPr>
        <w:t>experienci</w:t>
      </w:r>
      <w:r w:rsidRPr="00AF0A0D" w:rsidR="003649E4">
        <w:rPr>
          <w:rFonts w:ascii="Verdana" w:hAnsi="Verdana"/>
          <w:sz w:val="22"/>
          <w:szCs w:val="22"/>
        </w:rPr>
        <w:t xml:space="preserve">ng </w:t>
      </w:r>
      <w:r w:rsidRPr="00AF0A0D" w:rsidR="00C90D3C">
        <w:rPr>
          <w:rFonts w:ascii="Verdana" w:hAnsi="Verdana"/>
          <w:sz w:val="22"/>
          <w:szCs w:val="22"/>
        </w:rPr>
        <w:t>prob</w:t>
      </w:r>
      <w:r w:rsidRPr="00AF0A0D" w:rsidR="00FC77D1">
        <w:rPr>
          <w:rFonts w:ascii="Verdana" w:hAnsi="Verdana"/>
          <w:sz w:val="22"/>
          <w:szCs w:val="22"/>
        </w:rPr>
        <w:t>lem gambling.</w:t>
      </w:r>
      <w:r w:rsidRPr="00AF0A0D" w:rsidR="009F16B5">
        <w:rPr>
          <w:rFonts w:ascii="Verdana" w:hAnsi="Verdana"/>
          <w:sz w:val="22"/>
          <w:szCs w:val="22"/>
        </w:rPr>
        <w:t xml:space="preserve"> </w:t>
      </w:r>
      <w:r w:rsidRPr="00AF0A0D" w:rsidR="00E34FAB">
        <w:rPr>
          <w:rFonts w:ascii="Verdana" w:hAnsi="Verdana"/>
          <w:sz w:val="22"/>
          <w:szCs w:val="22"/>
        </w:rPr>
        <w:t>P</w:t>
      </w:r>
      <w:r w:rsidRPr="00AF0A0D" w:rsidR="00FF296E">
        <w:rPr>
          <w:rFonts w:ascii="Verdana" w:hAnsi="Verdana"/>
          <w:sz w:val="22"/>
          <w:szCs w:val="22"/>
        </w:rPr>
        <w:t>ublished statistics</w:t>
      </w:r>
      <w:r w:rsidRPr="00AF0A0D" w:rsidR="00BE6570">
        <w:rPr>
          <w:rFonts w:ascii="Verdana" w:hAnsi="Verdana"/>
          <w:sz w:val="22"/>
          <w:szCs w:val="22"/>
        </w:rPr>
        <w:t xml:space="preserve"> from the </w:t>
      </w:r>
      <w:r w:rsidRPr="00AF0A0D" w:rsidR="006D77E4">
        <w:rPr>
          <w:rFonts w:ascii="Verdana" w:hAnsi="Verdana"/>
          <w:sz w:val="22"/>
          <w:szCs w:val="22"/>
        </w:rPr>
        <w:t>HSE 2024</w:t>
      </w:r>
      <w:r w:rsidRPr="00AF0A0D" w:rsidR="00CE2466">
        <w:rPr>
          <w:rFonts w:ascii="Verdana" w:hAnsi="Verdana"/>
          <w:sz w:val="22"/>
          <w:szCs w:val="22"/>
        </w:rPr>
        <w:t xml:space="preserve"> </w:t>
      </w:r>
      <w:r w:rsidRPr="00AF0A0D" w:rsidR="007A178B">
        <w:rPr>
          <w:rFonts w:ascii="Verdana" w:hAnsi="Verdana"/>
          <w:sz w:val="22"/>
          <w:szCs w:val="22"/>
        </w:rPr>
        <w:t>indicate</w:t>
      </w:r>
      <w:r w:rsidRPr="00AF0A0D" w:rsidR="00187D2B">
        <w:rPr>
          <w:rFonts w:ascii="Verdana" w:hAnsi="Verdana"/>
          <w:sz w:val="22"/>
          <w:szCs w:val="22"/>
        </w:rPr>
        <w:t xml:space="preserve"> that </w:t>
      </w:r>
      <w:r w:rsidRPr="00AF0A0D">
        <w:rPr>
          <w:rFonts w:ascii="Verdana" w:hAnsi="Verdana"/>
          <w:sz w:val="22"/>
          <w:szCs w:val="22"/>
        </w:rPr>
        <w:t>5% of adults scored 1+ on the PGSI</w:t>
      </w:r>
      <w:r w:rsidRPr="00AF0A0D" w:rsidR="00D01282">
        <w:rPr>
          <w:rFonts w:ascii="Verdana" w:hAnsi="Verdana"/>
          <w:sz w:val="22"/>
          <w:szCs w:val="22"/>
        </w:rPr>
        <w:t>, d</w:t>
      </w:r>
      <w:r w:rsidRPr="00AF0A0D" w:rsidR="00453328">
        <w:rPr>
          <w:rFonts w:ascii="Verdana" w:hAnsi="Verdana"/>
          <w:sz w:val="22"/>
          <w:szCs w:val="22"/>
        </w:rPr>
        <w:t xml:space="preserve">efined as </w:t>
      </w:r>
      <w:r w:rsidRPr="00AF0A0D" w:rsidR="002305C7">
        <w:rPr>
          <w:rFonts w:ascii="Verdana" w:hAnsi="Verdana"/>
          <w:sz w:val="22"/>
          <w:szCs w:val="22"/>
        </w:rPr>
        <w:t xml:space="preserve">low risk, </w:t>
      </w:r>
      <w:r w:rsidRPr="00AF0A0D" w:rsidR="002B13EC">
        <w:rPr>
          <w:rFonts w:ascii="Verdana" w:hAnsi="Verdana"/>
          <w:sz w:val="22"/>
          <w:szCs w:val="22"/>
        </w:rPr>
        <w:t xml:space="preserve">moderate </w:t>
      </w:r>
      <w:r w:rsidRPr="00AF0A0D" w:rsidR="009747E4">
        <w:rPr>
          <w:rFonts w:ascii="Verdana" w:hAnsi="Verdana"/>
          <w:sz w:val="22"/>
          <w:szCs w:val="22"/>
        </w:rPr>
        <w:t>risk or pr</w:t>
      </w:r>
      <w:r w:rsidRPr="00AF0A0D" w:rsidR="00460CFF">
        <w:rPr>
          <w:rFonts w:ascii="Verdana" w:hAnsi="Verdana"/>
          <w:sz w:val="22"/>
          <w:szCs w:val="22"/>
        </w:rPr>
        <w:t>oblem gam</w:t>
      </w:r>
      <w:r w:rsidRPr="00AF0A0D" w:rsidR="00C02E50">
        <w:rPr>
          <w:rFonts w:ascii="Verdana" w:hAnsi="Verdana"/>
          <w:sz w:val="22"/>
          <w:szCs w:val="22"/>
        </w:rPr>
        <w:t>bling</w:t>
      </w:r>
      <w:r w:rsidRPr="00AF0A0D">
        <w:rPr>
          <w:rFonts w:ascii="Verdana" w:hAnsi="Verdana"/>
          <w:sz w:val="22"/>
          <w:szCs w:val="22"/>
        </w:rPr>
        <w:t xml:space="preserve">. </w:t>
      </w:r>
      <w:r w:rsidRPr="00AF0A0D" w:rsidR="009712D2">
        <w:rPr>
          <w:rFonts w:ascii="Verdana" w:hAnsi="Verdana"/>
          <w:sz w:val="22"/>
          <w:szCs w:val="22"/>
        </w:rPr>
        <w:t>Howe</w:t>
      </w:r>
      <w:r w:rsidRPr="00AF0A0D" w:rsidR="007E3938">
        <w:rPr>
          <w:rFonts w:ascii="Verdana" w:hAnsi="Verdana"/>
          <w:sz w:val="22"/>
          <w:szCs w:val="22"/>
        </w:rPr>
        <w:t>ver</w:t>
      </w:r>
      <w:r w:rsidRPr="00AF0A0D" w:rsidR="000B7901">
        <w:rPr>
          <w:rFonts w:ascii="Verdana" w:hAnsi="Verdana"/>
          <w:sz w:val="22"/>
          <w:szCs w:val="22"/>
        </w:rPr>
        <w:t xml:space="preserve">, </w:t>
      </w:r>
      <w:r w:rsidRPr="00AF0A0D" w:rsidR="00B72A6D">
        <w:rPr>
          <w:rFonts w:ascii="Verdana" w:hAnsi="Verdana"/>
          <w:sz w:val="22"/>
          <w:szCs w:val="22"/>
        </w:rPr>
        <w:t>the d</w:t>
      </w:r>
      <w:r w:rsidRPr="00AF0A0D" w:rsidR="001A3D29">
        <w:rPr>
          <w:rFonts w:ascii="Verdana" w:hAnsi="Verdana"/>
          <w:sz w:val="22"/>
          <w:szCs w:val="22"/>
        </w:rPr>
        <w:t xml:space="preserve">efinition of </w:t>
      </w:r>
      <w:r w:rsidRPr="00AF0A0D" w:rsidR="00F55B98">
        <w:rPr>
          <w:rFonts w:ascii="Verdana" w:hAnsi="Verdana"/>
          <w:sz w:val="22"/>
          <w:szCs w:val="22"/>
        </w:rPr>
        <w:t>gamb</w:t>
      </w:r>
      <w:r w:rsidRPr="00AF0A0D" w:rsidR="00A83D23">
        <w:rPr>
          <w:rFonts w:ascii="Verdana" w:hAnsi="Verdana"/>
          <w:sz w:val="22"/>
          <w:szCs w:val="22"/>
        </w:rPr>
        <w:t>ling relate</w:t>
      </w:r>
      <w:r w:rsidRPr="00AF0A0D" w:rsidR="002845C5">
        <w:rPr>
          <w:rFonts w:ascii="Verdana" w:hAnsi="Verdana"/>
          <w:sz w:val="22"/>
          <w:szCs w:val="22"/>
        </w:rPr>
        <w:t xml:space="preserve">d </w:t>
      </w:r>
      <w:r w:rsidRPr="00AF0A0D" w:rsidR="00D33A2B">
        <w:rPr>
          <w:rFonts w:ascii="Verdana" w:hAnsi="Verdana"/>
          <w:sz w:val="22"/>
          <w:szCs w:val="22"/>
        </w:rPr>
        <w:t xml:space="preserve">harm is </w:t>
      </w:r>
      <w:r w:rsidRPr="00AF0A0D" w:rsidR="00D877C9">
        <w:rPr>
          <w:rFonts w:ascii="Verdana" w:hAnsi="Verdana"/>
          <w:sz w:val="22"/>
          <w:szCs w:val="22"/>
        </w:rPr>
        <w:t xml:space="preserve">much </w:t>
      </w:r>
      <w:r w:rsidRPr="00AF0A0D" w:rsidR="00C723DC">
        <w:rPr>
          <w:rFonts w:ascii="Verdana" w:hAnsi="Verdana"/>
          <w:sz w:val="22"/>
          <w:szCs w:val="22"/>
        </w:rPr>
        <w:t>b</w:t>
      </w:r>
      <w:r w:rsidRPr="00AF0A0D" w:rsidR="00796E16">
        <w:rPr>
          <w:rFonts w:ascii="Verdana" w:hAnsi="Verdana"/>
          <w:sz w:val="22"/>
          <w:szCs w:val="22"/>
        </w:rPr>
        <w:t>r</w:t>
      </w:r>
      <w:r w:rsidRPr="00AF0A0D" w:rsidR="00D67670">
        <w:rPr>
          <w:rFonts w:ascii="Verdana" w:hAnsi="Verdana"/>
          <w:sz w:val="22"/>
          <w:szCs w:val="22"/>
        </w:rPr>
        <w:t xml:space="preserve">oader </w:t>
      </w:r>
      <w:r w:rsidRPr="00AF0A0D" w:rsidR="00651598">
        <w:rPr>
          <w:rFonts w:ascii="Verdana" w:hAnsi="Verdana"/>
          <w:sz w:val="22"/>
          <w:szCs w:val="22"/>
        </w:rPr>
        <w:t xml:space="preserve">than </w:t>
      </w:r>
      <w:r w:rsidRPr="00AF0A0D" w:rsidR="00323850">
        <w:rPr>
          <w:rFonts w:ascii="Verdana" w:hAnsi="Verdana"/>
          <w:sz w:val="22"/>
          <w:szCs w:val="22"/>
        </w:rPr>
        <w:t>the P</w:t>
      </w:r>
      <w:r w:rsidRPr="00AF0A0D" w:rsidR="00B63643">
        <w:rPr>
          <w:rFonts w:ascii="Verdana" w:hAnsi="Verdana"/>
          <w:sz w:val="22"/>
          <w:szCs w:val="22"/>
        </w:rPr>
        <w:t>GSI scr</w:t>
      </w:r>
      <w:r w:rsidRPr="00AF0A0D" w:rsidR="00F707DE">
        <w:rPr>
          <w:rFonts w:ascii="Verdana" w:hAnsi="Verdana"/>
          <w:sz w:val="22"/>
          <w:szCs w:val="22"/>
        </w:rPr>
        <w:t>eening tool</w:t>
      </w:r>
      <w:r w:rsidRPr="00AF0A0D" w:rsidR="00014746">
        <w:rPr>
          <w:rFonts w:ascii="Verdana" w:hAnsi="Verdana"/>
          <w:sz w:val="22"/>
          <w:szCs w:val="22"/>
        </w:rPr>
        <w:t>, it cove</w:t>
      </w:r>
      <w:r w:rsidRPr="00AF0A0D" w:rsidR="00FB54A4">
        <w:rPr>
          <w:rFonts w:ascii="Verdana" w:hAnsi="Verdana"/>
          <w:sz w:val="22"/>
          <w:szCs w:val="22"/>
        </w:rPr>
        <w:t>rs the ad</w:t>
      </w:r>
      <w:r w:rsidRPr="00AF0A0D" w:rsidR="003229EB">
        <w:rPr>
          <w:rFonts w:ascii="Verdana" w:hAnsi="Verdana"/>
          <w:sz w:val="22"/>
          <w:szCs w:val="22"/>
        </w:rPr>
        <w:t xml:space="preserve">verse </w:t>
      </w:r>
      <w:r w:rsidRPr="00AF0A0D" w:rsidR="00C6310F">
        <w:rPr>
          <w:rFonts w:ascii="Verdana" w:hAnsi="Verdana"/>
          <w:sz w:val="22"/>
          <w:szCs w:val="22"/>
        </w:rPr>
        <w:t>impacts from g</w:t>
      </w:r>
      <w:r w:rsidRPr="00AF0A0D" w:rsidR="00806B68">
        <w:rPr>
          <w:rFonts w:ascii="Verdana" w:hAnsi="Verdana"/>
          <w:sz w:val="22"/>
          <w:szCs w:val="22"/>
        </w:rPr>
        <w:t xml:space="preserve">ambling </w:t>
      </w:r>
      <w:r w:rsidRPr="00AF0A0D" w:rsidR="0048052C">
        <w:rPr>
          <w:rFonts w:ascii="Verdana" w:hAnsi="Verdana"/>
          <w:sz w:val="22"/>
          <w:szCs w:val="22"/>
        </w:rPr>
        <w:t>on the heal</w:t>
      </w:r>
      <w:r w:rsidRPr="00AF0A0D" w:rsidR="00F41ADF">
        <w:rPr>
          <w:rFonts w:ascii="Verdana" w:hAnsi="Verdana"/>
          <w:sz w:val="22"/>
          <w:szCs w:val="22"/>
        </w:rPr>
        <w:t>th and well</w:t>
      </w:r>
      <w:r w:rsidRPr="00AF0A0D" w:rsidR="00743AC3">
        <w:rPr>
          <w:rFonts w:ascii="Verdana" w:hAnsi="Verdana"/>
          <w:sz w:val="22"/>
          <w:szCs w:val="22"/>
        </w:rPr>
        <w:t xml:space="preserve">being </w:t>
      </w:r>
      <w:r w:rsidRPr="00AF0A0D" w:rsidR="00DB1F22">
        <w:rPr>
          <w:rFonts w:ascii="Verdana" w:hAnsi="Verdana"/>
          <w:sz w:val="22"/>
          <w:szCs w:val="22"/>
        </w:rPr>
        <w:t xml:space="preserve">of </w:t>
      </w:r>
      <w:r w:rsidRPr="00AF0A0D" w:rsidR="005731E5">
        <w:rPr>
          <w:rFonts w:ascii="Verdana" w:hAnsi="Verdana"/>
          <w:sz w:val="22"/>
          <w:szCs w:val="22"/>
        </w:rPr>
        <w:t>individual</w:t>
      </w:r>
      <w:r w:rsidRPr="00AF0A0D" w:rsidR="00A77EC8">
        <w:rPr>
          <w:rFonts w:ascii="Verdana" w:hAnsi="Verdana"/>
          <w:sz w:val="22"/>
          <w:szCs w:val="22"/>
        </w:rPr>
        <w:t>s,</w:t>
      </w:r>
      <w:r w:rsidRPr="00AF0A0D" w:rsidR="004F078A">
        <w:rPr>
          <w:rFonts w:ascii="Verdana" w:hAnsi="Verdana"/>
          <w:sz w:val="22"/>
          <w:szCs w:val="22"/>
        </w:rPr>
        <w:t xml:space="preserve"> families</w:t>
      </w:r>
      <w:r w:rsidRPr="00AF0A0D" w:rsidR="00033949">
        <w:rPr>
          <w:rFonts w:ascii="Verdana" w:hAnsi="Verdana"/>
          <w:sz w:val="22"/>
          <w:szCs w:val="22"/>
        </w:rPr>
        <w:t>, comm</w:t>
      </w:r>
      <w:r w:rsidRPr="00AF0A0D" w:rsidR="003100AA">
        <w:rPr>
          <w:rFonts w:ascii="Verdana" w:hAnsi="Verdana"/>
          <w:sz w:val="22"/>
          <w:szCs w:val="22"/>
        </w:rPr>
        <w:t>unities and socie</w:t>
      </w:r>
      <w:r w:rsidRPr="00AF0A0D" w:rsidR="00F11CBC">
        <w:rPr>
          <w:rFonts w:ascii="Verdana" w:hAnsi="Verdana"/>
          <w:sz w:val="22"/>
          <w:szCs w:val="22"/>
        </w:rPr>
        <w:t>ty</w:t>
      </w:r>
      <w:r w:rsidRPr="00AF0A0D" w:rsidR="004B2816">
        <w:rPr>
          <w:rFonts w:ascii="Verdana" w:hAnsi="Verdana"/>
          <w:sz w:val="22"/>
          <w:szCs w:val="22"/>
        </w:rPr>
        <w:t xml:space="preserve">. </w:t>
      </w:r>
    </w:p>
    <w:p w:rsidR="00E81C4A" w:rsidRPr="00AF0A0D" w:rsidP="00E81C4A">
      <w:pPr>
        <w:pStyle w:val="ListParagraph"/>
        <w:numPr>
          <w:ilvl w:val="0"/>
          <w:numId w:val="3"/>
        </w:numPr>
        <w:spacing w:after="0" w:line="240" w:lineRule="auto"/>
        <w:rPr>
          <w:rFonts w:ascii="Verdana" w:hAnsi="Verdana"/>
          <w:sz w:val="22"/>
          <w:szCs w:val="22"/>
        </w:rPr>
      </w:pPr>
      <w:r w:rsidRPr="00AF0A0D">
        <w:rPr>
          <w:rFonts w:ascii="Verdana" w:hAnsi="Verdana"/>
          <w:sz w:val="22"/>
          <w:szCs w:val="22"/>
        </w:rPr>
        <w:t xml:space="preserve">In Session 2, </w:t>
      </w:r>
      <w:r w:rsidRPr="00AF0A0D" w:rsidR="005F118E">
        <w:rPr>
          <w:rFonts w:ascii="Verdana" w:hAnsi="Verdana"/>
          <w:sz w:val="22"/>
          <w:szCs w:val="22"/>
        </w:rPr>
        <w:t xml:space="preserve">reference was made to </w:t>
      </w:r>
      <w:r w:rsidRPr="00AF0A0D" w:rsidR="00E0207F">
        <w:rPr>
          <w:rFonts w:ascii="Verdana" w:hAnsi="Verdana"/>
          <w:sz w:val="22"/>
          <w:szCs w:val="22"/>
        </w:rPr>
        <w:t xml:space="preserve">the problem gambling rate in the </w:t>
      </w:r>
      <w:r w:rsidRPr="00AF0A0D" w:rsidR="00057CA9">
        <w:rPr>
          <w:rFonts w:ascii="Verdana" w:hAnsi="Verdana"/>
          <w:sz w:val="22"/>
          <w:szCs w:val="22"/>
        </w:rPr>
        <w:t xml:space="preserve">2024 </w:t>
      </w:r>
      <w:r w:rsidRPr="00AF0A0D" w:rsidR="00E0207F">
        <w:rPr>
          <w:rFonts w:ascii="Verdana" w:hAnsi="Verdana"/>
          <w:sz w:val="22"/>
          <w:szCs w:val="22"/>
        </w:rPr>
        <w:t xml:space="preserve">HSE remaining </w:t>
      </w:r>
      <w:r w:rsidRPr="00AF0A0D" w:rsidR="00057CA9">
        <w:rPr>
          <w:rFonts w:ascii="Verdana" w:hAnsi="Verdana"/>
          <w:sz w:val="22"/>
          <w:szCs w:val="22"/>
        </w:rPr>
        <w:t xml:space="preserve">below what it was in 2015. </w:t>
      </w:r>
      <w:r w:rsidRPr="00AF0A0D" w:rsidR="00276D0F">
        <w:rPr>
          <w:rFonts w:ascii="Verdana" w:hAnsi="Verdana"/>
          <w:sz w:val="22"/>
          <w:szCs w:val="22"/>
        </w:rPr>
        <w:t xml:space="preserve">However it should be noted that </w:t>
      </w:r>
      <w:r w:rsidRPr="00AF0A0D">
        <w:rPr>
          <w:rFonts w:ascii="Verdana" w:hAnsi="Verdana"/>
          <w:sz w:val="22"/>
          <w:szCs w:val="22"/>
        </w:rPr>
        <w:t xml:space="preserve">there was a </w:t>
      </w:r>
      <w:r w:rsidRPr="00AF0A0D" w:rsidR="00B51487">
        <w:rPr>
          <w:rFonts w:ascii="Verdana" w:hAnsi="Verdana"/>
          <w:sz w:val="22"/>
          <w:szCs w:val="22"/>
        </w:rPr>
        <w:t>stat</w:t>
      </w:r>
      <w:r w:rsidRPr="00AF0A0D" w:rsidR="00C265F1">
        <w:rPr>
          <w:rFonts w:ascii="Verdana" w:hAnsi="Verdana"/>
          <w:sz w:val="22"/>
          <w:szCs w:val="22"/>
        </w:rPr>
        <w:t>istic</w:t>
      </w:r>
      <w:r w:rsidRPr="00AF0A0D" w:rsidR="00EC1355">
        <w:rPr>
          <w:rFonts w:ascii="Verdana" w:hAnsi="Verdana"/>
          <w:sz w:val="22"/>
          <w:szCs w:val="22"/>
        </w:rPr>
        <w:t xml:space="preserve">ally </w:t>
      </w:r>
      <w:r w:rsidRPr="00AF0A0D">
        <w:rPr>
          <w:rFonts w:ascii="Verdana" w:hAnsi="Verdana"/>
          <w:sz w:val="22"/>
          <w:szCs w:val="22"/>
        </w:rPr>
        <w:t>significant increase in the percentage of people scoring 8+ on the PGSI between 2018 and 2024 from 0.4% to 0.7%.</w:t>
      </w:r>
    </w:p>
    <w:p w:rsidR="00431507" w:rsidRPr="00AF0A0D" w:rsidP="00E40926">
      <w:pPr>
        <w:spacing w:after="0" w:line="240" w:lineRule="auto"/>
        <w:rPr>
          <w:rFonts w:ascii="Verdana" w:hAnsi="Verdana"/>
          <w:sz w:val="22"/>
          <w:szCs w:val="22"/>
        </w:rPr>
      </w:pPr>
    </w:p>
    <w:p w:rsidR="003405E2" w:rsidRPr="00AF0A0D" w:rsidP="00E40926">
      <w:pPr>
        <w:spacing w:after="0" w:line="240" w:lineRule="auto"/>
        <w:rPr>
          <w:rFonts w:ascii="Verdana" w:hAnsi="Verdana"/>
          <w:b/>
          <w:sz w:val="22"/>
          <w:szCs w:val="22"/>
        </w:rPr>
      </w:pPr>
      <w:r w:rsidRPr="00AF0A0D">
        <w:rPr>
          <w:rFonts w:ascii="Verdana" w:hAnsi="Verdana"/>
          <w:b/>
          <w:sz w:val="22"/>
          <w:szCs w:val="22"/>
        </w:rPr>
        <w:t xml:space="preserve">The </w:t>
      </w:r>
      <w:r w:rsidRPr="00AF0A0D" w:rsidR="00C77EF0">
        <w:rPr>
          <w:rFonts w:ascii="Verdana" w:hAnsi="Verdana"/>
          <w:b/>
          <w:sz w:val="22"/>
          <w:szCs w:val="22"/>
        </w:rPr>
        <w:t>P</w:t>
      </w:r>
      <w:r w:rsidRPr="00AF0A0D" w:rsidR="00E964A8">
        <w:rPr>
          <w:rFonts w:ascii="Verdana" w:hAnsi="Verdana"/>
          <w:b/>
          <w:sz w:val="22"/>
          <w:szCs w:val="22"/>
        </w:rPr>
        <w:t>attern</w:t>
      </w:r>
      <w:r w:rsidRPr="00AF0A0D" w:rsidR="00C26412">
        <w:rPr>
          <w:rFonts w:ascii="Verdana" w:hAnsi="Verdana"/>
          <w:b/>
          <w:sz w:val="22"/>
          <w:szCs w:val="22"/>
        </w:rPr>
        <w:t>s of Pl</w:t>
      </w:r>
      <w:r w:rsidRPr="00AF0A0D" w:rsidR="004C4C3E">
        <w:rPr>
          <w:rFonts w:ascii="Verdana" w:hAnsi="Verdana"/>
          <w:b/>
          <w:sz w:val="22"/>
          <w:szCs w:val="22"/>
        </w:rPr>
        <w:t xml:space="preserve">ay </w:t>
      </w:r>
      <w:r w:rsidRPr="00AF0A0D" w:rsidR="00C90969">
        <w:rPr>
          <w:rFonts w:ascii="Verdana" w:hAnsi="Verdana"/>
          <w:b/>
          <w:sz w:val="22"/>
          <w:szCs w:val="22"/>
        </w:rPr>
        <w:t>researc</w:t>
      </w:r>
      <w:r w:rsidRPr="00AF0A0D" w:rsidR="003D7A73">
        <w:rPr>
          <w:rFonts w:ascii="Verdana" w:hAnsi="Verdana"/>
          <w:b/>
          <w:sz w:val="22"/>
          <w:szCs w:val="22"/>
        </w:rPr>
        <w:t xml:space="preserve">h and </w:t>
      </w:r>
      <w:r w:rsidRPr="00AF0A0D" w:rsidR="00FC33F8">
        <w:rPr>
          <w:rFonts w:ascii="Verdana" w:hAnsi="Verdana"/>
          <w:b/>
          <w:sz w:val="22"/>
          <w:szCs w:val="22"/>
        </w:rPr>
        <w:t xml:space="preserve">industry </w:t>
      </w:r>
      <w:r w:rsidRPr="00AF0A0D" w:rsidR="009D2C44">
        <w:rPr>
          <w:rFonts w:ascii="Verdana" w:hAnsi="Verdana"/>
          <w:b/>
          <w:sz w:val="22"/>
          <w:szCs w:val="22"/>
        </w:rPr>
        <w:t>pr</w:t>
      </w:r>
      <w:r w:rsidRPr="00AF0A0D" w:rsidR="005243EC">
        <w:rPr>
          <w:rFonts w:ascii="Verdana" w:hAnsi="Verdana"/>
          <w:b/>
          <w:sz w:val="22"/>
          <w:szCs w:val="22"/>
        </w:rPr>
        <w:t>ofits</w:t>
      </w:r>
    </w:p>
    <w:p w:rsidR="001B2065" w:rsidRPr="00AF0A0D" w:rsidP="00273021">
      <w:pPr>
        <w:pStyle w:val="ListParagraph"/>
        <w:numPr>
          <w:ilvl w:val="0"/>
          <w:numId w:val="8"/>
        </w:numPr>
        <w:spacing w:after="0" w:line="240" w:lineRule="auto"/>
        <w:rPr>
          <w:rFonts w:ascii="Verdana" w:hAnsi="Verdana"/>
          <w:sz w:val="22"/>
          <w:szCs w:val="22"/>
        </w:rPr>
      </w:pPr>
      <w:r w:rsidRPr="00AF0A0D">
        <w:rPr>
          <w:rFonts w:ascii="Verdana" w:hAnsi="Verdana"/>
          <w:sz w:val="22"/>
          <w:szCs w:val="22"/>
        </w:rPr>
        <w:t>In</w:t>
      </w:r>
      <w:r w:rsidRPr="00AF0A0D" w:rsidR="00DA124F">
        <w:rPr>
          <w:rFonts w:ascii="Verdana" w:hAnsi="Verdana"/>
          <w:sz w:val="22"/>
          <w:szCs w:val="22"/>
        </w:rPr>
        <w:t xml:space="preserve"> </w:t>
      </w:r>
      <w:r w:rsidRPr="00AF0A0D" w:rsidR="00AF5F9D">
        <w:rPr>
          <w:rFonts w:ascii="Verdana" w:hAnsi="Verdana"/>
          <w:sz w:val="22"/>
          <w:szCs w:val="22"/>
        </w:rPr>
        <w:t>su</w:t>
      </w:r>
      <w:r w:rsidRPr="00AF0A0D" w:rsidR="00A1793D">
        <w:rPr>
          <w:rFonts w:ascii="Verdana" w:hAnsi="Verdana"/>
          <w:sz w:val="22"/>
          <w:szCs w:val="22"/>
        </w:rPr>
        <w:t>pple</w:t>
      </w:r>
      <w:r w:rsidRPr="00AF0A0D" w:rsidR="00BF50E6">
        <w:rPr>
          <w:rFonts w:ascii="Verdana" w:hAnsi="Verdana"/>
          <w:sz w:val="22"/>
          <w:szCs w:val="22"/>
        </w:rPr>
        <w:t>mentary e</w:t>
      </w:r>
      <w:r w:rsidRPr="00AF0A0D" w:rsidR="00774E87">
        <w:rPr>
          <w:rFonts w:ascii="Verdana" w:hAnsi="Verdana"/>
          <w:sz w:val="22"/>
          <w:szCs w:val="22"/>
        </w:rPr>
        <w:t xml:space="preserve">vidence </w:t>
      </w:r>
      <w:r w:rsidRPr="00AF0A0D" w:rsidR="008D0368">
        <w:rPr>
          <w:rFonts w:ascii="Verdana" w:hAnsi="Verdana"/>
          <w:sz w:val="22"/>
          <w:szCs w:val="22"/>
        </w:rPr>
        <w:t>Mr W</w:t>
      </w:r>
      <w:r w:rsidRPr="00AF0A0D" w:rsidR="00E1181B">
        <w:rPr>
          <w:rFonts w:ascii="Verdana" w:hAnsi="Verdana"/>
          <w:sz w:val="22"/>
          <w:szCs w:val="22"/>
        </w:rPr>
        <w:t xml:space="preserve">augh </w:t>
      </w:r>
      <w:r w:rsidRPr="00AF0A0D" w:rsidR="00C658AF">
        <w:rPr>
          <w:rFonts w:ascii="Verdana" w:hAnsi="Verdana"/>
          <w:sz w:val="22"/>
          <w:szCs w:val="22"/>
        </w:rPr>
        <w:t>makes re</w:t>
      </w:r>
      <w:r w:rsidRPr="00AF0A0D" w:rsidR="000F2D35">
        <w:rPr>
          <w:rFonts w:ascii="Verdana" w:hAnsi="Verdana"/>
          <w:sz w:val="22"/>
          <w:szCs w:val="22"/>
        </w:rPr>
        <w:t>ference to t</w:t>
      </w:r>
      <w:r w:rsidRPr="00AF0A0D" w:rsidR="00983259">
        <w:rPr>
          <w:rFonts w:ascii="Verdana" w:hAnsi="Verdana"/>
          <w:sz w:val="22"/>
          <w:szCs w:val="22"/>
        </w:rPr>
        <w:t xml:space="preserve">he Patterns of </w:t>
      </w:r>
      <w:r w:rsidRPr="00AF0A0D" w:rsidR="009B2854">
        <w:rPr>
          <w:rFonts w:ascii="Verdana" w:hAnsi="Verdana"/>
          <w:sz w:val="22"/>
          <w:szCs w:val="22"/>
        </w:rPr>
        <w:t>Play r</w:t>
      </w:r>
      <w:r w:rsidRPr="00AF0A0D" w:rsidR="00BF46AA">
        <w:rPr>
          <w:rFonts w:ascii="Verdana" w:hAnsi="Verdana"/>
          <w:sz w:val="22"/>
          <w:szCs w:val="22"/>
        </w:rPr>
        <w:t>esearch</w:t>
      </w:r>
      <w:r w:rsidRPr="00AF0A0D" w:rsidR="007E6922">
        <w:rPr>
          <w:rFonts w:ascii="Verdana" w:hAnsi="Verdana"/>
          <w:sz w:val="22"/>
          <w:szCs w:val="22"/>
        </w:rPr>
        <w:t xml:space="preserve"> publish</w:t>
      </w:r>
      <w:r w:rsidRPr="00AF0A0D" w:rsidR="009D244B">
        <w:rPr>
          <w:rFonts w:ascii="Verdana" w:hAnsi="Verdana"/>
          <w:sz w:val="22"/>
          <w:szCs w:val="22"/>
        </w:rPr>
        <w:t xml:space="preserve">ed in </w:t>
      </w:r>
      <w:r w:rsidRPr="00AF0A0D" w:rsidR="00042F03">
        <w:rPr>
          <w:rFonts w:ascii="Verdana" w:hAnsi="Verdana"/>
          <w:sz w:val="22"/>
          <w:szCs w:val="22"/>
        </w:rPr>
        <w:t>2022</w:t>
      </w:r>
      <w:r w:rsidRPr="00AF0A0D" w:rsidR="00C902C0">
        <w:rPr>
          <w:rFonts w:ascii="Verdana" w:hAnsi="Verdana"/>
          <w:sz w:val="22"/>
          <w:szCs w:val="22"/>
        </w:rPr>
        <w:t>.</w:t>
      </w:r>
      <w:r w:rsidRPr="00AF0A0D" w:rsidR="00405C02">
        <w:rPr>
          <w:rFonts w:ascii="Verdana" w:hAnsi="Verdana"/>
          <w:sz w:val="22"/>
          <w:szCs w:val="22"/>
        </w:rPr>
        <w:t xml:space="preserve">  The re</w:t>
      </w:r>
      <w:r w:rsidRPr="00AF0A0D" w:rsidR="00441C89">
        <w:rPr>
          <w:rFonts w:ascii="Verdana" w:hAnsi="Verdana"/>
          <w:sz w:val="22"/>
          <w:szCs w:val="22"/>
        </w:rPr>
        <w:t xml:space="preserve">search </w:t>
      </w:r>
      <w:r w:rsidRPr="00AF0A0D" w:rsidR="00300258">
        <w:rPr>
          <w:rFonts w:ascii="Verdana" w:hAnsi="Verdana"/>
          <w:sz w:val="22"/>
          <w:szCs w:val="22"/>
        </w:rPr>
        <w:t>us</w:t>
      </w:r>
      <w:r w:rsidRPr="00AF0A0D" w:rsidR="00691AF3">
        <w:rPr>
          <w:rFonts w:ascii="Verdana" w:hAnsi="Verdana"/>
          <w:sz w:val="22"/>
          <w:szCs w:val="22"/>
        </w:rPr>
        <w:t>ed</w:t>
      </w:r>
      <w:r w:rsidRPr="00AF0A0D" w:rsidR="00300258">
        <w:rPr>
          <w:rFonts w:ascii="Verdana" w:hAnsi="Verdana"/>
          <w:sz w:val="22"/>
          <w:szCs w:val="22"/>
        </w:rPr>
        <w:t xml:space="preserve"> a sample of online gambling data from seven major operators over a period of 12 months in 2018-19. The research was funded by GambleAware and led by NatCen </w:t>
      </w:r>
      <w:r w:rsidRPr="00AF0A0D" w:rsidR="00300258">
        <w:rPr>
          <w:rFonts w:ascii="Verdana" w:hAnsi="Verdana"/>
          <w:sz w:val="22"/>
          <w:szCs w:val="22"/>
        </w:rPr>
        <w:t>with analysis conducted by Professors David Forrest and Ian McHale. Findings are available with a series of technical reports on the </w:t>
      </w:r>
      <w:r>
        <w:fldChar w:fldCharType="begin"/>
      </w:r>
      <w:r>
        <w:instrText xml:space="preserve"> HYPERLINK "https://eur03.safelinks.protection.outlook.com/?url=https%3A%2F%2Fnatcen.ac.uk%2Fpublications%2Fpatterns-play&amp;data=05%7C02%7Cgsinnott%40gamblingcommission.gov.uk%7C65813ea7d39c423c34a408ded07b2a1e%7C7dddff921de64835996384e7cc44cea2%7C0%7C0%7C639177424567136790%7CUnknown%7CTWFpbGZsb3d8eyJFbXB0eU1hcGkiOnRydWUsIlYiOiIwLjAuMDAwMCIsIlAiOiJXaW4zMiIsIkFOIjoiTWFpbCIsIldUIjoyfQ%3D%3D%7C0%7C%7C%7C&amp;sdata=zlSnE9qirpAyh8InY4%2Bu3aBfVhF5jS05DcgXelNgHPE%3D&amp;reserved=0" \o "Original URL: https://natcen.ac.uk/publications/patterns-play. Click or tap if you trust this link." </w:instrText>
      </w:r>
      <w:r>
        <w:fldChar w:fldCharType="separate"/>
      </w:r>
      <w:r w:rsidRPr="00AF0A0D" w:rsidR="00300258">
        <w:rPr>
          <w:rStyle w:val="Hyperlink"/>
          <w:rFonts w:ascii="Verdana" w:hAnsi="Verdana"/>
          <w:color w:val="auto"/>
          <w:sz w:val="22"/>
          <w:szCs w:val="22"/>
        </w:rPr>
        <w:t>NatCen website</w:t>
      </w:r>
      <w:r>
        <w:fldChar w:fldCharType="end"/>
      </w:r>
      <w:r w:rsidRPr="00AF0A0D" w:rsidR="00300258">
        <w:rPr>
          <w:rFonts w:ascii="Verdana" w:hAnsi="Verdana"/>
          <w:sz w:val="22"/>
          <w:szCs w:val="22"/>
        </w:rPr>
        <w:t> and an </w:t>
      </w:r>
      <w:r>
        <w:fldChar w:fldCharType="begin"/>
      </w:r>
      <w:r>
        <w:instrText xml:space="preserve"> HYPERLINK "https://eur03.safelinks.protection.outlook.com/?url=https%3A%2F%2Fwww.gambleaware.org%2Fmedia%2F3lydjvnf%2Fpop_interim-report_short_final_0.pdf&amp;data=05%7C02%7Cgsinnott%40gamblingcommission.gov.uk%7C65813ea7d39c423c34a408ded07b2a1e%7C7dddff921de64835996384e7cc44cea2%7C0%7C0%7C639177424567157108%7CUnknown%7CTWFpbGZsb3d8eyJFbXB0eU1hcGkiOnRydWUsIlYiOiIwLjAuMDAwMCIsIlAiOiJXaW4zMiIsIkFOIjoiTWFpbCIsIldUIjoyfQ%3D%3D%7C0%7C%7C%7C&amp;sdata=pAZopELmVxt9avaELlCBARsJvOAeV%2F%2F3gVqAdcWzEYo%3D&amp;reserved=0" \o "Original URL: https://www.gambleaware.org/media/3lydjvnf/pop_interim-report_short_final_0.pdf. Click or tap if you trust this link." </w:instrText>
      </w:r>
      <w:r>
        <w:fldChar w:fldCharType="separate"/>
      </w:r>
      <w:r w:rsidRPr="00AF0A0D" w:rsidR="00300258">
        <w:rPr>
          <w:rStyle w:val="Hyperlink"/>
          <w:rFonts w:ascii="Verdana" w:hAnsi="Verdana"/>
          <w:color w:val="auto"/>
          <w:sz w:val="22"/>
          <w:szCs w:val="22"/>
        </w:rPr>
        <w:t>interim report on the GambleAware website</w:t>
      </w:r>
      <w:r>
        <w:fldChar w:fldCharType="end"/>
      </w:r>
      <w:r w:rsidRPr="00AF0A0D" w:rsidR="00300258">
        <w:rPr>
          <w:rFonts w:ascii="Verdana" w:hAnsi="Verdana"/>
          <w:sz w:val="22"/>
          <w:szCs w:val="22"/>
        </w:rPr>
        <w:t>.</w:t>
      </w:r>
    </w:p>
    <w:p w:rsidR="008D27F1" w:rsidRPr="00AF0A0D" w:rsidP="008D27F1">
      <w:pPr>
        <w:pStyle w:val="ListParagraph"/>
        <w:numPr>
          <w:ilvl w:val="0"/>
          <w:numId w:val="8"/>
        </w:numPr>
        <w:spacing w:after="0" w:line="240" w:lineRule="auto"/>
        <w:rPr>
          <w:rFonts w:ascii="Verdana" w:hAnsi="Verdana"/>
          <w:sz w:val="22"/>
          <w:szCs w:val="22"/>
        </w:rPr>
      </w:pPr>
      <w:r w:rsidRPr="00AF0A0D">
        <w:rPr>
          <w:rFonts w:ascii="Verdana" w:hAnsi="Verdana"/>
          <w:sz w:val="22"/>
          <w:szCs w:val="22"/>
        </w:rPr>
        <w:t>Mr Waugh appears to reference figures for online betting only, rather than online gambling. He states that 23% of the accounts in the study were winning accounts over the course of the year. Tech Report 2 shows that relates to online betting only (Table 12). The figure for all online gambling is 20.5% (Table 29) due to the lower proportion of winning accounts (16%) for online gaming (Table 21).</w:t>
      </w:r>
    </w:p>
    <w:p w:rsidR="007A19B9" w:rsidRPr="00AF0A0D" w:rsidP="00AF0A0D">
      <w:pPr>
        <w:pStyle w:val="ListParagraph"/>
        <w:numPr>
          <w:ilvl w:val="0"/>
          <w:numId w:val="8"/>
        </w:numPr>
        <w:spacing w:after="0" w:line="240" w:lineRule="auto"/>
        <w:rPr>
          <w:rFonts w:ascii="Verdana" w:hAnsi="Verdana"/>
          <w:sz w:val="22"/>
          <w:szCs w:val="22"/>
        </w:rPr>
      </w:pPr>
      <w:r w:rsidRPr="00AF0A0D">
        <w:rPr>
          <w:rFonts w:ascii="Verdana" w:hAnsi="Verdana"/>
          <w:sz w:val="22"/>
          <w:szCs w:val="22"/>
        </w:rPr>
        <w:t>When considering all online gambling, rather than solely online betting, the proportion losing in excess of £1000 in the year (expressed in the supplementary evidence as £83 a month) is 6% rather than the stated 5%. Within that, 3.11% lost over £2000 and 1.09% lost over £5000 in the year – the £5000 figure equates to £417 per month, though it does not mean that losses are experienced uniformly throughout the year. The report identifies that amongst account holders who were active on gaming products, 1.9% experienced a single-session loss in excess of £1000 at least once during the year.</w:t>
      </w:r>
    </w:p>
    <w:p w:rsidR="00142B80" w:rsidRPr="00AF0A0D" w:rsidP="00184984">
      <w:pPr>
        <w:pStyle w:val="ListParagraph"/>
        <w:numPr>
          <w:ilvl w:val="0"/>
          <w:numId w:val="8"/>
        </w:numPr>
        <w:spacing w:after="0" w:line="240" w:lineRule="auto"/>
        <w:rPr>
          <w:rFonts w:ascii="Verdana" w:hAnsi="Verdana"/>
          <w:sz w:val="22"/>
          <w:szCs w:val="22"/>
        </w:rPr>
      </w:pPr>
      <w:r w:rsidRPr="00AF0A0D">
        <w:rPr>
          <w:rFonts w:ascii="Verdana" w:hAnsi="Verdana"/>
          <w:sz w:val="22"/>
          <w:szCs w:val="22"/>
        </w:rPr>
        <w:t xml:space="preserve">In terms of the concentration of gambling expenditure, the report provides figures for betting-active accounts (Table 9) showing that the highest-staking 5% of customers provide 78.9% of all annual betting stakes and 66.7% of operator winnings. </w:t>
      </w:r>
    </w:p>
    <w:p w:rsidR="00184984" w:rsidRPr="00AF0A0D" w:rsidP="00184984">
      <w:pPr>
        <w:pStyle w:val="ListParagraph"/>
        <w:numPr>
          <w:ilvl w:val="0"/>
          <w:numId w:val="8"/>
        </w:numPr>
        <w:spacing w:after="0" w:line="240" w:lineRule="auto"/>
        <w:rPr>
          <w:rFonts w:ascii="Verdana" w:hAnsi="Verdana"/>
          <w:sz w:val="22"/>
          <w:szCs w:val="22"/>
        </w:rPr>
      </w:pPr>
      <w:r w:rsidRPr="00AF0A0D">
        <w:rPr>
          <w:rFonts w:ascii="Verdana" w:hAnsi="Verdana"/>
          <w:sz w:val="22"/>
          <w:szCs w:val="22"/>
        </w:rPr>
        <w:t>The table also shows figures for the highest staking 1% (52.5% and 36.4%, respectively), 10% (88.2% and 79.1%) and many other proportions. For gaming-active accounts (Table 20), the highest staking 5% of customers provide 83.0% of gaming stakes and 70.8% of operator wins.</w:t>
      </w:r>
    </w:p>
    <w:p w:rsidR="00184984" w:rsidRPr="00AF0A0D" w:rsidP="00184984">
      <w:pPr>
        <w:pStyle w:val="ListParagraph"/>
        <w:numPr>
          <w:ilvl w:val="0"/>
          <w:numId w:val="8"/>
        </w:numPr>
        <w:spacing w:after="0" w:line="240" w:lineRule="auto"/>
        <w:rPr>
          <w:rFonts w:ascii="Verdana" w:hAnsi="Verdana"/>
          <w:sz w:val="22"/>
          <w:szCs w:val="22"/>
        </w:rPr>
      </w:pPr>
      <w:r w:rsidRPr="00AF0A0D">
        <w:rPr>
          <w:rFonts w:ascii="Verdana" w:hAnsi="Verdana"/>
          <w:sz w:val="22"/>
          <w:szCs w:val="22"/>
        </w:rPr>
        <w:t>The report also shows (Table 11) that the very highest staking betting customers achieve a better rate-of-return than lower staking customers. The interim report (slide 20) provides figures ordered by accounts with the highest annual losses, rather than stakes. They report that of accounts used for horse racing bets, the most profitable 1% from the operators’ perspective accounted for 70.4% of GGY. Corresponding figures for football were 42.6% (pre-match bets) and 56.6% (in-play bets).</w:t>
      </w:r>
    </w:p>
    <w:p w:rsidR="00414794" w:rsidRPr="00AF0A0D" w:rsidP="00184984">
      <w:pPr>
        <w:pStyle w:val="ListParagraph"/>
        <w:numPr>
          <w:ilvl w:val="0"/>
          <w:numId w:val="8"/>
        </w:numPr>
        <w:spacing w:after="0" w:line="240" w:lineRule="auto"/>
        <w:rPr>
          <w:rFonts w:ascii="Verdana" w:hAnsi="Verdana"/>
          <w:sz w:val="22"/>
          <w:szCs w:val="22"/>
        </w:rPr>
      </w:pPr>
      <w:r w:rsidRPr="00AF0A0D">
        <w:rPr>
          <w:rFonts w:ascii="Verdana" w:hAnsi="Verdana"/>
          <w:sz w:val="22"/>
          <w:szCs w:val="22"/>
        </w:rPr>
        <w:t xml:space="preserve">As highlighted in </w:t>
      </w:r>
      <w:r>
        <w:fldChar w:fldCharType="begin"/>
      </w:r>
      <w:r>
        <w:instrText xml:space="preserve"> HYPERLINK "https://committees.parliament.uk/publications/41199/documents/202625/default/" </w:instrText>
      </w:r>
      <w:r>
        <w:fldChar w:fldCharType="separate"/>
      </w:r>
      <w:r w:rsidRPr="00AF0A0D">
        <w:rPr>
          <w:rStyle w:val="Hyperlink"/>
          <w:rFonts w:ascii="Verdana" w:hAnsi="Verdana"/>
          <w:color w:val="auto"/>
          <w:sz w:val="22"/>
          <w:szCs w:val="22"/>
        </w:rPr>
        <w:t>the 2023 correspondence</w:t>
      </w:r>
      <w:r w:rsidRPr="00AF0A0D" w:rsidR="00216539">
        <w:rPr>
          <w:rStyle w:val="Hyperlink"/>
          <w:rFonts w:ascii="Verdana" w:hAnsi="Verdana"/>
          <w:color w:val="auto"/>
          <w:sz w:val="22"/>
          <w:szCs w:val="22"/>
        </w:rPr>
        <w:t xml:space="preserve"> referenced</w:t>
      </w:r>
      <w:r>
        <w:fldChar w:fldCharType="end"/>
      </w:r>
      <w:r w:rsidRPr="00AF0A0D">
        <w:rPr>
          <w:rFonts w:ascii="Verdana" w:hAnsi="Verdana"/>
          <w:sz w:val="22"/>
          <w:szCs w:val="22"/>
        </w:rPr>
        <w:t xml:space="preserve">, it is not possible to state whether those individuals amongst the highest staking or spending were experiencing any negative consequences from their gambling behaviour. The study was an analysis of gambling patterns and shows the importance of a relatively small proportion of customers to those </w:t>
      </w:r>
      <w:r w:rsidRPr="00AF0A0D" w:rsidR="004B19DB">
        <w:rPr>
          <w:rFonts w:ascii="Verdana" w:hAnsi="Verdana"/>
          <w:sz w:val="22"/>
          <w:szCs w:val="22"/>
        </w:rPr>
        <w:t>businesses but</w:t>
      </w:r>
      <w:r w:rsidRPr="00AF0A0D">
        <w:rPr>
          <w:rFonts w:ascii="Verdana" w:hAnsi="Verdana"/>
          <w:sz w:val="22"/>
          <w:szCs w:val="22"/>
        </w:rPr>
        <w:t xml:space="preserve"> does not mean that those customers were experiencing harms; no data was available to make any comment upon that topic. The authors also note that it is not unusual for businesses to generate the majority of revenue from a minority of customers, and that it has been found in other jurisdictions that the concentration in the gambling sector is greater than most.</w:t>
      </w:r>
    </w:p>
    <w:p w:rsidR="00571767" w:rsidRPr="00AF0A0D" w:rsidP="00A87A81">
      <w:pPr>
        <w:spacing w:after="0" w:line="240" w:lineRule="auto"/>
        <w:rPr>
          <w:rFonts w:ascii="Verdana" w:hAnsi="Verdana"/>
          <w:sz w:val="22"/>
          <w:szCs w:val="22"/>
        </w:rPr>
      </w:pPr>
    </w:p>
    <w:p w:rsidR="00C633C3" w:rsidRPr="00AF0A0D" w:rsidP="00C633C3">
      <w:pPr>
        <w:spacing w:after="0" w:line="240" w:lineRule="auto"/>
        <w:rPr>
          <w:rFonts w:ascii="Verdana" w:hAnsi="Verdana"/>
          <w:b/>
          <w:sz w:val="22"/>
          <w:szCs w:val="22"/>
        </w:rPr>
      </w:pPr>
      <w:r w:rsidRPr="00AF0A0D">
        <w:rPr>
          <w:rFonts w:ascii="Verdana" w:hAnsi="Verdana"/>
          <w:b/>
          <w:sz w:val="22"/>
          <w:szCs w:val="22"/>
        </w:rPr>
        <w:t>Size of the Illegal Market</w:t>
      </w:r>
    </w:p>
    <w:p w:rsidR="00585686" w:rsidRPr="00AF0A0D" w:rsidP="00C633C3">
      <w:pPr>
        <w:pStyle w:val="ListParagraph"/>
        <w:numPr>
          <w:ilvl w:val="0"/>
          <w:numId w:val="9"/>
        </w:numPr>
        <w:spacing w:after="0" w:line="240" w:lineRule="auto"/>
        <w:rPr>
          <w:rFonts w:ascii="Verdana" w:hAnsi="Verdana"/>
          <w:sz w:val="22"/>
          <w:szCs w:val="22"/>
        </w:rPr>
      </w:pPr>
      <w:r w:rsidRPr="00AF0A0D">
        <w:rPr>
          <w:rFonts w:ascii="Verdana" w:hAnsi="Verdana"/>
          <w:sz w:val="22"/>
          <w:szCs w:val="22"/>
        </w:rPr>
        <w:t>A statement was made in the session stating that the illegal market has grown as a result of tax and regulatory restrictions and an estimate that £17bn will be staked in the online illegal market this year and this will double in two years.</w:t>
      </w:r>
    </w:p>
    <w:p w:rsidR="003436FB" w:rsidRPr="00AF0A0D" w:rsidP="00C633C3">
      <w:pPr>
        <w:pStyle w:val="ListParagraph"/>
        <w:numPr>
          <w:ilvl w:val="0"/>
          <w:numId w:val="9"/>
        </w:numPr>
        <w:spacing w:after="0" w:line="240" w:lineRule="auto"/>
        <w:rPr>
          <w:rFonts w:ascii="Verdana" w:hAnsi="Verdana"/>
          <w:sz w:val="22"/>
          <w:szCs w:val="22"/>
        </w:rPr>
      </w:pPr>
      <w:r w:rsidRPr="00AF0A0D">
        <w:rPr>
          <w:rFonts w:ascii="Verdana" w:hAnsi="Verdana"/>
          <w:sz w:val="22"/>
          <w:szCs w:val="22"/>
        </w:rPr>
        <w:t>The Gambling Commission acknowledges the difficulty in measuring the scale of illegal market activity and has laid out </w:t>
      </w:r>
      <w:r>
        <w:fldChar w:fldCharType="begin"/>
      </w:r>
      <w:r>
        <w:instrText xml:space="preserve"> HYPERLINK "https://eur03.safelinks.protection.outlook.com/?url=https%3A%2F%2Fwww.gamblingcommission.gov.uk%2Fstatistics-and-research%2Fpublication%2Funderstanding-consumer-engagement-with-illegal-online-gambling&amp;data=05%7C02%7Cgsinnott%40gamblingcommission.gov.uk%7Cd5597c853f6c46fe614908ded109f13f%7C7dddff921de64835996384e7cc44cea2%7C0%7C0%7C639178037831240423%7CUnknown%7CTWFpbGZsb3d8eyJFbXB0eU1hcGkiOnRydWUsIlYiOiIwLjAuMDAwMCIsIlAiOiJXaW4zMiIsIkFOIjoiTWFpbCIsIldUIjoyfQ%3D%3D%7C0%7C%7C%7C&amp;sdata=%2FiOY2X%2FJqNZl5BGckQfh%2FLtrEeorcXcZVMyhpPMbzuI%3D&amp;reserved=0" \o "Original URL: https://www.gamblingcommission.gov.uk/statistics-and-research/publication/understanding-consumer-engagement-with-illegal-online-gambling. Click or tap if you trust this link." </w:instrText>
      </w:r>
      <w:r>
        <w:fldChar w:fldCharType="separate"/>
      </w:r>
      <w:r w:rsidRPr="00AF0A0D">
        <w:rPr>
          <w:rStyle w:val="Hyperlink"/>
          <w:rFonts w:ascii="Verdana" w:hAnsi="Verdana"/>
          <w:color w:val="auto"/>
          <w:sz w:val="22"/>
          <w:szCs w:val="22"/>
          <w:u w:val="none"/>
        </w:rPr>
        <w:t>the methodology that we are using to obtain data on consumers access to illegal gambling websites</w:t>
      </w:r>
      <w:r>
        <w:fldChar w:fldCharType="end"/>
      </w:r>
      <w:r w:rsidRPr="00AF0A0D">
        <w:rPr>
          <w:rFonts w:ascii="Verdana" w:hAnsi="Verdana"/>
          <w:sz w:val="22"/>
          <w:szCs w:val="22"/>
        </w:rPr>
        <w:t xml:space="preserve">. </w:t>
      </w:r>
    </w:p>
    <w:p w:rsidR="00747B1D" w:rsidRPr="00AF0A0D" w:rsidP="00AF0A0D">
      <w:pPr>
        <w:pStyle w:val="ListParagraph"/>
        <w:numPr>
          <w:ilvl w:val="0"/>
          <w:numId w:val="9"/>
        </w:numPr>
        <w:spacing w:after="0" w:line="240" w:lineRule="auto"/>
        <w:rPr>
          <w:rFonts w:ascii="Verdana" w:hAnsi="Verdana"/>
          <w:sz w:val="22"/>
          <w:szCs w:val="22"/>
        </w:rPr>
      </w:pPr>
      <w:r w:rsidRPr="00AF0A0D">
        <w:rPr>
          <w:rFonts w:ascii="Verdana" w:hAnsi="Verdana"/>
          <w:sz w:val="22"/>
          <w:szCs w:val="22"/>
        </w:rPr>
        <w:t>For the Committee’s information</w:t>
      </w:r>
      <w:r w:rsidRPr="00AF0A0D">
        <w:rPr>
          <w:rFonts w:ascii="Verdana" w:hAnsi="Verdana"/>
          <w:sz w:val="22"/>
          <w:szCs w:val="22"/>
        </w:rPr>
        <w:t>,</w:t>
      </w:r>
      <w:r w:rsidRPr="00AF0A0D">
        <w:rPr>
          <w:rFonts w:ascii="Verdana" w:hAnsi="Verdana"/>
          <w:sz w:val="22"/>
          <w:szCs w:val="22"/>
        </w:rPr>
        <w:t xml:space="preserve"> a</w:t>
      </w:r>
      <w:r w:rsidRPr="00AF0A0D" w:rsidR="00C633C3">
        <w:rPr>
          <w:rFonts w:ascii="Verdana" w:hAnsi="Verdana"/>
          <w:sz w:val="22"/>
          <w:szCs w:val="22"/>
        </w:rPr>
        <w:t>n </w:t>
      </w:r>
      <w:r>
        <w:fldChar w:fldCharType="begin"/>
      </w:r>
      <w:r>
        <w:instrText xml:space="preserve"> HYPERLINK "https://eur03.safelinks.protection.outlook.com/?url=https%3A%2F%2Fwww.gamblingcommission.gov.uk%2Fblog%2Fpost%2Fillegal-gambling-update-on-trends-and-data-approach&amp;data=05%7C02%7Cgsinnott%40gamblingcommission.gov.uk%7Cd5597c853f6c46fe614908ded109f13f%7C7dddff921de64835996384e7cc44cea2%7C0%7C0%7C639178037831289527%7CUnknown%7CTWFpbGZsb3d8eyJFbXB0eU1hcGkiOnRydWUsIlYiOiIwLjAuMDAwMCIsIlAiOiJXaW4zMiIsIkFOIjoiTWFpbCIsIldUIjoyfQ%3D%3D%7C0%7C%7C%7C&amp;sdata=1ykrgrIfN3sh8T1cGatfFjHS7C7JOYNXsy1PCneKGGA%3D&amp;reserved=0" \o "Original URL: https://www.gamblingcommission.gov.uk/blog/post/illegal-gambling-update-on-trends-and-data-approach. Click or tap if you trust this link." </w:instrText>
      </w:r>
      <w:r>
        <w:fldChar w:fldCharType="separate"/>
      </w:r>
      <w:r w:rsidRPr="00AF0A0D" w:rsidR="00C633C3">
        <w:rPr>
          <w:rStyle w:val="Hyperlink"/>
          <w:rFonts w:ascii="Verdana" w:hAnsi="Verdana"/>
          <w:color w:val="auto"/>
          <w:sz w:val="22"/>
          <w:szCs w:val="22"/>
          <w:u w:val="none"/>
        </w:rPr>
        <w:t>update published in April</w:t>
      </w:r>
      <w:r w:rsidR="00AF0A0D">
        <w:rPr>
          <w:rStyle w:val="Hyperlink"/>
          <w:rFonts w:ascii="Verdana" w:hAnsi="Verdana"/>
          <w:color w:val="auto"/>
          <w:sz w:val="22"/>
          <w:szCs w:val="22"/>
          <w:u w:val="none"/>
        </w:rPr>
        <w:t xml:space="preserve"> </w:t>
      </w:r>
      <w:r w:rsidRPr="00AF0A0D" w:rsidR="00C633C3">
        <w:rPr>
          <w:rStyle w:val="Hyperlink"/>
          <w:rFonts w:ascii="Verdana" w:hAnsi="Verdana"/>
          <w:color w:val="auto"/>
          <w:sz w:val="22"/>
          <w:szCs w:val="22"/>
          <w:u w:val="none"/>
        </w:rPr>
        <w:t>2026</w:t>
      </w:r>
      <w:r>
        <w:fldChar w:fldCharType="end"/>
      </w:r>
      <w:r w:rsidR="00AF0A0D">
        <w:rPr>
          <w:rFonts w:ascii="Verdana" w:hAnsi="Verdana"/>
          <w:sz w:val="22"/>
          <w:szCs w:val="22"/>
        </w:rPr>
        <w:t xml:space="preserve"> </w:t>
      </w:r>
      <w:r w:rsidRPr="00AF0A0D" w:rsidR="00C633C3">
        <w:rPr>
          <w:rFonts w:ascii="Verdana" w:hAnsi="Verdana"/>
          <w:sz w:val="22"/>
          <w:szCs w:val="22"/>
        </w:rPr>
        <w:t>provided figures that showed an engagement estimate from May 2024 to</w:t>
      </w:r>
      <w:r w:rsidR="00AF0A0D">
        <w:rPr>
          <w:rFonts w:ascii="Verdana" w:hAnsi="Verdana"/>
          <w:sz w:val="22"/>
          <w:szCs w:val="22"/>
        </w:rPr>
        <w:t xml:space="preserve"> </w:t>
      </w:r>
      <w:r w:rsidRPr="00AF0A0D" w:rsidR="00C633C3">
        <w:rPr>
          <w:rFonts w:ascii="Verdana" w:hAnsi="Verdana"/>
          <w:sz w:val="22"/>
          <w:szCs w:val="22"/>
        </w:rPr>
        <w:t>January 2026 with a continuation of fluctuating trends</w:t>
      </w:r>
      <w:r w:rsidRPr="00AF0A0D" w:rsidR="00E515FC">
        <w:rPr>
          <w:rFonts w:ascii="Verdana" w:hAnsi="Verdana"/>
          <w:sz w:val="22"/>
          <w:szCs w:val="22"/>
        </w:rPr>
        <w:t>.</w:t>
      </w:r>
      <w:r w:rsidRPr="00AF0A0D" w:rsidR="00753716">
        <w:rPr>
          <w:rFonts w:ascii="Verdana" w:hAnsi="Verdana"/>
          <w:sz w:val="22"/>
          <w:szCs w:val="22"/>
        </w:rPr>
        <w:t xml:space="preserve">  </w:t>
      </w:r>
      <w:r w:rsidRPr="00AF0A0D" w:rsidR="004E3D9A">
        <w:rPr>
          <w:rFonts w:ascii="Verdana" w:hAnsi="Verdana"/>
          <w:sz w:val="22"/>
          <w:szCs w:val="22"/>
        </w:rPr>
        <w:t>How</w:t>
      </w:r>
      <w:r w:rsidRPr="00AF0A0D" w:rsidR="003B1231">
        <w:rPr>
          <w:rFonts w:ascii="Verdana" w:hAnsi="Verdana"/>
          <w:sz w:val="22"/>
          <w:szCs w:val="22"/>
        </w:rPr>
        <w:t>ever</w:t>
      </w:r>
      <w:r w:rsidRPr="00AF0A0D" w:rsidR="00415170">
        <w:rPr>
          <w:rFonts w:ascii="Verdana" w:hAnsi="Verdana"/>
          <w:sz w:val="22"/>
          <w:szCs w:val="22"/>
        </w:rPr>
        <w:t>,</w:t>
      </w:r>
      <w:r w:rsidRPr="00AF0A0D" w:rsidR="003B1231">
        <w:rPr>
          <w:rFonts w:ascii="Verdana" w:hAnsi="Verdana"/>
          <w:sz w:val="22"/>
          <w:szCs w:val="22"/>
        </w:rPr>
        <w:t xml:space="preserve"> </w:t>
      </w:r>
      <w:r w:rsidRPr="00AF0A0D" w:rsidR="009E3AAB">
        <w:rPr>
          <w:rFonts w:ascii="Verdana" w:hAnsi="Verdana"/>
          <w:sz w:val="22"/>
          <w:szCs w:val="22"/>
        </w:rPr>
        <w:t xml:space="preserve">it </w:t>
      </w:r>
      <w:r w:rsidRPr="00AF0A0D" w:rsidR="00F0590A">
        <w:rPr>
          <w:rFonts w:ascii="Verdana" w:hAnsi="Verdana"/>
          <w:sz w:val="22"/>
          <w:szCs w:val="22"/>
        </w:rPr>
        <w:t>does not appear to show a consistent or sustained growth in consumer</w:t>
      </w:r>
      <w:r w:rsidR="00AF0A0D">
        <w:rPr>
          <w:rFonts w:ascii="Verdana" w:hAnsi="Verdana"/>
          <w:sz w:val="22"/>
          <w:szCs w:val="22"/>
        </w:rPr>
        <w:t xml:space="preserve"> </w:t>
      </w:r>
      <w:r w:rsidRPr="00AF0A0D" w:rsidR="00F0590A">
        <w:rPr>
          <w:rFonts w:ascii="Verdana" w:hAnsi="Verdana"/>
          <w:sz w:val="22"/>
          <w:szCs w:val="22"/>
        </w:rPr>
        <w:t xml:space="preserve">engagement over the 21 months of data. </w:t>
      </w:r>
      <w:r w:rsidRPr="00AF0A0D" w:rsidR="00DF1FD2">
        <w:rPr>
          <w:rFonts w:ascii="Verdana" w:hAnsi="Verdana"/>
          <w:sz w:val="22"/>
          <w:szCs w:val="22"/>
        </w:rPr>
        <w:t>As p</w:t>
      </w:r>
      <w:r w:rsidRPr="00AF0A0D" w:rsidR="00310FC8">
        <w:rPr>
          <w:rFonts w:ascii="Verdana" w:hAnsi="Verdana"/>
          <w:sz w:val="22"/>
          <w:szCs w:val="22"/>
        </w:rPr>
        <w:t>art of thi</w:t>
      </w:r>
      <w:r w:rsidRPr="00AF0A0D" w:rsidR="00507134">
        <w:rPr>
          <w:rFonts w:ascii="Verdana" w:hAnsi="Verdana"/>
          <w:sz w:val="22"/>
          <w:szCs w:val="22"/>
        </w:rPr>
        <w:t xml:space="preserve">s work </w:t>
      </w:r>
      <w:r w:rsidRPr="00AF0A0D" w:rsidR="00E6431E">
        <w:rPr>
          <w:rFonts w:ascii="Verdana" w:hAnsi="Verdana"/>
          <w:sz w:val="22"/>
          <w:szCs w:val="22"/>
        </w:rPr>
        <w:t>t</w:t>
      </w:r>
      <w:r w:rsidRPr="00AF0A0D" w:rsidR="00F0590A">
        <w:rPr>
          <w:rFonts w:ascii="Verdana" w:hAnsi="Verdana"/>
          <w:sz w:val="22"/>
          <w:szCs w:val="22"/>
        </w:rPr>
        <w:t>he team have explored the effects of seasonality and changes in VPN use as well and neither suggest persistent growth.</w:t>
      </w:r>
    </w:p>
    <w:p w:rsidR="00A9796C" w:rsidRPr="00AF0A0D" w:rsidP="00F0590A">
      <w:pPr>
        <w:pStyle w:val="ListParagraph"/>
        <w:numPr>
          <w:ilvl w:val="0"/>
          <w:numId w:val="9"/>
        </w:numPr>
        <w:spacing w:after="0" w:line="240" w:lineRule="auto"/>
        <w:rPr>
          <w:rFonts w:ascii="Verdana" w:hAnsi="Verdana"/>
          <w:sz w:val="22"/>
          <w:szCs w:val="22"/>
        </w:rPr>
      </w:pPr>
      <w:r w:rsidRPr="00AF0A0D">
        <w:rPr>
          <w:rFonts w:ascii="Verdana" w:hAnsi="Verdana"/>
          <w:sz w:val="22"/>
          <w:szCs w:val="22"/>
        </w:rPr>
        <w:t>It</w:t>
      </w:r>
      <w:r w:rsidRPr="00AF0A0D" w:rsidR="00F352B7">
        <w:rPr>
          <w:rFonts w:ascii="Verdana" w:hAnsi="Verdana"/>
          <w:sz w:val="22"/>
          <w:szCs w:val="22"/>
        </w:rPr>
        <w:t xml:space="preserve"> i</w:t>
      </w:r>
      <w:r w:rsidRPr="00AF0A0D">
        <w:rPr>
          <w:rFonts w:ascii="Verdana" w:hAnsi="Verdana"/>
          <w:sz w:val="22"/>
          <w:szCs w:val="22"/>
        </w:rPr>
        <w:t>s always important not to over rely on data from a single source to tell the whole story on a topic as complex as illegal gambling. As a result</w:t>
      </w:r>
      <w:r w:rsidRPr="00AF0A0D" w:rsidR="00B91BD9">
        <w:rPr>
          <w:rFonts w:ascii="Verdana" w:hAnsi="Verdana"/>
          <w:sz w:val="22"/>
          <w:szCs w:val="22"/>
        </w:rPr>
        <w:t>,</w:t>
      </w:r>
      <w:r w:rsidRPr="00AF0A0D">
        <w:rPr>
          <w:rFonts w:ascii="Verdana" w:hAnsi="Verdana"/>
          <w:sz w:val="22"/>
          <w:szCs w:val="22"/>
        </w:rPr>
        <w:t xml:space="preserve"> we will continue to work on improvements to our methodology and – alongside gaining </w:t>
      </w:r>
    </w:p>
    <w:p w:rsidR="00C633C3" w:rsidRPr="00AF0A0D" w:rsidP="00A9796C">
      <w:pPr>
        <w:pStyle w:val="ListParagraph"/>
        <w:spacing w:after="0" w:line="240" w:lineRule="auto"/>
        <w:rPr>
          <w:rFonts w:ascii="Verdana" w:hAnsi="Verdana"/>
          <w:sz w:val="22"/>
          <w:szCs w:val="22"/>
        </w:rPr>
      </w:pPr>
      <w:r w:rsidRPr="00AF0A0D">
        <w:rPr>
          <w:rFonts w:ascii="Verdana" w:hAnsi="Verdana"/>
          <w:sz w:val="22"/>
          <w:szCs w:val="22"/>
        </w:rPr>
        <w:t>more insight from our own research – will continue to seek input from other international regulators and licensed operators. This will help verify and improve the existing data sources and identify additional datasets which can be used to improve understanding of the illegal market.</w:t>
      </w:r>
    </w:p>
    <w:p w:rsidR="00C679A2" w:rsidRPr="00AF0A0D" w:rsidP="00A87A81">
      <w:pPr>
        <w:spacing w:after="0" w:line="240" w:lineRule="auto"/>
        <w:rPr>
          <w:rFonts w:ascii="Verdana" w:hAnsi="Verdana"/>
          <w:sz w:val="22"/>
          <w:szCs w:val="22"/>
        </w:rPr>
      </w:pPr>
    </w:p>
    <w:p w:rsidR="00D3385D" w:rsidRPr="00AF0A0D" w:rsidP="00806544">
      <w:pPr>
        <w:spacing w:after="0" w:line="240" w:lineRule="auto"/>
        <w:rPr>
          <w:rFonts w:ascii="Verdana" w:hAnsi="Verdana"/>
          <w:sz w:val="22"/>
          <w:szCs w:val="22"/>
        </w:rPr>
      </w:pPr>
      <w:r w:rsidRPr="00AF0A0D">
        <w:rPr>
          <w:rFonts w:ascii="Verdana" w:hAnsi="Verdana"/>
          <w:sz w:val="22"/>
          <w:szCs w:val="22"/>
        </w:rPr>
        <w:t>Th</w:t>
      </w:r>
      <w:r w:rsidRPr="00AF0A0D" w:rsidR="00E26141">
        <w:rPr>
          <w:rFonts w:ascii="Verdana" w:hAnsi="Verdana"/>
          <w:sz w:val="22"/>
          <w:szCs w:val="22"/>
        </w:rPr>
        <w:t>ank yo</w:t>
      </w:r>
      <w:r w:rsidRPr="00AF0A0D" w:rsidR="00135D9D">
        <w:rPr>
          <w:rFonts w:ascii="Verdana" w:hAnsi="Verdana"/>
          <w:sz w:val="22"/>
          <w:szCs w:val="22"/>
        </w:rPr>
        <w:t xml:space="preserve">u </w:t>
      </w:r>
      <w:r w:rsidRPr="00AF0A0D" w:rsidR="00820D20">
        <w:rPr>
          <w:rFonts w:ascii="Verdana" w:hAnsi="Verdana"/>
          <w:sz w:val="22"/>
          <w:szCs w:val="22"/>
        </w:rPr>
        <w:t>again fo</w:t>
      </w:r>
      <w:r w:rsidRPr="00AF0A0D" w:rsidR="0046740D">
        <w:rPr>
          <w:rFonts w:ascii="Verdana" w:hAnsi="Verdana"/>
          <w:sz w:val="22"/>
          <w:szCs w:val="22"/>
        </w:rPr>
        <w:t>r g</w:t>
      </w:r>
      <w:r w:rsidRPr="00AF0A0D" w:rsidR="003E24F1">
        <w:rPr>
          <w:rFonts w:ascii="Verdana" w:hAnsi="Verdana"/>
          <w:sz w:val="22"/>
          <w:szCs w:val="22"/>
        </w:rPr>
        <w:t xml:space="preserve">iving the </w:t>
      </w:r>
      <w:r w:rsidRPr="00AF0A0D" w:rsidR="006660F9">
        <w:rPr>
          <w:rFonts w:ascii="Verdana" w:hAnsi="Verdana"/>
          <w:sz w:val="22"/>
          <w:szCs w:val="22"/>
        </w:rPr>
        <w:t xml:space="preserve">Commission </w:t>
      </w:r>
      <w:r w:rsidRPr="00AF0A0D" w:rsidR="00733779">
        <w:rPr>
          <w:rFonts w:ascii="Verdana" w:hAnsi="Verdana"/>
          <w:sz w:val="22"/>
          <w:szCs w:val="22"/>
        </w:rPr>
        <w:t xml:space="preserve">the opportunity </w:t>
      </w:r>
      <w:r w:rsidRPr="00AF0A0D" w:rsidR="00787F24">
        <w:rPr>
          <w:rFonts w:ascii="Verdana" w:hAnsi="Verdana"/>
          <w:sz w:val="22"/>
          <w:szCs w:val="22"/>
        </w:rPr>
        <w:t>to give ev</w:t>
      </w:r>
      <w:r w:rsidRPr="00AF0A0D" w:rsidR="00E44F9B">
        <w:rPr>
          <w:rFonts w:ascii="Verdana" w:hAnsi="Verdana"/>
          <w:sz w:val="22"/>
          <w:szCs w:val="22"/>
        </w:rPr>
        <w:t xml:space="preserve">idence </w:t>
      </w:r>
      <w:r w:rsidRPr="00AF0A0D" w:rsidR="006E3F59">
        <w:rPr>
          <w:rFonts w:ascii="Verdana" w:hAnsi="Verdana"/>
          <w:sz w:val="22"/>
          <w:szCs w:val="22"/>
        </w:rPr>
        <w:t>to th</w:t>
      </w:r>
      <w:r w:rsidRPr="00AF0A0D" w:rsidR="00AC15EF">
        <w:rPr>
          <w:rFonts w:ascii="Verdana" w:hAnsi="Verdana"/>
          <w:sz w:val="22"/>
          <w:szCs w:val="22"/>
        </w:rPr>
        <w:t>e Lia</w:t>
      </w:r>
      <w:r w:rsidRPr="00AF0A0D" w:rsidR="00DE1EF7">
        <w:rPr>
          <w:rFonts w:ascii="Verdana" w:hAnsi="Verdana"/>
          <w:sz w:val="22"/>
          <w:szCs w:val="22"/>
        </w:rPr>
        <w:t>iso</w:t>
      </w:r>
      <w:r w:rsidRPr="00AF0A0D" w:rsidR="007E4972">
        <w:rPr>
          <w:rFonts w:ascii="Verdana" w:hAnsi="Verdana"/>
          <w:sz w:val="22"/>
          <w:szCs w:val="22"/>
        </w:rPr>
        <w:t>n Comm</w:t>
      </w:r>
      <w:r w:rsidRPr="00AF0A0D" w:rsidR="00884A83">
        <w:rPr>
          <w:rFonts w:ascii="Verdana" w:hAnsi="Verdana"/>
          <w:sz w:val="22"/>
          <w:szCs w:val="22"/>
        </w:rPr>
        <w:t xml:space="preserve">ittee </w:t>
      </w:r>
      <w:r w:rsidRPr="00AF0A0D" w:rsidR="002756CA">
        <w:rPr>
          <w:rFonts w:ascii="Verdana" w:hAnsi="Verdana"/>
          <w:sz w:val="22"/>
          <w:szCs w:val="22"/>
        </w:rPr>
        <w:t>i</w:t>
      </w:r>
      <w:r w:rsidRPr="00AF0A0D" w:rsidR="008E559A">
        <w:rPr>
          <w:rFonts w:ascii="Verdana" w:hAnsi="Verdana"/>
          <w:sz w:val="22"/>
          <w:szCs w:val="22"/>
        </w:rPr>
        <w:t xml:space="preserve">n your </w:t>
      </w:r>
      <w:r w:rsidRPr="00AF0A0D" w:rsidR="00951D4E">
        <w:rPr>
          <w:rFonts w:ascii="Verdana" w:hAnsi="Verdana" w:eastAsiaTheme="minorEastAsia"/>
          <w:sz w:val="22"/>
          <w:szCs w:val="22"/>
        </w:rPr>
        <w:t>inquiry regarding the 2020 report on the Social and Economic Impact of the Gambling Industry</w:t>
      </w:r>
      <w:r w:rsidRPr="00AF0A0D" w:rsidR="00975BC3">
        <w:rPr>
          <w:rFonts w:ascii="Verdana" w:hAnsi="Verdana" w:eastAsiaTheme="minorEastAsia"/>
          <w:sz w:val="22"/>
          <w:szCs w:val="22"/>
        </w:rPr>
        <w:t>.</w:t>
      </w:r>
      <w:r w:rsidRPr="00AF0A0D" w:rsidR="00953C33">
        <w:rPr>
          <w:rFonts w:ascii="Verdana" w:hAnsi="Verdana" w:eastAsiaTheme="minorEastAsia"/>
          <w:sz w:val="22"/>
          <w:szCs w:val="22"/>
        </w:rPr>
        <w:t xml:space="preserve">  Thank</w:t>
      </w:r>
      <w:r w:rsidRPr="00AF0A0D" w:rsidR="00793E38">
        <w:rPr>
          <w:rFonts w:ascii="Verdana" w:hAnsi="Verdana" w:eastAsiaTheme="minorEastAsia"/>
          <w:sz w:val="22"/>
          <w:szCs w:val="22"/>
        </w:rPr>
        <w:t xml:space="preserve"> you al</w:t>
      </w:r>
      <w:r w:rsidRPr="00AF0A0D" w:rsidR="000A0B5D">
        <w:rPr>
          <w:rFonts w:ascii="Verdana" w:hAnsi="Verdana" w:eastAsiaTheme="minorEastAsia"/>
          <w:sz w:val="22"/>
          <w:szCs w:val="22"/>
        </w:rPr>
        <w:t xml:space="preserve">so for </w:t>
      </w:r>
      <w:r w:rsidRPr="00AF0A0D" w:rsidR="00D9546A">
        <w:rPr>
          <w:rFonts w:ascii="Verdana" w:hAnsi="Verdana" w:eastAsiaTheme="minorEastAsia"/>
          <w:sz w:val="22"/>
          <w:szCs w:val="22"/>
        </w:rPr>
        <w:t>giving u</w:t>
      </w:r>
      <w:r w:rsidRPr="00AF0A0D" w:rsidR="00D85963">
        <w:rPr>
          <w:rFonts w:ascii="Verdana" w:hAnsi="Verdana" w:eastAsiaTheme="minorEastAsia"/>
          <w:sz w:val="22"/>
          <w:szCs w:val="22"/>
        </w:rPr>
        <w:t>s the opp</w:t>
      </w:r>
      <w:r w:rsidRPr="00AF0A0D" w:rsidR="00784895">
        <w:rPr>
          <w:rFonts w:ascii="Verdana" w:hAnsi="Verdana" w:eastAsiaTheme="minorEastAsia"/>
          <w:sz w:val="22"/>
          <w:szCs w:val="22"/>
        </w:rPr>
        <w:t>ortunity</w:t>
      </w:r>
      <w:r w:rsidRPr="00AF0A0D" w:rsidR="006A3D59">
        <w:rPr>
          <w:rFonts w:ascii="Verdana" w:hAnsi="Verdana" w:eastAsiaTheme="minorEastAsia"/>
          <w:sz w:val="22"/>
          <w:szCs w:val="22"/>
        </w:rPr>
        <w:t xml:space="preserve"> to </w:t>
      </w:r>
      <w:r w:rsidRPr="00AF0A0D" w:rsidR="005832FF">
        <w:rPr>
          <w:rFonts w:ascii="Verdana" w:hAnsi="Verdana" w:eastAsiaTheme="minorEastAsia"/>
          <w:sz w:val="22"/>
          <w:szCs w:val="22"/>
        </w:rPr>
        <w:t>resp</w:t>
      </w:r>
      <w:r w:rsidRPr="00AF0A0D" w:rsidR="00133A80">
        <w:rPr>
          <w:rFonts w:ascii="Verdana" w:hAnsi="Verdana" w:eastAsiaTheme="minorEastAsia"/>
          <w:sz w:val="22"/>
          <w:szCs w:val="22"/>
        </w:rPr>
        <w:t>ond to</w:t>
      </w:r>
      <w:r w:rsidRPr="00AF0A0D" w:rsidR="005E7E08">
        <w:rPr>
          <w:rFonts w:ascii="Verdana" w:hAnsi="Verdana" w:eastAsiaTheme="minorEastAsia"/>
          <w:sz w:val="22"/>
          <w:szCs w:val="22"/>
        </w:rPr>
        <w:t xml:space="preserve"> the sup</w:t>
      </w:r>
      <w:r w:rsidRPr="00AF0A0D" w:rsidR="0011527A">
        <w:rPr>
          <w:rFonts w:ascii="Verdana" w:hAnsi="Verdana" w:eastAsiaTheme="minorEastAsia"/>
          <w:sz w:val="22"/>
          <w:szCs w:val="22"/>
        </w:rPr>
        <w:t>plemen</w:t>
      </w:r>
      <w:r w:rsidRPr="00AF0A0D" w:rsidR="0086361C">
        <w:rPr>
          <w:rFonts w:ascii="Verdana" w:hAnsi="Verdana" w:eastAsiaTheme="minorEastAsia"/>
          <w:sz w:val="22"/>
          <w:szCs w:val="22"/>
        </w:rPr>
        <w:t>tary evi</w:t>
      </w:r>
      <w:r w:rsidRPr="00AF0A0D" w:rsidR="003C2F5E">
        <w:rPr>
          <w:rFonts w:ascii="Verdana" w:hAnsi="Verdana" w:eastAsiaTheme="minorEastAsia"/>
          <w:sz w:val="22"/>
          <w:szCs w:val="22"/>
        </w:rPr>
        <w:t xml:space="preserve">dence </w:t>
      </w:r>
      <w:r w:rsidRPr="00AF0A0D" w:rsidR="00053419">
        <w:rPr>
          <w:rFonts w:ascii="Verdana" w:hAnsi="Verdana" w:eastAsiaTheme="minorEastAsia"/>
          <w:sz w:val="22"/>
          <w:szCs w:val="22"/>
        </w:rPr>
        <w:t xml:space="preserve">that </w:t>
      </w:r>
      <w:r w:rsidRPr="00AF0A0D" w:rsidR="004D2D6D">
        <w:rPr>
          <w:rFonts w:ascii="Verdana" w:hAnsi="Verdana" w:eastAsiaTheme="minorEastAsia"/>
          <w:sz w:val="22"/>
          <w:szCs w:val="22"/>
        </w:rPr>
        <w:t>the Comm</w:t>
      </w:r>
      <w:r w:rsidRPr="00AF0A0D" w:rsidR="00807E77">
        <w:rPr>
          <w:rFonts w:ascii="Verdana" w:hAnsi="Verdana" w:eastAsiaTheme="minorEastAsia"/>
          <w:sz w:val="22"/>
          <w:szCs w:val="22"/>
        </w:rPr>
        <w:t>ittee re</w:t>
      </w:r>
      <w:r w:rsidRPr="00AF0A0D" w:rsidR="009211DD">
        <w:rPr>
          <w:rFonts w:ascii="Verdana" w:hAnsi="Verdana" w:eastAsiaTheme="minorEastAsia"/>
          <w:sz w:val="22"/>
          <w:szCs w:val="22"/>
        </w:rPr>
        <w:t>ceived.</w:t>
      </w:r>
    </w:p>
    <w:p w:rsidR="004218F7" w:rsidRPr="00AF0A0D" w:rsidP="00806544">
      <w:pPr>
        <w:spacing w:after="0" w:line="240" w:lineRule="auto"/>
        <w:rPr>
          <w:rFonts w:ascii="Verdana" w:hAnsi="Verdana" w:eastAsiaTheme="minorEastAsia"/>
          <w:sz w:val="22"/>
          <w:szCs w:val="22"/>
        </w:rPr>
      </w:pPr>
    </w:p>
    <w:p w:rsidR="004218F7" w:rsidRPr="00AF0A0D" w:rsidP="00806544">
      <w:pPr>
        <w:spacing w:after="0" w:line="240" w:lineRule="auto"/>
        <w:rPr>
          <w:rFonts w:ascii="Verdana" w:hAnsi="Verdana" w:eastAsiaTheme="minorEastAsia"/>
          <w:sz w:val="22"/>
          <w:szCs w:val="22"/>
        </w:rPr>
      </w:pPr>
      <w:r w:rsidRPr="00AF0A0D">
        <w:rPr>
          <w:rFonts w:ascii="Verdana" w:hAnsi="Verdana" w:eastAsiaTheme="minorEastAsia"/>
          <w:sz w:val="22"/>
          <w:szCs w:val="22"/>
        </w:rPr>
        <w:t xml:space="preserve">Should </w:t>
      </w:r>
      <w:r w:rsidRPr="00AF0A0D" w:rsidR="00C86B5C">
        <w:rPr>
          <w:rFonts w:ascii="Verdana" w:hAnsi="Verdana" w:eastAsiaTheme="minorEastAsia"/>
          <w:sz w:val="22"/>
          <w:szCs w:val="22"/>
        </w:rPr>
        <w:t xml:space="preserve">you have </w:t>
      </w:r>
      <w:r w:rsidRPr="00AF0A0D" w:rsidR="000F52A4">
        <w:rPr>
          <w:rFonts w:ascii="Verdana" w:hAnsi="Verdana" w:eastAsiaTheme="minorEastAsia"/>
          <w:sz w:val="22"/>
          <w:szCs w:val="22"/>
        </w:rPr>
        <w:t xml:space="preserve">any more </w:t>
      </w:r>
      <w:r w:rsidRPr="00AF0A0D" w:rsidR="002E214D">
        <w:rPr>
          <w:rFonts w:ascii="Verdana" w:hAnsi="Verdana" w:eastAsiaTheme="minorEastAsia"/>
          <w:sz w:val="22"/>
          <w:szCs w:val="22"/>
        </w:rPr>
        <w:t xml:space="preserve">questions </w:t>
      </w:r>
      <w:r w:rsidRPr="00AF0A0D" w:rsidR="00C97C19">
        <w:rPr>
          <w:rFonts w:ascii="Verdana" w:hAnsi="Verdana" w:eastAsiaTheme="minorEastAsia"/>
          <w:sz w:val="22"/>
          <w:szCs w:val="22"/>
        </w:rPr>
        <w:t>for the</w:t>
      </w:r>
      <w:r w:rsidRPr="00AF0A0D" w:rsidR="00A41513">
        <w:rPr>
          <w:rFonts w:ascii="Verdana" w:hAnsi="Verdana" w:eastAsiaTheme="minorEastAsia"/>
          <w:sz w:val="22"/>
          <w:szCs w:val="22"/>
        </w:rPr>
        <w:t xml:space="preserve"> Gamb</w:t>
      </w:r>
      <w:r w:rsidRPr="00AF0A0D" w:rsidR="00A57070">
        <w:rPr>
          <w:rFonts w:ascii="Verdana" w:hAnsi="Verdana" w:eastAsiaTheme="minorEastAsia"/>
          <w:sz w:val="22"/>
          <w:szCs w:val="22"/>
        </w:rPr>
        <w:t>ling Com</w:t>
      </w:r>
      <w:r w:rsidRPr="00AF0A0D" w:rsidR="004D1943">
        <w:rPr>
          <w:rFonts w:ascii="Verdana" w:hAnsi="Verdana" w:eastAsiaTheme="minorEastAsia"/>
          <w:sz w:val="22"/>
          <w:szCs w:val="22"/>
        </w:rPr>
        <w:t>missio</w:t>
      </w:r>
      <w:r w:rsidRPr="00AF0A0D" w:rsidR="0092400D">
        <w:rPr>
          <w:rFonts w:ascii="Verdana" w:hAnsi="Verdana" w:eastAsiaTheme="minorEastAsia"/>
          <w:sz w:val="22"/>
          <w:szCs w:val="22"/>
        </w:rPr>
        <w:t xml:space="preserve">n, </w:t>
      </w:r>
      <w:r w:rsidRPr="00AF0A0D" w:rsidR="007B64F0">
        <w:rPr>
          <w:rFonts w:ascii="Verdana" w:hAnsi="Verdana" w:eastAsiaTheme="minorEastAsia"/>
          <w:sz w:val="22"/>
          <w:szCs w:val="22"/>
        </w:rPr>
        <w:t xml:space="preserve">please </w:t>
      </w:r>
      <w:r w:rsidRPr="00AF0A0D" w:rsidR="00310A82">
        <w:rPr>
          <w:rFonts w:ascii="Verdana" w:hAnsi="Verdana" w:eastAsiaTheme="minorEastAsia"/>
          <w:sz w:val="22"/>
          <w:szCs w:val="22"/>
        </w:rPr>
        <w:t>do not h</w:t>
      </w:r>
      <w:r w:rsidRPr="00AF0A0D" w:rsidR="00E17326">
        <w:rPr>
          <w:rFonts w:ascii="Verdana" w:hAnsi="Verdana" w:eastAsiaTheme="minorEastAsia"/>
          <w:sz w:val="22"/>
          <w:szCs w:val="22"/>
        </w:rPr>
        <w:t xml:space="preserve">esitate to </w:t>
      </w:r>
      <w:r w:rsidRPr="00AF0A0D" w:rsidR="001728CC">
        <w:rPr>
          <w:rFonts w:ascii="Verdana" w:hAnsi="Verdana" w:eastAsiaTheme="minorEastAsia"/>
          <w:sz w:val="22"/>
          <w:szCs w:val="22"/>
        </w:rPr>
        <w:t xml:space="preserve">contact </w:t>
      </w:r>
      <w:r w:rsidRPr="00AF0A0D" w:rsidR="00237588">
        <w:rPr>
          <w:rFonts w:ascii="Verdana" w:hAnsi="Verdana" w:eastAsiaTheme="minorEastAsia"/>
          <w:sz w:val="22"/>
          <w:szCs w:val="22"/>
        </w:rPr>
        <w:t>the Commis</w:t>
      </w:r>
      <w:r w:rsidRPr="00AF0A0D" w:rsidR="00870B8A">
        <w:rPr>
          <w:rFonts w:ascii="Verdana" w:hAnsi="Verdana" w:eastAsiaTheme="minorEastAsia"/>
          <w:sz w:val="22"/>
          <w:szCs w:val="22"/>
        </w:rPr>
        <w:t>sion again</w:t>
      </w:r>
      <w:r w:rsidRPr="00AF0A0D" w:rsidR="00A93BB2">
        <w:rPr>
          <w:rFonts w:ascii="Verdana" w:hAnsi="Verdana" w:eastAsiaTheme="minorEastAsia"/>
          <w:sz w:val="22"/>
          <w:szCs w:val="22"/>
        </w:rPr>
        <w:t>.</w:t>
      </w:r>
    </w:p>
    <w:p w:rsidR="00572069" w:rsidRPr="00AF0A0D" w:rsidP="00806544">
      <w:pPr>
        <w:spacing w:after="0" w:line="240" w:lineRule="auto"/>
        <w:rPr>
          <w:rFonts w:ascii="Verdana" w:hAnsi="Verdana"/>
          <w:sz w:val="22"/>
          <w:szCs w:val="22"/>
        </w:rPr>
      </w:pPr>
    </w:p>
    <w:p w:rsidR="00AF0A0D" w:rsidRPr="00CA40EA" w:rsidP="00806544">
      <w:pPr>
        <w:spacing w:after="0" w:line="240" w:lineRule="auto"/>
        <w:rPr>
          <w:rFonts w:ascii="Verdana" w:hAnsi="Verdana" w:eastAsiaTheme="minorEastAsia"/>
          <w:i/>
          <w:iCs/>
          <w:sz w:val="22"/>
          <w:szCs w:val="22"/>
          <w:lang w:eastAsia="en-GB"/>
        </w:rPr>
      </w:pPr>
      <w:r>
        <w:rPr>
          <w:rFonts w:ascii="Verdana" w:hAnsi="Verdana" w:eastAsiaTheme="minorEastAsia"/>
          <w:i/>
          <w:iCs/>
          <w:sz w:val="22"/>
          <w:szCs w:val="22"/>
          <w:lang w:eastAsia="en-GB"/>
        </w:rPr>
        <w:t>June 2026</w:t>
      </w:r>
    </w:p>
    <w:sectPr w:rsidSect="00977B8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297619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D0E878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30C80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783BFE"/>
    <w:lvl w:ilvl="0">
      <w:start w:val="1"/>
      <w:numFmt w:val="decimal"/>
      <w:pStyle w:val="ListNumber2"/>
      <w:lvlText w:val="%1."/>
      <w:lvlJc w:val="left"/>
      <w:pPr>
        <w:tabs>
          <w:tab w:val="num" w:pos="643"/>
        </w:tabs>
        <w:ind w:left="643" w:hanging="360"/>
      </w:pPr>
    </w:lvl>
  </w:abstractNum>
  <w:abstractNum w:abstractNumId="4">
    <w:nsid w:val="FFFFFF80"/>
    <w:multiLevelType w:val="singleLevel"/>
    <w:tmpl w:val="201A0AA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398C5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C20956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7F298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242F94"/>
    <w:lvl w:ilvl="0">
      <w:start w:val="1"/>
      <w:numFmt w:val="decimal"/>
      <w:pStyle w:val="ListNumber"/>
      <w:lvlText w:val="%1."/>
      <w:lvlJc w:val="left"/>
      <w:pPr>
        <w:tabs>
          <w:tab w:val="num" w:pos="360"/>
        </w:tabs>
        <w:ind w:left="360" w:hanging="360"/>
      </w:pPr>
    </w:lvl>
  </w:abstractNum>
  <w:abstractNum w:abstractNumId="9">
    <w:nsid w:val="FFFFFF89"/>
    <w:multiLevelType w:val="singleLevel"/>
    <w:tmpl w:val="BBA652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657D77"/>
    <w:multiLevelType w:val="multilevel"/>
    <w:tmpl w:val="86E438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A5D4BE6"/>
    <w:multiLevelType w:val="multilevel"/>
    <w:tmpl w:val="F43E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E1636"/>
    <w:multiLevelType w:val="multilevel"/>
    <w:tmpl w:val="145ECC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53D859B"/>
    <w:multiLevelType w:val="hybridMultilevel"/>
    <w:tmpl w:val="A850A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1BF25A3"/>
    <w:multiLevelType w:val="multilevel"/>
    <w:tmpl w:val="145ECC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1AD16D8"/>
    <w:multiLevelType w:val="multilevel"/>
    <w:tmpl w:val="2606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7DCEB2"/>
    <w:multiLevelType w:val="multilevel"/>
    <w:tmpl w:val="145ECC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E8311C2"/>
    <w:multiLevelType w:val="hybridMultilevel"/>
    <w:tmpl w:val="C27A7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C7584A1"/>
    <w:multiLevelType w:val="hybridMultilevel"/>
    <w:tmpl w:val="3F32E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15"/>
  </w:num>
  <w:num w:numId="5">
    <w:abstractNumId w:val="11"/>
  </w:num>
  <w:num w:numId="6">
    <w:abstractNumId w:val="10"/>
  </w:num>
  <w:num w:numId="7">
    <w:abstractNumId w:val="16"/>
  </w:num>
  <w:num w:numId="8">
    <w:abstractNumId w:val="14"/>
  </w:num>
  <w:num w:numId="9">
    <w:abstractNumId w:val="12"/>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77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B8F"/>
    <w:rPr>
      <w:rFonts w:eastAsiaTheme="majorEastAsia" w:cstheme="majorBidi"/>
      <w:color w:val="272727" w:themeColor="text1" w:themeTint="D8"/>
    </w:rPr>
  </w:style>
  <w:style w:type="paragraph" w:styleId="Title">
    <w:name w:val="Title"/>
    <w:basedOn w:val="Normal"/>
    <w:next w:val="Normal"/>
    <w:link w:val="TitleChar"/>
    <w:uiPriority w:val="10"/>
    <w:qFormat/>
    <w:rsid w:val="00977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B8F"/>
    <w:pPr>
      <w:spacing w:before="160"/>
      <w:jc w:val="center"/>
    </w:pPr>
    <w:rPr>
      <w:i/>
      <w:iCs/>
      <w:color w:val="404040" w:themeColor="text1" w:themeTint="BF"/>
    </w:rPr>
  </w:style>
  <w:style w:type="character" w:customStyle="1" w:styleId="QuoteChar">
    <w:name w:val="Quote Char"/>
    <w:basedOn w:val="DefaultParagraphFont"/>
    <w:link w:val="Quote"/>
    <w:uiPriority w:val="29"/>
    <w:rsid w:val="00977B8F"/>
    <w:rPr>
      <w:i/>
      <w:iCs/>
      <w:color w:val="404040" w:themeColor="text1" w:themeTint="BF"/>
    </w:rPr>
  </w:style>
  <w:style w:type="paragraph" w:styleId="ListParagraph">
    <w:name w:val="List Paragraph"/>
    <w:basedOn w:val="Normal"/>
    <w:uiPriority w:val="34"/>
    <w:qFormat/>
    <w:rsid w:val="00977B8F"/>
    <w:pPr>
      <w:ind w:left="720"/>
      <w:contextualSpacing/>
    </w:pPr>
  </w:style>
  <w:style w:type="character" w:styleId="IntenseEmphasis">
    <w:name w:val="Intense Emphasis"/>
    <w:basedOn w:val="DefaultParagraphFont"/>
    <w:uiPriority w:val="21"/>
    <w:qFormat/>
    <w:rsid w:val="00977B8F"/>
    <w:rPr>
      <w:i/>
      <w:iCs/>
      <w:color w:val="0F4761" w:themeColor="accent1" w:themeShade="BF"/>
    </w:rPr>
  </w:style>
  <w:style w:type="paragraph" w:styleId="IntenseQuote">
    <w:name w:val="Intense Quote"/>
    <w:basedOn w:val="Normal"/>
    <w:next w:val="Normal"/>
    <w:link w:val="IntenseQuoteChar"/>
    <w:uiPriority w:val="30"/>
    <w:qFormat/>
    <w:rsid w:val="00977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B8F"/>
    <w:rPr>
      <w:i/>
      <w:iCs/>
      <w:color w:val="0F4761" w:themeColor="accent1" w:themeShade="BF"/>
    </w:rPr>
  </w:style>
  <w:style w:type="character" w:styleId="IntenseReference">
    <w:name w:val="Intense Reference"/>
    <w:basedOn w:val="DefaultParagraphFont"/>
    <w:uiPriority w:val="32"/>
    <w:qFormat/>
    <w:rsid w:val="00977B8F"/>
    <w:rPr>
      <w:b/>
      <w:bCs/>
      <w:smallCaps/>
      <w:color w:val="0F4761" w:themeColor="accent1" w:themeShade="BF"/>
      <w:spacing w:val="5"/>
    </w:rPr>
  </w:style>
  <w:style w:type="paragraph" w:styleId="Header">
    <w:name w:val="header"/>
    <w:basedOn w:val="Normal"/>
    <w:link w:val="HeaderChar"/>
    <w:uiPriority w:val="99"/>
    <w:unhideWhenUsed/>
    <w:rsid w:val="00977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B8F"/>
  </w:style>
  <w:style w:type="paragraph" w:styleId="Footer">
    <w:name w:val="footer"/>
    <w:basedOn w:val="Normal"/>
    <w:link w:val="FooterChar"/>
    <w:uiPriority w:val="99"/>
    <w:unhideWhenUsed/>
    <w:rsid w:val="00977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B8F"/>
  </w:style>
  <w:style w:type="character" w:styleId="Hyperlink">
    <w:name w:val="Hyperlink"/>
    <w:basedOn w:val="DefaultParagraphFont"/>
    <w:uiPriority w:val="99"/>
    <w:unhideWhenUsed/>
    <w:rsid w:val="00B82C53"/>
    <w:rPr>
      <w:color w:val="467886" w:themeColor="hyperlink"/>
      <w:u w:val="single"/>
    </w:rPr>
  </w:style>
  <w:style w:type="character" w:customStyle="1" w:styleId="UnresolvedMention">
    <w:name w:val="Unresolved Mention"/>
    <w:basedOn w:val="DefaultParagraphFont"/>
    <w:uiPriority w:val="99"/>
    <w:semiHidden/>
    <w:unhideWhenUsed/>
    <w:rsid w:val="00B82C53"/>
    <w:rPr>
      <w:color w:val="605E5C"/>
      <w:shd w:val="clear" w:color="auto" w:fill="E1DFDD"/>
    </w:rPr>
  </w:style>
  <w:style w:type="paragraph" w:customStyle="1" w:styleId="Maintext">
    <w:name w:val="Main text"/>
    <w:basedOn w:val="Normal"/>
    <w:uiPriority w:val="1"/>
    <w:rsid w:val="32002527"/>
    <w:pPr>
      <w:spacing w:after="0" w:line="240" w:lineRule="exact"/>
    </w:pPr>
    <w:rPr>
      <w:rFonts w:eastAsiaTheme="minorEastAsia"/>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D7EE8"/>
    <w:rPr>
      <w:b/>
      <w:bCs/>
    </w:rPr>
  </w:style>
  <w:style w:type="character" w:customStyle="1" w:styleId="CommentSubjectChar">
    <w:name w:val="Comment Subject Char"/>
    <w:basedOn w:val="CommentTextChar"/>
    <w:link w:val="CommentSubject"/>
    <w:uiPriority w:val="99"/>
    <w:semiHidden/>
    <w:rsid w:val="000D7EE8"/>
    <w:rPr>
      <w:b/>
      <w:bCs/>
      <w:sz w:val="20"/>
      <w:szCs w:val="20"/>
    </w:rPr>
  </w:style>
  <w:style w:type="paragraph" w:styleId="Revision">
    <w:name w:val="Revision"/>
    <w:hidden/>
    <w:uiPriority w:val="99"/>
    <w:semiHidden/>
    <w:rsid w:val="00D97766"/>
    <w:pPr>
      <w:spacing w:after="0" w:line="240" w:lineRule="auto"/>
    </w:pPr>
  </w:style>
  <w:style w:type="character" w:styleId="FollowedHyperlink">
    <w:name w:val="FollowedHyperlink"/>
    <w:basedOn w:val="DefaultParagraphFont"/>
    <w:uiPriority w:val="99"/>
    <w:semiHidden/>
    <w:unhideWhenUsed/>
    <w:rsid w:val="000863D5"/>
    <w:rPr>
      <w:color w:val="96607D" w:themeColor="followedHyperlink"/>
      <w:u w:val="single"/>
    </w:rPr>
  </w:style>
  <w:style w:type="character" w:customStyle="1" w:styleId="Mention">
    <w:name w:val="Mention"/>
    <w:basedOn w:val="DefaultParagraphFont"/>
    <w:uiPriority w:val="99"/>
    <w:unhideWhenUsed/>
    <w:rsid w:val="000A58C2"/>
    <w:rPr>
      <w:color w:val="2B579A"/>
      <w:shd w:val="clear" w:color="auto" w:fill="E1DFDD"/>
    </w:rPr>
  </w:style>
  <w:style w:type="character" w:customStyle="1" w:styleId="normaltextrun">
    <w:name w:val="normaltextrun"/>
    <w:basedOn w:val="DefaultParagraphFont"/>
    <w:rsid w:val="4537B6F2"/>
    <w:rPr>
      <w:rFonts w:asciiTheme="minorHAnsi" w:eastAsiaTheme="minorEastAsia" w:hAnsiTheme="minorHAnsi" w:cstheme="minorBidi"/>
      <w:sz w:val="24"/>
      <w:szCs w:val="24"/>
    </w:rPr>
  </w:style>
  <w:style w:type="character" w:customStyle="1" w:styleId="eop">
    <w:name w:val="eop"/>
    <w:basedOn w:val="DefaultParagraphFont"/>
    <w:rsid w:val="4537B6F2"/>
    <w:rPr>
      <w:rFonts w:asciiTheme="minorHAnsi" w:eastAsiaTheme="minorEastAsia" w:hAnsiTheme="minorHAnsi" w:cstheme="minorBidi"/>
      <w:sz w:val="24"/>
      <w:szCs w:val="24"/>
    </w:rPr>
  </w:style>
  <w:style w:type="paragraph" w:customStyle="1" w:styleId="paragraph">
    <w:name w:val="paragraph"/>
    <w:basedOn w:val="Normal"/>
    <w:uiPriority w:val="1"/>
    <w:rsid w:val="114FD7C4"/>
    <w:pPr>
      <w:spacing w:beforeAutospacing="1" w:afterAutospacing="1" w:line="240" w:lineRule="auto"/>
    </w:pPr>
    <w:rPr>
      <w:rFonts w:eastAsiaTheme="minorEastAsia"/>
      <w:lang w:eastAsia="en-GB"/>
    </w:rPr>
  </w:style>
  <w:style w:type="paragraph" w:styleId="BalloonText">
    <w:name w:val="Balloon Text"/>
    <w:basedOn w:val="Normal"/>
    <w:link w:val="BalloonTextChar"/>
    <w:uiPriority w:val="99"/>
    <w:semiHidden/>
    <w:unhideWhenUsed/>
    <w:rsid w:val="006A4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0CE"/>
    <w:rPr>
      <w:rFonts w:ascii="Segoe UI" w:hAnsi="Segoe UI" w:cs="Segoe UI"/>
      <w:sz w:val="18"/>
      <w:szCs w:val="18"/>
    </w:rPr>
  </w:style>
  <w:style w:type="paragraph" w:styleId="Bibliography">
    <w:name w:val="Bibliography"/>
    <w:basedOn w:val="Normal"/>
    <w:next w:val="Normal"/>
    <w:uiPriority w:val="37"/>
    <w:semiHidden/>
    <w:unhideWhenUsed/>
    <w:rsid w:val="006A40CE"/>
  </w:style>
  <w:style w:type="paragraph" w:styleId="BlockText">
    <w:name w:val="Block Text"/>
    <w:basedOn w:val="Normal"/>
    <w:uiPriority w:val="99"/>
    <w:semiHidden/>
    <w:unhideWhenUsed/>
    <w:rsid w:val="006A40C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6A40CE"/>
    <w:pPr>
      <w:spacing w:after="120"/>
    </w:pPr>
  </w:style>
  <w:style w:type="character" w:customStyle="1" w:styleId="BodyTextChar">
    <w:name w:val="Body Text Char"/>
    <w:basedOn w:val="DefaultParagraphFont"/>
    <w:link w:val="BodyText"/>
    <w:uiPriority w:val="99"/>
    <w:semiHidden/>
    <w:rsid w:val="006A40CE"/>
  </w:style>
  <w:style w:type="paragraph" w:styleId="BodyText2">
    <w:name w:val="Body Text 2"/>
    <w:basedOn w:val="Normal"/>
    <w:link w:val="BodyText2Char"/>
    <w:uiPriority w:val="99"/>
    <w:semiHidden/>
    <w:unhideWhenUsed/>
    <w:rsid w:val="006A40CE"/>
    <w:pPr>
      <w:spacing w:after="120" w:line="480" w:lineRule="auto"/>
    </w:pPr>
  </w:style>
  <w:style w:type="character" w:customStyle="1" w:styleId="BodyText2Char">
    <w:name w:val="Body Text 2 Char"/>
    <w:basedOn w:val="DefaultParagraphFont"/>
    <w:link w:val="BodyText2"/>
    <w:uiPriority w:val="99"/>
    <w:semiHidden/>
    <w:rsid w:val="006A40CE"/>
  </w:style>
  <w:style w:type="paragraph" w:styleId="BodyText3">
    <w:name w:val="Body Text 3"/>
    <w:basedOn w:val="Normal"/>
    <w:link w:val="BodyText3Char"/>
    <w:uiPriority w:val="99"/>
    <w:semiHidden/>
    <w:unhideWhenUsed/>
    <w:rsid w:val="006A40CE"/>
    <w:pPr>
      <w:spacing w:after="120"/>
    </w:pPr>
    <w:rPr>
      <w:sz w:val="16"/>
      <w:szCs w:val="16"/>
    </w:rPr>
  </w:style>
  <w:style w:type="character" w:customStyle="1" w:styleId="BodyText3Char">
    <w:name w:val="Body Text 3 Char"/>
    <w:basedOn w:val="DefaultParagraphFont"/>
    <w:link w:val="BodyText3"/>
    <w:uiPriority w:val="99"/>
    <w:semiHidden/>
    <w:rsid w:val="006A40CE"/>
    <w:rPr>
      <w:sz w:val="16"/>
      <w:szCs w:val="16"/>
    </w:rPr>
  </w:style>
  <w:style w:type="paragraph" w:styleId="BodyTextFirstIndent">
    <w:name w:val="Body Text First Indent"/>
    <w:basedOn w:val="BodyText"/>
    <w:link w:val="BodyTextFirstIndentChar"/>
    <w:uiPriority w:val="99"/>
    <w:semiHidden/>
    <w:unhideWhenUsed/>
    <w:rsid w:val="006A40CE"/>
    <w:pPr>
      <w:spacing w:after="160"/>
      <w:ind w:firstLine="360"/>
    </w:pPr>
  </w:style>
  <w:style w:type="character" w:customStyle="1" w:styleId="BodyTextFirstIndentChar">
    <w:name w:val="Body Text First Indent Char"/>
    <w:basedOn w:val="BodyTextChar"/>
    <w:link w:val="BodyTextFirstIndent"/>
    <w:uiPriority w:val="99"/>
    <w:semiHidden/>
    <w:rsid w:val="006A40CE"/>
  </w:style>
  <w:style w:type="paragraph" w:styleId="BodyTextIndent">
    <w:name w:val="Body Text Indent"/>
    <w:basedOn w:val="Normal"/>
    <w:link w:val="BodyTextIndentChar"/>
    <w:uiPriority w:val="99"/>
    <w:semiHidden/>
    <w:unhideWhenUsed/>
    <w:rsid w:val="006A40CE"/>
    <w:pPr>
      <w:spacing w:after="120"/>
      <w:ind w:left="283"/>
    </w:pPr>
  </w:style>
  <w:style w:type="character" w:customStyle="1" w:styleId="BodyTextIndentChar">
    <w:name w:val="Body Text Indent Char"/>
    <w:basedOn w:val="DefaultParagraphFont"/>
    <w:link w:val="BodyTextIndent"/>
    <w:uiPriority w:val="99"/>
    <w:semiHidden/>
    <w:rsid w:val="006A40CE"/>
  </w:style>
  <w:style w:type="paragraph" w:styleId="BodyTextFirstIndent2">
    <w:name w:val="Body Text First Indent 2"/>
    <w:basedOn w:val="BodyTextIndent"/>
    <w:link w:val="BodyTextFirstIndent2Char"/>
    <w:uiPriority w:val="99"/>
    <w:semiHidden/>
    <w:unhideWhenUsed/>
    <w:rsid w:val="006A40C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A40CE"/>
  </w:style>
  <w:style w:type="paragraph" w:styleId="BodyTextIndent2">
    <w:name w:val="Body Text Indent 2"/>
    <w:basedOn w:val="Normal"/>
    <w:link w:val="BodyTextIndent2Char"/>
    <w:uiPriority w:val="99"/>
    <w:semiHidden/>
    <w:unhideWhenUsed/>
    <w:rsid w:val="006A40CE"/>
    <w:pPr>
      <w:spacing w:after="120" w:line="480" w:lineRule="auto"/>
      <w:ind w:left="283"/>
    </w:pPr>
  </w:style>
  <w:style w:type="character" w:customStyle="1" w:styleId="BodyTextIndent2Char">
    <w:name w:val="Body Text Indent 2 Char"/>
    <w:basedOn w:val="DefaultParagraphFont"/>
    <w:link w:val="BodyTextIndent2"/>
    <w:uiPriority w:val="99"/>
    <w:semiHidden/>
    <w:rsid w:val="006A40CE"/>
  </w:style>
  <w:style w:type="paragraph" w:styleId="BodyTextIndent3">
    <w:name w:val="Body Text Indent 3"/>
    <w:basedOn w:val="Normal"/>
    <w:link w:val="BodyTextIndent3Char"/>
    <w:uiPriority w:val="99"/>
    <w:semiHidden/>
    <w:unhideWhenUsed/>
    <w:rsid w:val="006A40C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A40CE"/>
    <w:rPr>
      <w:sz w:val="16"/>
      <w:szCs w:val="16"/>
    </w:rPr>
  </w:style>
  <w:style w:type="paragraph" w:styleId="Caption">
    <w:name w:val="caption"/>
    <w:basedOn w:val="Normal"/>
    <w:next w:val="Normal"/>
    <w:uiPriority w:val="35"/>
    <w:semiHidden/>
    <w:unhideWhenUsed/>
    <w:qFormat/>
    <w:rsid w:val="006A40CE"/>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6A40CE"/>
    <w:pPr>
      <w:spacing w:after="0" w:line="240" w:lineRule="auto"/>
      <w:ind w:left="4252"/>
    </w:pPr>
  </w:style>
  <w:style w:type="character" w:customStyle="1" w:styleId="ClosingChar">
    <w:name w:val="Closing Char"/>
    <w:basedOn w:val="DefaultParagraphFont"/>
    <w:link w:val="Closing"/>
    <w:uiPriority w:val="99"/>
    <w:semiHidden/>
    <w:rsid w:val="006A40CE"/>
  </w:style>
  <w:style w:type="paragraph" w:styleId="Date">
    <w:name w:val="Date"/>
    <w:basedOn w:val="Normal"/>
    <w:next w:val="Normal"/>
    <w:link w:val="DateChar"/>
    <w:uiPriority w:val="99"/>
    <w:semiHidden/>
    <w:unhideWhenUsed/>
    <w:rsid w:val="006A40CE"/>
  </w:style>
  <w:style w:type="character" w:customStyle="1" w:styleId="DateChar">
    <w:name w:val="Date Char"/>
    <w:basedOn w:val="DefaultParagraphFont"/>
    <w:link w:val="Date"/>
    <w:uiPriority w:val="99"/>
    <w:semiHidden/>
    <w:rsid w:val="006A40CE"/>
  </w:style>
  <w:style w:type="paragraph" w:styleId="DocumentMap">
    <w:name w:val="Document Map"/>
    <w:basedOn w:val="Normal"/>
    <w:link w:val="DocumentMapChar"/>
    <w:uiPriority w:val="99"/>
    <w:semiHidden/>
    <w:unhideWhenUsed/>
    <w:rsid w:val="006A40C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A40CE"/>
    <w:rPr>
      <w:rFonts w:ascii="Segoe UI" w:hAnsi="Segoe UI" w:cs="Segoe UI"/>
      <w:sz w:val="16"/>
      <w:szCs w:val="16"/>
    </w:rPr>
  </w:style>
  <w:style w:type="paragraph" w:styleId="E-mailSignature">
    <w:name w:val="E-mail Signature"/>
    <w:basedOn w:val="Normal"/>
    <w:link w:val="E-mailSignatureChar"/>
    <w:uiPriority w:val="99"/>
    <w:semiHidden/>
    <w:unhideWhenUsed/>
    <w:rsid w:val="006A40CE"/>
    <w:pPr>
      <w:spacing w:after="0" w:line="240" w:lineRule="auto"/>
    </w:pPr>
  </w:style>
  <w:style w:type="character" w:customStyle="1" w:styleId="E-mailSignatureChar">
    <w:name w:val="E-mail Signature Char"/>
    <w:basedOn w:val="DefaultParagraphFont"/>
    <w:link w:val="E-mailSignature"/>
    <w:uiPriority w:val="99"/>
    <w:semiHidden/>
    <w:rsid w:val="006A40CE"/>
  </w:style>
  <w:style w:type="paragraph" w:styleId="EndnoteText">
    <w:name w:val="endnote text"/>
    <w:basedOn w:val="Normal"/>
    <w:link w:val="EndnoteTextChar"/>
    <w:uiPriority w:val="99"/>
    <w:semiHidden/>
    <w:unhideWhenUsed/>
    <w:rsid w:val="006A40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40CE"/>
    <w:rPr>
      <w:sz w:val="20"/>
      <w:szCs w:val="20"/>
    </w:rPr>
  </w:style>
  <w:style w:type="paragraph" w:styleId="EnvelopeAddress">
    <w:name w:val="envelope address"/>
    <w:basedOn w:val="Normal"/>
    <w:uiPriority w:val="99"/>
    <w:semiHidden/>
    <w:unhideWhenUsed/>
    <w:rsid w:val="006A40C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A40CE"/>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A40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0CE"/>
    <w:rPr>
      <w:sz w:val="20"/>
      <w:szCs w:val="20"/>
    </w:rPr>
  </w:style>
  <w:style w:type="paragraph" w:styleId="HTMLAddress">
    <w:name w:val="HTML Address"/>
    <w:basedOn w:val="Normal"/>
    <w:link w:val="HTMLAddressChar"/>
    <w:uiPriority w:val="99"/>
    <w:semiHidden/>
    <w:unhideWhenUsed/>
    <w:rsid w:val="006A40CE"/>
    <w:pPr>
      <w:spacing w:after="0" w:line="240" w:lineRule="auto"/>
    </w:pPr>
    <w:rPr>
      <w:i/>
      <w:iCs/>
    </w:rPr>
  </w:style>
  <w:style w:type="character" w:customStyle="1" w:styleId="HTMLAddressChar">
    <w:name w:val="HTML Address Char"/>
    <w:basedOn w:val="DefaultParagraphFont"/>
    <w:link w:val="HTMLAddress"/>
    <w:uiPriority w:val="99"/>
    <w:semiHidden/>
    <w:rsid w:val="006A40CE"/>
    <w:rPr>
      <w:i/>
      <w:iCs/>
    </w:rPr>
  </w:style>
  <w:style w:type="paragraph" w:styleId="HTMLPreformatted">
    <w:name w:val="HTML Preformatted"/>
    <w:basedOn w:val="Normal"/>
    <w:link w:val="HTMLPreformattedChar"/>
    <w:uiPriority w:val="99"/>
    <w:semiHidden/>
    <w:unhideWhenUsed/>
    <w:rsid w:val="006A40C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40CE"/>
    <w:rPr>
      <w:rFonts w:ascii="Consolas" w:hAnsi="Consolas"/>
      <w:sz w:val="20"/>
      <w:szCs w:val="20"/>
    </w:rPr>
  </w:style>
  <w:style w:type="paragraph" w:styleId="Index1">
    <w:name w:val="index 1"/>
    <w:basedOn w:val="Normal"/>
    <w:next w:val="Normal"/>
    <w:autoRedefine/>
    <w:uiPriority w:val="99"/>
    <w:semiHidden/>
    <w:unhideWhenUsed/>
    <w:rsid w:val="006A40CE"/>
    <w:pPr>
      <w:spacing w:after="0" w:line="240" w:lineRule="auto"/>
      <w:ind w:left="240" w:hanging="240"/>
    </w:pPr>
  </w:style>
  <w:style w:type="paragraph" w:styleId="Index2">
    <w:name w:val="index 2"/>
    <w:basedOn w:val="Normal"/>
    <w:next w:val="Normal"/>
    <w:autoRedefine/>
    <w:uiPriority w:val="99"/>
    <w:semiHidden/>
    <w:unhideWhenUsed/>
    <w:rsid w:val="006A40CE"/>
    <w:pPr>
      <w:spacing w:after="0" w:line="240" w:lineRule="auto"/>
      <w:ind w:left="480" w:hanging="240"/>
    </w:pPr>
  </w:style>
  <w:style w:type="paragraph" w:styleId="Index3">
    <w:name w:val="index 3"/>
    <w:basedOn w:val="Normal"/>
    <w:next w:val="Normal"/>
    <w:autoRedefine/>
    <w:uiPriority w:val="99"/>
    <w:semiHidden/>
    <w:unhideWhenUsed/>
    <w:rsid w:val="006A40CE"/>
    <w:pPr>
      <w:spacing w:after="0" w:line="240" w:lineRule="auto"/>
      <w:ind w:left="720" w:hanging="240"/>
    </w:pPr>
  </w:style>
  <w:style w:type="paragraph" w:styleId="Index4">
    <w:name w:val="index 4"/>
    <w:basedOn w:val="Normal"/>
    <w:next w:val="Normal"/>
    <w:autoRedefine/>
    <w:uiPriority w:val="99"/>
    <w:semiHidden/>
    <w:unhideWhenUsed/>
    <w:rsid w:val="006A40CE"/>
    <w:pPr>
      <w:spacing w:after="0" w:line="240" w:lineRule="auto"/>
      <w:ind w:left="960" w:hanging="240"/>
    </w:pPr>
  </w:style>
  <w:style w:type="paragraph" w:styleId="Index5">
    <w:name w:val="index 5"/>
    <w:basedOn w:val="Normal"/>
    <w:next w:val="Normal"/>
    <w:autoRedefine/>
    <w:uiPriority w:val="99"/>
    <w:semiHidden/>
    <w:unhideWhenUsed/>
    <w:rsid w:val="006A40CE"/>
    <w:pPr>
      <w:spacing w:after="0" w:line="240" w:lineRule="auto"/>
      <w:ind w:left="1200" w:hanging="240"/>
    </w:pPr>
  </w:style>
  <w:style w:type="paragraph" w:styleId="Index6">
    <w:name w:val="index 6"/>
    <w:basedOn w:val="Normal"/>
    <w:next w:val="Normal"/>
    <w:autoRedefine/>
    <w:uiPriority w:val="99"/>
    <w:semiHidden/>
    <w:unhideWhenUsed/>
    <w:rsid w:val="006A40CE"/>
    <w:pPr>
      <w:spacing w:after="0" w:line="240" w:lineRule="auto"/>
      <w:ind w:left="1440" w:hanging="240"/>
    </w:pPr>
  </w:style>
  <w:style w:type="paragraph" w:styleId="Index7">
    <w:name w:val="index 7"/>
    <w:basedOn w:val="Normal"/>
    <w:next w:val="Normal"/>
    <w:autoRedefine/>
    <w:uiPriority w:val="99"/>
    <w:semiHidden/>
    <w:unhideWhenUsed/>
    <w:rsid w:val="006A40CE"/>
    <w:pPr>
      <w:spacing w:after="0" w:line="240" w:lineRule="auto"/>
      <w:ind w:left="1680" w:hanging="240"/>
    </w:pPr>
  </w:style>
  <w:style w:type="paragraph" w:styleId="Index8">
    <w:name w:val="index 8"/>
    <w:basedOn w:val="Normal"/>
    <w:next w:val="Normal"/>
    <w:autoRedefine/>
    <w:uiPriority w:val="99"/>
    <w:semiHidden/>
    <w:unhideWhenUsed/>
    <w:rsid w:val="006A40CE"/>
    <w:pPr>
      <w:spacing w:after="0" w:line="240" w:lineRule="auto"/>
      <w:ind w:left="1920" w:hanging="240"/>
    </w:pPr>
  </w:style>
  <w:style w:type="paragraph" w:styleId="Index9">
    <w:name w:val="index 9"/>
    <w:basedOn w:val="Normal"/>
    <w:next w:val="Normal"/>
    <w:autoRedefine/>
    <w:uiPriority w:val="99"/>
    <w:semiHidden/>
    <w:unhideWhenUsed/>
    <w:rsid w:val="006A40CE"/>
    <w:pPr>
      <w:spacing w:after="0" w:line="240" w:lineRule="auto"/>
      <w:ind w:left="2160" w:hanging="240"/>
    </w:pPr>
  </w:style>
  <w:style w:type="paragraph" w:styleId="IndexHeading">
    <w:name w:val="index heading"/>
    <w:basedOn w:val="Normal"/>
    <w:next w:val="Index1"/>
    <w:uiPriority w:val="99"/>
    <w:semiHidden/>
    <w:unhideWhenUsed/>
    <w:rsid w:val="006A40CE"/>
    <w:rPr>
      <w:rFonts w:asciiTheme="majorHAnsi" w:eastAsiaTheme="majorEastAsia" w:hAnsiTheme="majorHAnsi" w:cstheme="majorBidi"/>
      <w:b/>
      <w:bCs/>
    </w:rPr>
  </w:style>
  <w:style w:type="paragraph" w:styleId="List">
    <w:name w:val="List"/>
    <w:basedOn w:val="Normal"/>
    <w:uiPriority w:val="99"/>
    <w:semiHidden/>
    <w:unhideWhenUsed/>
    <w:rsid w:val="006A40CE"/>
    <w:pPr>
      <w:ind w:left="283" w:hanging="283"/>
      <w:contextualSpacing/>
    </w:pPr>
  </w:style>
  <w:style w:type="paragraph" w:styleId="List2">
    <w:name w:val="List 2"/>
    <w:basedOn w:val="Normal"/>
    <w:uiPriority w:val="99"/>
    <w:semiHidden/>
    <w:unhideWhenUsed/>
    <w:rsid w:val="006A40CE"/>
    <w:pPr>
      <w:ind w:left="566" w:hanging="283"/>
      <w:contextualSpacing/>
    </w:pPr>
  </w:style>
  <w:style w:type="paragraph" w:styleId="List3">
    <w:name w:val="List 3"/>
    <w:basedOn w:val="Normal"/>
    <w:uiPriority w:val="99"/>
    <w:semiHidden/>
    <w:unhideWhenUsed/>
    <w:rsid w:val="006A40CE"/>
    <w:pPr>
      <w:ind w:left="849" w:hanging="283"/>
      <w:contextualSpacing/>
    </w:pPr>
  </w:style>
  <w:style w:type="paragraph" w:styleId="List4">
    <w:name w:val="List 4"/>
    <w:basedOn w:val="Normal"/>
    <w:uiPriority w:val="99"/>
    <w:semiHidden/>
    <w:unhideWhenUsed/>
    <w:rsid w:val="006A40CE"/>
    <w:pPr>
      <w:ind w:left="1132" w:hanging="283"/>
      <w:contextualSpacing/>
    </w:pPr>
  </w:style>
  <w:style w:type="paragraph" w:styleId="List5">
    <w:name w:val="List 5"/>
    <w:basedOn w:val="Normal"/>
    <w:uiPriority w:val="99"/>
    <w:semiHidden/>
    <w:unhideWhenUsed/>
    <w:rsid w:val="006A40CE"/>
    <w:pPr>
      <w:ind w:left="1415" w:hanging="283"/>
      <w:contextualSpacing/>
    </w:pPr>
  </w:style>
  <w:style w:type="paragraph" w:styleId="ListBullet">
    <w:name w:val="List Bullet"/>
    <w:basedOn w:val="Normal"/>
    <w:uiPriority w:val="99"/>
    <w:semiHidden/>
    <w:unhideWhenUsed/>
    <w:rsid w:val="006A40CE"/>
    <w:pPr>
      <w:numPr>
        <w:numId w:val="10"/>
      </w:numPr>
      <w:contextualSpacing/>
    </w:pPr>
  </w:style>
  <w:style w:type="paragraph" w:styleId="ListBullet2">
    <w:name w:val="List Bullet 2"/>
    <w:basedOn w:val="Normal"/>
    <w:uiPriority w:val="99"/>
    <w:semiHidden/>
    <w:unhideWhenUsed/>
    <w:rsid w:val="006A40CE"/>
    <w:pPr>
      <w:numPr>
        <w:numId w:val="11"/>
      </w:numPr>
      <w:contextualSpacing/>
    </w:pPr>
  </w:style>
  <w:style w:type="paragraph" w:styleId="ListBullet3">
    <w:name w:val="List Bullet 3"/>
    <w:basedOn w:val="Normal"/>
    <w:uiPriority w:val="99"/>
    <w:semiHidden/>
    <w:unhideWhenUsed/>
    <w:rsid w:val="006A40CE"/>
    <w:pPr>
      <w:numPr>
        <w:numId w:val="12"/>
      </w:numPr>
      <w:contextualSpacing/>
    </w:pPr>
  </w:style>
  <w:style w:type="paragraph" w:styleId="ListBullet4">
    <w:name w:val="List Bullet 4"/>
    <w:basedOn w:val="Normal"/>
    <w:uiPriority w:val="99"/>
    <w:semiHidden/>
    <w:unhideWhenUsed/>
    <w:rsid w:val="006A40CE"/>
    <w:pPr>
      <w:numPr>
        <w:numId w:val="13"/>
      </w:numPr>
      <w:contextualSpacing/>
    </w:pPr>
  </w:style>
  <w:style w:type="paragraph" w:styleId="ListBullet5">
    <w:name w:val="List Bullet 5"/>
    <w:basedOn w:val="Normal"/>
    <w:uiPriority w:val="99"/>
    <w:semiHidden/>
    <w:unhideWhenUsed/>
    <w:rsid w:val="006A40CE"/>
    <w:pPr>
      <w:numPr>
        <w:numId w:val="14"/>
      </w:numPr>
      <w:contextualSpacing/>
    </w:pPr>
  </w:style>
  <w:style w:type="paragraph" w:styleId="ListContinue">
    <w:name w:val="List Continue"/>
    <w:basedOn w:val="Normal"/>
    <w:uiPriority w:val="99"/>
    <w:semiHidden/>
    <w:unhideWhenUsed/>
    <w:rsid w:val="006A40CE"/>
    <w:pPr>
      <w:spacing w:after="120"/>
      <w:ind w:left="283"/>
      <w:contextualSpacing/>
    </w:pPr>
  </w:style>
  <w:style w:type="paragraph" w:styleId="ListContinue2">
    <w:name w:val="List Continue 2"/>
    <w:basedOn w:val="Normal"/>
    <w:uiPriority w:val="99"/>
    <w:semiHidden/>
    <w:unhideWhenUsed/>
    <w:rsid w:val="006A40CE"/>
    <w:pPr>
      <w:spacing w:after="120"/>
      <w:ind w:left="566"/>
      <w:contextualSpacing/>
    </w:pPr>
  </w:style>
  <w:style w:type="paragraph" w:styleId="ListContinue3">
    <w:name w:val="List Continue 3"/>
    <w:basedOn w:val="Normal"/>
    <w:uiPriority w:val="99"/>
    <w:semiHidden/>
    <w:unhideWhenUsed/>
    <w:rsid w:val="006A40CE"/>
    <w:pPr>
      <w:spacing w:after="120"/>
      <w:ind w:left="849"/>
      <w:contextualSpacing/>
    </w:pPr>
  </w:style>
  <w:style w:type="paragraph" w:styleId="ListContinue4">
    <w:name w:val="List Continue 4"/>
    <w:basedOn w:val="Normal"/>
    <w:uiPriority w:val="99"/>
    <w:semiHidden/>
    <w:unhideWhenUsed/>
    <w:rsid w:val="006A40CE"/>
    <w:pPr>
      <w:spacing w:after="120"/>
      <w:ind w:left="1132"/>
      <w:contextualSpacing/>
    </w:pPr>
  </w:style>
  <w:style w:type="paragraph" w:styleId="ListContinue5">
    <w:name w:val="List Continue 5"/>
    <w:basedOn w:val="Normal"/>
    <w:uiPriority w:val="99"/>
    <w:semiHidden/>
    <w:unhideWhenUsed/>
    <w:rsid w:val="006A40CE"/>
    <w:pPr>
      <w:spacing w:after="120"/>
      <w:ind w:left="1415"/>
      <w:contextualSpacing/>
    </w:pPr>
  </w:style>
  <w:style w:type="paragraph" w:styleId="ListNumber">
    <w:name w:val="List Number"/>
    <w:basedOn w:val="Normal"/>
    <w:uiPriority w:val="99"/>
    <w:semiHidden/>
    <w:unhideWhenUsed/>
    <w:rsid w:val="006A40CE"/>
    <w:pPr>
      <w:numPr>
        <w:numId w:val="15"/>
      </w:numPr>
      <w:contextualSpacing/>
    </w:pPr>
  </w:style>
  <w:style w:type="paragraph" w:styleId="ListNumber2">
    <w:name w:val="List Number 2"/>
    <w:basedOn w:val="Normal"/>
    <w:uiPriority w:val="99"/>
    <w:semiHidden/>
    <w:unhideWhenUsed/>
    <w:rsid w:val="006A40CE"/>
    <w:pPr>
      <w:numPr>
        <w:numId w:val="16"/>
      </w:numPr>
      <w:contextualSpacing/>
    </w:pPr>
  </w:style>
  <w:style w:type="paragraph" w:styleId="ListNumber3">
    <w:name w:val="List Number 3"/>
    <w:basedOn w:val="Normal"/>
    <w:uiPriority w:val="99"/>
    <w:semiHidden/>
    <w:unhideWhenUsed/>
    <w:rsid w:val="006A40CE"/>
    <w:pPr>
      <w:numPr>
        <w:numId w:val="17"/>
      </w:numPr>
      <w:contextualSpacing/>
    </w:pPr>
  </w:style>
  <w:style w:type="paragraph" w:styleId="ListNumber4">
    <w:name w:val="List Number 4"/>
    <w:basedOn w:val="Normal"/>
    <w:uiPriority w:val="99"/>
    <w:semiHidden/>
    <w:unhideWhenUsed/>
    <w:rsid w:val="006A40CE"/>
    <w:pPr>
      <w:numPr>
        <w:numId w:val="18"/>
      </w:numPr>
      <w:contextualSpacing/>
    </w:pPr>
  </w:style>
  <w:style w:type="paragraph" w:styleId="ListNumber5">
    <w:name w:val="List Number 5"/>
    <w:basedOn w:val="Normal"/>
    <w:uiPriority w:val="99"/>
    <w:semiHidden/>
    <w:unhideWhenUsed/>
    <w:rsid w:val="006A40CE"/>
    <w:pPr>
      <w:numPr>
        <w:numId w:val="19"/>
      </w:numPr>
      <w:contextualSpacing/>
    </w:pPr>
  </w:style>
  <w:style w:type="paragraph" w:styleId="Macro">
    <w:name w:val="macro"/>
    <w:link w:val="MacroTextChar"/>
    <w:uiPriority w:val="99"/>
    <w:semiHidden/>
    <w:unhideWhenUsed/>
    <w:rsid w:val="006A40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6A40CE"/>
    <w:rPr>
      <w:rFonts w:ascii="Consolas" w:hAnsi="Consolas"/>
      <w:sz w:val="20"/>
      <w:szCs w:val="20"/>
    </w:rPr>
  </w:style>
  <w:style w:type="paragraph" w:styleId="MessageHeader">
    <w:name w:val="Message Header"/>
    <w:basedOn w:val="Normal"/>
    <w:link w:val="MessageHeaderChar"/>
    <w:uiPriority w:val="99"/>
    <w:semiHidden/>
    <w:unhideWhenUsed/>
    <w:rsid w:val="006A40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A40CE"/>
    <w:rPr>
      <w:rFonts w:asciiTheme="majorHAnsi" w:eastAsiaTheme="majorEastAsia" w:hAnsiTheme="majorHAnsi" w:cstheme="majorBidi"/>
      <w:shd w:val="pct20" w:color="auto" w:fill="auto"/>
    </w:rPr>
  </w:style>
  <w:style w:type="paragraph" w:styleId="NoSpacing">
    <w:name w:val="No Spacing"/>
    <w:uiPriority w:val="1"/>
    <w:qFormat/>
    <w:rsid w:val="006A40CE"/>
    <w:pPr>
      <w:spacing w:after="0" w:line="240" w:lineRule="auto"/>
    </w:pPr>
  </w:style>
  <w:style w:type="paragraph" w:styleId="NormalWeb">
    <w:name w:val="Normal (Web)"/>
    <w:basedOn w:val="Normal"/>
    <w:uiPriority w:val="99"/>
    <w:semiHidden/>
    <w:unhideWhenUsed/>
    <w:rsid w:val="006A40CE"/>
    <w:rPr>
      <w:rFonts w:ascii="Times New Roman" w:hAnsi="Times New Roman" w:cs="Times New Roman"/>
    </w:rPr>
  </w:style>
  <w:style w:type="paragraph" w:styleId="NormalIndent">
    <w:name w:val="Normal Indent"/>
    <w:basedOn w:val="Normal"/>
    <w:uiPriority w:val="99"/>
    <w:semiHidden/>
    <w:unhideWhenUsed/>
    <w:rsid w:val="006A40CE"/>
    <w:pPr>
      <w:ind w:left="720"/>
    </w:pPr>
  </w:style>
  <w:style w:type="paragraph" w:customStyle="1" w:styleId="NoteHeading">
    <w:name w:val="Note Heading"/>
    <w:basedOn w:val="Normal"/>
    <w:next w:val="Normal"/>
    <w:link w:val="NoteHeadingChar"/>
    <w:uiPriority w:val="99"/>
    <w:semiHidden/>
    <w:unhideWhenUsed/>
    <w:rsid w:val="006A40CE"/>
    <w:pPr>
      <w:spacing w:after="0" w:line="240" w:lineRule="auto"/>
    </w:pPr>
  </w:style>
  <w:style w:type="character" w:customStyle="1" w:styleId="NoteHeadingChar">
    <w:name w:val="Note Heading Char"/>
    <w:basedOn w:val="DefaultParagraphFont"/>
    <w:link w:val="NoteHeading"/>
    <w:uiPriority w:val="99"/>
    <w:semiHidden/>
    <w:rsid w:val="006A40CE"/>
  </w:style>
  <w:style w:type="paragraph" w:styleId="PlainText">
    <w:name w:val="Plain Text"/>
    <w:basedOn w:val="Normal"/>
    <w:link w:val="PlainTextChar"/>
    <w:uiPriority w:val="99"/>
    <w:semiHidden/>
    <w:unhideWhenUsed/>
    <w:rsid w:val="006A40C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A40CE"/>
    <w:rPr>
      <w:rFonts w:ascii="Consolas" w:hAnsi="Consolas"/>
      <w:sz w:val="21"/>
      <w:szCs w:val="21"/>
    </w:rPr>
  </w:style>
  <w:style w:type="paragraph" w:styleId="Salutation">
    <w:name w:val="Salutation"/>
    <w:basedOn w:val="Normal"/>
    <w:next w:val="Normal"/>
    <w:link w:val="SalutationChar"/>
    <w:uiPriority w:val="99"/>
    <w:semiHidden/>
    <w:unhideWhenUsed/>
    <w:rsid w:val="006A40CE"/>
  </w:style>
  <w:style w:type="character" w:customStyle="1" w:styleId="SalutationChar">
    <w:name w:val="Salutation Char"/>
    <w:basedOn w:val="DefaultParagraphFont"/>
    <w:link w:val="Salutation"/>
    <w:uiPriority w:val="99"/>
    <w:semiHidden/>
    <w:rsid w:val="006A40CE"/>
  </w:style>
  <w:style w:type="paragraph" w:styleId="Signature">
    <w:name w:val="Signature"/>
    <w:basedOn w:val="Normal"/>
    <w:link w:val="SignatureChar"/>
    <w:uiPriority w:val="99"/>
    <w:semiHidden/>
    <w:unhideWhenUsed/>
    <w:rsid w:val="006A40CE"/>
    <w:pPr>
      <w:spacing w:after="0" w:line="240" w:lineRule="auto"/>
      <w:ind w:left="4252"/>
    </w:pPr>
  </w:style>
  <w:style w:type="character" w:customStyle="1" w:styleId="SignatureChar">
    <w:name w:val="Signature Char"/>
    <w:basedOn w:val="DefaultParagraphFont"/>
    <w:link w:val="Signature"/>
    <w:uiPriority w:val="99"/>
    <w:semiHidden/>
    <w:rsid w:val="006A40CE"/>
  </w:style>
  <w:style w:type="paragraph" w:styleId="TableofAuthorities">
    <w:name w:val="table of authorities"/>
    <w:basedOn w:val="Normal"/>
    <w:next w:val="Normal"/>
    <w:uiPriority w:val="99"/>
    <w:semiHidden/>
    <w:unhideWhenUsed/>
    <w:rsid w:val="006A40CE"/>
    <w:pPr>
      <w:spacing w:after="0"/>
      <w:ind w:left="240" w:hanging="240"/>
    </w:pPr>
  </w:style>
  <w:style w:type="paragraph" w:styleId="TableofFigures">
    <w:name w:val="table of figures"/>
    <w:basedOn w:val="Normal"/>
    <w:next w:val="Normal"/>
    <w:uiPriority w:val="99"/>
    <w:semiHidden/>
    <w:unhideWhenUsed/>
    <w:rsid w:val="006A40CE"/>
    <w:pPr>
      <w:spacing w:after="0"/>
    </w:pPr>
  </w:style>
  <w:style w:type="paragraph" w:styleId="TOAHeading">
    <w:name w:val="toa heading"/>
    <w:basedOn w:val="Normal"/>
    <w:next w:val="Normal"/>
    <w:uiPriority w:val="99"/>
    <w:semiHidden/>
    <w:unhideWhenUsed/>
    <w:rsid w:val="006A40C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6A40CE"/>
    <w:pPr>
      <w:spacing w:after="100"/>
    </w:pPr>
  </w:style>
  <w:style w:type="paragraph" w:styleId="TOC2">
    <w:name w:val="toc 2"/>
    <w:basedOn w:val="Normal"/>
    <w:next w:val="Normal"/>
    <w:autoRedefine/>
    <w:uiPriority w:val="39"/>
    <w:semiHidden/>
    <w:unhideWhenUsed/>
    <w:rsid w:val="006A40CE"/>
    <w:pPr>
      <w:spacing w:after="100"/>
      <w:ind w:left="240"/>
    </w:pPr>
  </w:style>
  <w:style w:type="paragraph" w:styleId="TOC3">
    <w:name w:val="toc 3"/>
    <w:basedOn w:val="Normal"/>
    <w:next w:val="Normal"/>
    <w:autoRedefine/>
    <w:uiPriority w:val="39"/>
    <w:semiHidden/>
    <w:unhideWhenUsed/>
    <w:rsid w:val="006A40CE"/>
    <w:pPr>
      <w:spacing w:after="100"/>
      <w:ind w:left="480"/>
    </w:pPr>
  </w:style>
  <w:style w:type="paragraph" w:styleId="TOC4">
    <w:name w:val="toc 4"/>
    <w:basedOn w:val="Normal"/>
    <w:next w:val="Normal"/>
    <w:autoRedefine/>
    <w:uiPriority w:val="39"/>
    <w:semiHidden/>
    <w:unhideWhenUsed/>
    <w:rsid w:val="006A40CE"/>
    <w:pPr>
      <w:spacing w:after="100"/>
      <w:ind w:left="720"/>
    </w:pPr>
  </w:style>
  <w:style w:type="paragraph" w:styleId="TOC5">
    <w:name w:val="toc 5"/>
    <w:basedOn w:val="Normal"/>
    <w:next w:val="Normal"/>
    <w:autoRedefine/>
    <w:uiPriority w:val="39"/>
    <w:semiHidden/>
    <w:unhideWhenUsed/>
    <w:rsid w:val="006A40CE"/>
    <w:pPr>
      <w:spacing w:after="100"/>
      <w:ind w:left="960"/>
    </w:pPr>
  </w:style>
  <w:style w:type="paragraph" w:styleId="TOC6">
    <w:name w:val="toc 6"/>
    <w:basedOn w:val="Normal"/>
    <w:next w:val="Normal"/>
    <w:autoRedefine/>
    <w:uiPriority w:val="39"/>
    <w:semiHidden/>
    <w:unhideWhenUsed/>
    <w:rsid w:val="006A40CE"/>
    <w:pPr>
      <w:spacing w:after="100"/>
      <w:ind w:left="1200"/>
    </w:pPr>
  </w:style>
  <w:style w:type="paragraph" w:styleId="TOC7">
    <w:name w:val="toc 7"/>
    <w:basedOn w:val="Normal"/>
    <w:next w:val="Normal"/>
    <w:autoRedefine/>
    <w:uiPriority w:val="39"/>
    <w:semiHidden/>
    <w:unhideWhenUsed/>
    <w:rsid w:val="006A40CE"/>
    <w:pPr>
      <w:spacing w:after="100"/>
      <w:ind w:left="1440"/>
    </w:pPr>
  </w:style>
  <w:style w:type="paragraph" w:styleId="TOC8">
    <w:name w:val="toc 8"/>
    <w:basedOn w:val="Normal"/>
    <w:next w:val="Normal"/>
    <w:autoRedefine/>
    <w:uiPriority w:val="39"/>
    <w:semiHidden/>
    <w:unhideWhenUsed/>
    <w:rsid w:val="006A40CE"/>
    <w:pPr>
      <w:spacing w:after="100"/>
      <w:ind w:left="1680"/>
    </w:pPr>
  </w:style>
  <w:style w:type="paragraph" w:styleId="TOC9">
    <w:name w:val="toc 9"/>
    <w:basedOn w:val="Normal"/>
    <w:next w:val="Normal"/>
    <w:autoRedefine/>
    <w:uiPriority w:val="39"/>
    <w:semiHidden/>
    <w:unhideWhenUsed/>
    <w:rsid w:val="006A40CE"/>
    <w:pPr>
      <w:spacing w:after="100"/>
      <w:ind w:left="1920"/>
    </w:pPr>
  </w:style>
  <w:style w:type="paragraph" w:styleId="TOCHeading">
    <w:name w:val="TOC Heading"/>
    <w:basedOn w:val="Heading1"/>
    <w:next w:val="Normal"/>
    <w:uiPriority w:val="39"/>
    <w:semiHidden/>
    <w:unhideWhenUsed/>
    <w:qFormat/>
    <w:rsid w:val="006A40C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CEBFA6C8-6919-4D50-946D-C68A8720BC8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GAM0015</dc:title>
  <cp:revision>0</cp:revision>
</cp:coreProperties>
</file>