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6627" w:rsidRPr="00400178" w:rsidP="00400178">
      <w:pPr>
        <w:spacing w:after="0" w:line="259" w:lineRule="auto"/>
        <w:rPr>
          <w:rFonts w:ascii="Verdana" w:hAnsi="Verdana"/>
          <w:b/>
          <w:bCs/>
          <w:sz w:val="28"/>
          <w:szCs w:val="28"/>
        </w:rPr>
      </w:pPr>
      <w:r w:rsidRPr="00400178">
        <w:rPr>
          <w:rFonts w:ascii="Verdana" w:hAnsi="Verdana"/>
          <w:b/>
          <w:bCs/>
          <w:sz w:val="28"/>
          <w:szCs w:val="28"/>
        </w:rPr>
        <w:t>Supplementary written evidence from Gambling with Lives (GAM001</w:t>
      </w:r>
      <w:r w:rsidR="00933332">
        <w:rPr>
          <w:rFonts w:ascii="Verdana" w:hAnsi="Verdana"/>
          <w:b/>
          <w:bCs/>
          <w:sz w:val="28"/>
          <w:szCs w:val="28"/>
        </w:rPr>
        <w:t>4</w:t>
      </w:r>
      <w:r w:rsidRPr="00400178">
        <w:rPr>
          <w:rFonts w:ascii="Verdana" w:hAnsi="Verdana"/>
          <w:b/>
          <w:bCs/>
          <w:sz w:val="28"/>
          <w:szCs w:val="28"/>
        </w:rPr>
        <w:t>)</w:t>
      </w:r>
    </w:p>
    <w:p w:rsidR="00400178"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Thank you for the opportunity </w:t>
      </w:r>
      <w:r w:rsidRPr="00400178" w:rsidR="0043464E">
        <w:rPr>
          <w:rFonts w:ascii="Verdana" w:hAnsi="Verdana"/>
          <w:sz w:val="22"/>
          <w:szCs w:val="22"/>
        </w:rPr>
        <w:t xml:space="preserve">given to Gambling with Lives </w:t>
      </w:r>
      <w:r w:rsidRPr="00400178">
        <w:rPr>
          <w:rFonts w:ascii="Verdana" w:hAnsi="Verdana"/>
          <w:sz w:val="22"/>
          <w:szCs w:val="22"/>
        </w:rPr>
        <w:t>to provide oral evidence to the Committee and for the invitation to submit supplementary written evidence following the session.</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We are grateful for the opportunity to clarify aspects of our oral evidence and to provide additional context in response to subsequent written evidence submitted to the Committee. </w:t>
      </w:r>
      <w:r w:rsidRPr="00400178">
        <w:rPr>
          <w:rFonts w:ascii="Verdana" w:hAnsi="Verdana"/>
          <w:sz w:val="22"/>
          <w:szCs w:val="22"/>
        </w:rPr>
        <w:t>In particular, we</w:t>
      </w:r>
      <w:r w:rsidRPr="00400178">
        <w:rPr>
          <w:rFonts w:ascii="Verdana" w:hAnsi="Verdana"/>
          <w:sz w:val="22"/>
          <w:szCs w:val="22"/>
        </w:rPr>
        <w:t xml:space="preserve"> have sought to ensure that key statistics referenced during the session are presented accurately and in line with the position of relevant public authorities, including the Gambling Commission and the Office for Health Improvement and Disparities.</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Our submission also briefly draws together the core framing of gambling advertising as a public health issue, supported by both academic evidence and lived experience, and reflects on the implications for policy and regulation. We have sought to keep this evidence focused and directly relevant to the Committee’s consideration of advertising and gambling-related harm.</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We would be pleased to provide any further information that may assist the Committee in its work.</w:t>
      </w:r>
      <w:r w:rsidRPr="00400178" w:rsidR="00A16907">
        <w:rPr>
          <w:rFonts w:ascii="Verdana" w:hAnsi="Verdana"/>
          <w:b/>
          <w:bCs/>
          <w:sz w:val="22"/>
          <w:szCs w:val="22"/>
        </w:rPr>
        <w:br w:type="page"/>
      </w:r>
    </w:p>
    <w:p w:rsidR="00926627" w:rsidRPr="00400178" w:rsidP="00400178">
      <w:pPr>
        <w:spacing w:after="0" w:line="259" w:lineRule="auto"/>
        <w:rPr>
          <w:rFonts w:ascii="Verdana" w:hAnsi="Verdana"/>
          <w:sz w:val="22"/>
          <w:szCs w:val="22"/>
        </w:rPr>
      </w:pPr>
      <w:r w:rsidRPr="00400178">
        <w:rPr>
          <w:rFonts w:ascii="Verdana" w:hAnsi="Verdana"/>
          <w:sz w:val="22"/>
          <w:szCs w:val="22"/>
        </w:rPr>
        <w:t>We are grateful to the Committee for the opportunity to provide oral evidence and for the invitation to submit further written material. This note has two purposes: first, to clarify aspects of our oral evidence where this may assist the Committee; and second, to provide context in response to points raised in supplementary written evidence submitted following the session.</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At the outset, we wish to restate what we consider to be the central framing point for this inquiry. The key policy question is not whether gambling advertising directly “causes” addiction in isolation. The critical issue is whether advertising increases participation and intensity of gambling and therefore increases harm. </w:t>
      </w:r>
      <w:r w:rsidRPr="00400178" w:rsidR="00441EE1">
        <w:rPr>
          <w:rFonts w:ascii="Verdana" w:hAnsi="Verdana"/>
          <w:sz w:val="22"/>
          <w:szCs w:val="22"/>
        </w:rPr>
        <w:t xml:space="preserve">This reflects well-established public health principles. </w:t>
      </w:r>
      <w:r w:rsidRPr="00400178" w:rsidR="00441EE1">
        <w:rPr>
          <w:rFonts w:ascii="Verdana" w:hAnsi="Verdana"/>
          <w:sz w:val="22"/>
          <w:szCs w:val="22"/>
        </w:rPr>
        <w:t>In particular, it</w:t>
      </w:r>
      <w:r w:rsidRPr="00400178" w:rsidR="00441EE1">
        <w:rPr>
          <w:rFonts w:ascii="Verdana" w:hAnsi="Verdana"/>
          <w:sz w:val="22"/>
          <w:szCs w:val="22"/>
        </w:rPr>
        <w:t xml:space="preserve"> reflects the “Total Consumption Model”, under which increases in overall consumption are associated with increases in harm across a population.</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This framing is supported not only by </w:t>
      </w:r>
      <w:r w:rsidRPr="00400178" w:rsidR="00EC4F3C">
        <w:rPr>
          <w:rFonts w:ascii="Verdana" w:hAnsi="Verdana"/>
          <w:sz w:val="22"/>
          <w:szCs w:val="22"/>
        </w:rPr>
        <w:t xml:space="preserve">substantial </w:t>
      </w:r>
      <w:r w:rsidRPr="00400178">
        <w:rPr>
          <w:rFonts w:ascii="Verdana" w:hAnsi="Verdana"/>
          <w:sz w:val="22"/>
          <w:szCs w:val="22"/>
        </w:rPr>
        <w:t>academic evidence but by lived experience. Families consistently report that marketing plays a role in harmful gambling trajectories, particularly through direct and personalised contact during periods of vulnerability and through repeated attempts to re-engage individuals who are trying to moderate or stop. This is not an abstract issue but reflects how the current system operates in practice.</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It is also important to recognise the extent to which the advertising environment has changed. The current system is materially different from that previously examined by Parliament.</w:t>
      </w:r>
      <w:r w:rsidRPr="00400178" w:rsidR="005D31E9">
        <w:rPr>
          <w:rFonts w:ascii="Verdana" w:hAnsi="Verdana"/>
          <w:sz w:val="22"/>
          <w:szCs w:val="22"/>
        </w:rPr>
        <w:t xml:space="preserve"> </w:t>
      </w:r>
      <w:r w:rsidRPr="00400178">
        <w:rPr>
          <w:rFonts w:ascii="Verdana" w:hAnsi="Verdana"/>
          <w:sz w:val="22"/>
          <w:szCs w:val="22"/>
        </w:rPr>
        <w:t xml:space="preserve">Advertising is now pervasive, continuous, and highly targeted. Gambling content is embedded across sport, social media and digital platforms, often in forms that are indistinguishable from other content. This creates a context in which exposure is not occasional but constant. As has already been noted in parliamentary evidence, modern promotional activity is frequently intrusive and targeted in nature. </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The regulatory framework has not kept pace with these developments. It remains fragmented, heavily reliant on voluntary measures, and reactive in approach. Evidence presented to the Committee indicates that these arrangements have not reduced overall levels of exposure. </w:t>
      </w:r>
      <w:r w:rsidRPr="00400178" w:rsidR="00E74EFC">
        <w:rPr>
          <w:rFonts w:ascii="Verdana" w:hAnsi="Verdana"/>
          <w:sz w:val="22"/>
          <w:szCs w:val="22"/>
        </w:rPr>
        <w:t>In particular, Dr Raffaello</w:t>
      </w:r>
      <w:r w:rsidRPr="00400178" w:rsidR="00E74EFC">
        <w:rPr>
          <w:rFonts w:ascii="Verdana" w:hAnsi="Verdana"/>
          <w:sz w:val="22"/>
          <w:szCs w:val="22"/>
        </w:rPr>
        <w:t xml:space="preserve"> Rossi highlighted the scale and transformation of the advertising environment, noting the industry’s £2 billion annual spend, the shift to high-volume digital marketing, and the finding of around 1 million UK gambling adverts posted on the social media site ‘X’ in a single year, with two thirds of engagement coming from under-24s. </w:t>
      </w:r>
      <w:r w:rsidRPr="00400178">
        <w:rPr>
          <w:rFonts w:ascii="Verdana" w:hAnsi="Verdana"/>
          <w:sz w:val="22"/>
          <w:szCs w:val="22"/>
        </w:rPr>
        <w:t>The result is a position in which there is now a substantial and growing body of evidence on gambling-related harm, but comparatively weak controls on one of its key drivers.</w:t>
      </w:r>
    </w:p>
    <w:p w:rsidR="00926627" w:rsidRPr="00400178" w:rsidP="00400178">
      <w:pPr>
        <w:spacing w:after="0" w:line="259" w:lineRule="auto"/>
        <w:rPr>
          <w:rFonts w:ascii="Verdana" w:hAnsi="Verdana"/>
          <w:sz w:val="22"/>
          <w:szCs w:val="22"/>
        </w:rPr>
      </w:pPr>
    </w:p>
    <w:p w:rsidR="003A28DD" w:rsidRPr="00400178" w:rsidP="00400178">
      <w:pPr>
        <w:spacing w:after="0" w:line="259" w:lineRule="auto"/>
        <w:rPr>
          <w:rFonts w:ascii="Verdana" w:hAnsi="Verdana"/>
          <w:sz w:val="22"/>
          <w:szCs w:val="22"/>
        </w:rPr>
      </w:pPr>
      <w:r w:rsidRPr="00400178">
        <w:rPr>
          <w:rFonts w:ascii="Verdana" w:hAnsi="Verdana"/>
          <w:sz w:val="22"/>
          <w:szCs w:val="22"/>
        </w:rPr>
        <w:t xml:space="preserve">Alongside restrictions on marketing, there is a clear need for a comprehensive and independent public information and education strategy. The historical approach has relied heavily on “safer gambling” messaging, which places emphasis on individual responsibility. </w:t>
      </w:r>
      <w:r w:rsidRPr="00400178">
        <w:rPr>
          <w:rFonts w:ascii="Verdana" w:hAnsi="Verdana"/>
          <w:sz w:val="22"/>
          <w:szCs w:val="22"/>
        </w:rPr>
        <w:t xml:space="preserve">Evidence presented to the Committee suggests this framing is insufficient. James Grimes emphasised that the policy question is whether advertising increases participation and therefore harm, </w:t>
      </w:r>
      <w:r w:rsidRPr="00400178">
        <w:rPr>
          <w:rFonts w:ascii="Verdana" w:hAnsi="Verdana"/>
          <w:sz w:val="22"/>
          <w:szCs w:val="22"/>
        </w:rPr>
        <w:t>rather than requiring proof of isolated causation. Dr Raffaello Rossi explained that isolating causal effects is not methodologically realistic given the cumulative and pervasive nature of modern advertising exposure. Will Prochaska similarly described the focus on narrow causation as diverting attention from the broader relationship between advertising, consumption and harm.</w:t>
      </w:r>
    </w:p>
    <w:p w:rsidR="00926627" w:rsidRPr="00400178" w:rsidP="00400178">
      <w:pPr>
        <w:spacing w:after="0" w:line="259" w:lineRule="auto"/>
        <w:rPr>
          <w:rFonts w:ascii="Verdana" w:hAnsi="Verdana"/>
          <w:sz w:val="22"/>
          <w:szCs w:val="22"/>
        </w:rPr>
      </w:pPr>
      <w:r w:rsidRPr="00400178">
        <w:rPr>
          <w:rFonts w:ascii="Verdana" w:hAnsi="Verdana"/>
          <w:sz w:val="22"/>
          <w:szCs w:val="22"/>
        </w:rPr>
        <w:t>Public information should therefore be seen as a complement to regulation, not a substitute for it.</w:t>
      </w:r>
    </w:p>
    <w:p w:rsidR="00926627" w:rsidRPr="00400178" w:rsidP="00400178">
      <w:pPr>
        <w:spacing w:after="0" w:line="259" w:lineRule="auto"/>
        <w:rPr>
          <w:rFonts w:ascii="Verdana" w:hAnsi="Verdana"/>
          <w:sz w:val="22"/>
          <w:szCs w:val="22"/>
        </w:rPr>
      </w:pPr>
    </w:p>
    <w:p w:rsidR="003A28DD" w:rsidRPr="00400178" w:rsidP="00400178">
      <w:pPr>
        <w:spacing w:after="0" w:line="259" w:lineRule="auto"/>
        <w:rPr>
          <w:rFonts w:ascii="Verdana" w:hAnsi="Verdana"/>
          <w:sz w:val="22"/>
          <w:szCs w:val="22"/>
        </w:rPr>
      </w:pPr>
      <w:r w:rsidRPr="00400178">
        <w:rPr>
          <w:rFonts w:ascii="Verdana" w:hAnsi="Verdana"/>
          <w:sz w:val="22"/>
          <w:szCs w:val="22"/>
        </w:rPr>
        <w:t xml:space="preserve">The inquest into the death of Jack Ritchie concluded that the provision of information and support was “woeful and inadequate”, identifying missed opportunities for effective intervention. This finding is consistent with the experience of families we support, who repeatedly report that individuals affected by gambling harm were not aware of the risks associated with gambling products, did not understand industry practices, were not informed about links with mental health and suicide, and did not know how to access evidence-based support. </w:t>
      </w:r>
    </w:p>
    <w:p w:rsidR="003A28DD"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There is therefore a strong case for a sustained, independent public health information programme, funded through the statutory levy and informed by both evidence and lived experience.</w:t>
      </w:r>
      <w:r w:rsidRPr="00400178" w:rsidR="00EC4F3C">
        <w:rPr>
          <w:rFonts w:ascii="Verdana" w:hAnsi="Verdana"/>
          <w:sz w:val="22"/>
          <w:szCs w:val="22"/>
        </w:rPr>
        <w:t xml:space="preserve"> We note that</w:t>
      </w:r>
      <w:r w:rsidRPr="00400178" w:rsidR="00321124">
        <w:rPr>
          <w:rFonts w:ascii="Verdana" w:hAnsi="Verdana"/>
          <w:sz w:val="22"/>
          <w:szCs w:val="22"/>
        </w:rPr>
        <w:t xml:space="preserve"> the NICE Guideline on Gambling Harms: Identification</w:t>
      </w:r>
      <w:r w:rsidRPr="00400178" w:rsidR="00CD7B49">
        <w:rPr>
          <w:rFonts w:ascii="Verdana" w:hAnsi="Verdana"/>
          <w:sz w:val="22"/>
          <w:szCs w:val="22"/>
        </w:rPr>
        <w:t>, Assessment and Management</w:t>
      </w:r>
      <w:r w:rsidRPr="00400178" w:rsidR="006E090C">
        <w:rPr>
          <w:rFonts w:ascii="Verdana" w:hAnsi="Verdana"/>
          <w:sz w:val="22"/>
          <w:szCs w:val="22"/>
        </w:rPr>
        <w:t xml:space="preserve"> </w:t>
      </w:r>
      <w:r w:rsidRPr="00400178" w:rsidR="006E090C">
        <w:rPr>
          <w:rFonts w:ascii="Verdana" w:hAnsi="Verdana"/>
          <w:sz w:val="22"/>
          <w:szCs w:val="22"/>
        </w:rPr>
        <w:t>highlights</w:t>
      </w:r>
      <w:r w:rsidRPr="00400178" w:rsidR="006E090C">
        <w:rPr>
          <w:rFonts w:ascii="Verdana" w:hAnsi="Verdana"/>
          <w:sz w:val="22"/>
          <w:szCs w:val="22"/>
        </w:rPr>
        <w:t xml:space="preserve"> the need </w:t>
      </w:r>
      <w:r w:rsidRPr="00400178" w:rsidR="00E15E02">
        <w:rPr>
          <w:rFonts w:ascii="Verdana" w:hAnsi="Verdana"/>
          <w:sz w:val="22"/>
          <w:szCs w:val="22"/>
        </w:rPr>
        <w:t>to “</w:t>
      </w:r>
      <w:r w:rsidRPr="00400178" w:rsidR="001720C1">
        <w:rPr>
          <w:rFonts w:ascii="Verdana" w:hAnsi="Verdana"/>
          <w:sz w:val="22"/>
          <w:szCs w:val="22"/>
        </w:rPr>
        <w:fldChar w:fldCharType="begin"/>
      </w:r>
      <w:r w:rsidRPr="00400178" w:rsidR="001720C1">
        <w:rPr>
          <w:rFonts w:ascii="Verdana" w:hAnsi="Verdana"/>
          <w:sz w:val="22"/>
          <w:szCs w:val="22"/>
        </w:rPr>
        <w:instrText>HYPERLINK "https://www.nice.org.uk/guidance/ng248" \t "_top"</w:instrText>
      </w:r>
      <w:r w:rsidRPr="00400178" w:rsidR="001720C1">
        <w:rPr>
          <w:rFonts w:ascii="Verdana" w:hAnsi="Verdana"/>
          <w:sz w:val="22"/>
          <w:szCs w:val="22"/>
        </w:rPr>
        <w:fldChar w:fldCharType="separate"/>
      </w:r>
      <w:r w:rsidRPr="00400178" w:rsidR="00E15E02">
        <w:rPr>
          <w:rFonts w:ascii="Verdana" w:hAnsi="Verdana"/>
          <w:sz w:val="22"/>
          <w:szCs w:val="22"/>
        </w:rPr>
        <w:t>provide unbiased information to people who are experiencing gambling-related harms (including affected others) to support their treatment and recovery</w:t>
      </w:r>
      <w:r w:rsidRPr="00400178" w:rsidR="001720C1">
        <w:rPr>
          <w:rFonts w:ascii="Verdana" w:hAnsi="Verdana"/>
          <w:sz w:val="22"/>
          <w:szCs w:val="22"/>
        </w:rPr>
        <w:t>”.</w:t>
      </w:r>
      <w:r>
        <w:rPr>
          <w:rStyle w:val="FootnoteReference"/>
          <w:rFonts w:ascii="Verdana" w:hAnsi="Verdana"/>
          <w:sz w:val="22"/>
          <w:szCs w:val="22"/>
        </w:rPr>
        <w:footnoteReference w:id="2"/>
      </w:r>
    </w:p>
    <w:p w:rsidR="00926627" w:rsidRPr="00400178" w:rsidP="00400178">
      <w:pPr>
        <w:spacing w:after="0" w:line="259" w:lineRule="auto"/>
        <w:rPr>
          <w:rFonts w:ascii="Verdana" w:hAnsi="Verdana"/>
          <w:sz w:val="22"/>
          <w:szCs w:val="22"/>
        </w:rPr>
      </w:pPr>
      <w:r w:rsidRPr="00400178">
        <w:rPr>
          <w:rFonts w:ascii="Verdana" w:hAnsi="Verdana"/>
          <w:sz w:val="22"/>
          <w:szCs w:val="22"/>
        </w:rPr>
        <w:fldChar w:fldCharType="end"/>
      </w:r>
    </w:p>
    <w:p w:rsidR="00C53AF7" w:rsidRPr="00400178" w:rsidP="00400178">
      <w:pPr>
        <w:spacing w:after="0" w:line="259" w:lineRule="auto"/>
        <w:rPr>
          <w:rFonts w:ascii="Verdana" w:hAnsi="Verdana"/>
          <w:sz w:val="22"/>
          <w:szCs w:val="22"/>
        </w:rPr>
      </w:pPr>
      <w:r w:rsidRPr="00400178">
        <w:rPr>
          <w:rFonts w:ascii="Verdana" w:hAnsi="Verdana"/>
          <w:sz w:val="22"/>
          <w:szCs w:val="22"/>
        </w:rPr>
        <w:t xml:space="preserve">Turning to the supplementary evidence </w:t>
      </w:r>
      <w:r w:rsidRPr="00400178" w:rsidR="005D31E9">
        <w:rPr>
          <w:rFonts w:ascii="Verdana" w:hAnsi="Verdana"/>
          <w:sz w:val="22"/>
          <w:szCs w:val="22"/>
        </w:rPr>
        <w:t xml:space="preserve">of </w:t>
      </w:r>
      <w:r w:rsidRPr="00400178" w:rsidR="00407F62">
        <w:rPr>
          <w:rFonts w:ascii="Verdana" w:hAnsi="Verdana"/>
          <w:sz w:val="22"/>
          <w:szCs w:val="22"/>
        </w:rPr>
        <w:t xml:space="preserve">Mr </w:t>
      </w:r>
      <w:r w:rsidRPr="00400178" w:rsidR="005D31E9">
        <w:rPr>
          <w:rFonts w:ascii="Verdana" w:hAnsi="Verdana"/>
          <w:sz w:val="22"/>
          <w:szCs w:val="22"/>
        </w:rPr>
        <w:t xml:space="preserve">Dan Waugh (Partner, Regulus Partners) which was </w:t>
      </w:r>
      <w:r w:rsidRPr="00400178">
        <w:rPr>
          <w:rFonts w:ascii="Verdana" w:hAnsi="Verdana"/>
          <w:sz w:val="22"/>
          <w:szCs w:val="22"/>
        </w:rPr>
        <w:t xml:space="preserve">submitted following the session, we consider it important to address the treatment of statistics in </w:t>
      </w:r>
      <w:r w:rsidRPr="00400178" w:rsidR="005D31E9">
        <w:rPr>
          <w:rFonts w:ascii="Verdana" w:hAnsi="Verdana"/>
          <w:sz w:val="22"/>
          <w:szCs w:val="22"/>
        </w:rPr>
        <w:t xml:space="preserve">his </w:t>
      </w:r>
      <w:r w:rsidRPr="00400178">
        <w:rPr>
          <w:rFonts w:ascii="Verdana" w:hAnsi="Verdana"/>
          <w:sz w:val="22"/>
          <w:szCs w:val="22"/>
        </w:rPr>
        <w:t xml:space="preserve">submission. The note in question presents itself as a technical critique but, in practice, </w:t>
      </w:r>
      <w:r w:rsidRPr="00400178" w:rsidR="001921C5">
        <w:rPr>
          <w:rFonts w:ascii="Verdana" w:hAnsi="Verdana"/>
          <w:sz w:val="22"/>
          <w:szCs w:val="22"/>
        </w:rPr>
        <w:t>relies on selective interpretation of data and does not reflect the position of relevant public authorities</w:t>
      </w:r>
      <w:r w:rsidRPr="00400178">
        <w:rPr>
          <w:rFonts w:ascii="Verdana" w:hAnsi="Verdana"/>
          <w:sz w:val="22"/>
          <w:szCs w:val="22"/>
        </w:rPr>
        <w:t>.</w:t>
      </w:r>
      <w:r w:rsidRPr="00400178">
        <w:rPr>
          <w:rFonts w:ascii="Verdana" w:hAnsi="Verdana"/>
          <w:sz w:val="22"/>
          <w:szCs w:val="22"/>
        </w:rPr>
        <w:t xml:space="preserve"> It is important that the Committee places weight on official statistics and the position of the statutory regulator when considering such claims.</w:t>
      </w:r>
    </w:p>
    <w:p w:rsidR="005D31E9" w:rsidRPr="00400178" w:rsidP="00400178">
      <w:pPr>
        <w:spacing w:after="0" w:line="259" w:lineRule="auto"/>
        <w:rPr>
          <w:rFonts w:ascii="Verdana" w:hAnsi="Verdana"/>
          <w:sz w:val="22"/>
          <w:szCs w:val="22"/>
        </w:rPr>
      </w:pPr>
    </w:p>
    <w:p w:rsidR="00EC4F3C" w:rsidRPr="00400178" w:rsidP="00400178">
      <w:pPr>
        <w:spacing w:after="0" w:line="259" w:lineRule="auto"/>
        <w:rPr>
          <w:rFonts w:ascii="Verdana" w:hAnsi="Verdana"/>
          <w:sz w:val="22"/>
          <w:szCs w:val="22"/>
        </w:rPr>
      </w:pPr>
      <w:r w:rsidRPr="00400178">
        <w:rPr>
          <w:rFonts w:ascii="Verdana" w:hAnsi="Verdana"/>
          <w:sz w:val="22"/>
          <w:szCs w:val="22"/>
        </w:rPr>
        <w:t>In particular, the Gambling Survey for Great Britain</w:t>
      </w:r>
      <w:r w:rsidRPr="00400178">
        <w:rPr>
          <w:rFonts w:ascii="Verdana" w:hAnsi="Verdana"/>
          <w:sz w:val="22"/>
          <w:szCs w:val="22"/>
        </w:rPr>
        <w:t xml:space="preserve"> (GSGB)</w:t>
      </w:r>
      <w:r w:rsidRPr="00400178">
        <w:rPr>
          <w:rFonts w:ascii="Verdana" w:hAnsi="Verdana"/>
          <w:sz w:val="22"/>
          <w:szCs w:val="22"/>
        </w:rPr>
        <w:t xml:space="preserve"> is the Gambling Commission’s </w:t>
      </w:r>
      <w:r w:rsidRPr="00400178" w:rsidR="003A28DD">
        <w:rPr>
          <w:rFonts w:ascii="Verdana" w:hAnsi="Verdana"/>
          <w:sz w:val="22"/>
          <w:szCs w:val="22"/>
        </w:rPr>
        <w:t xml:space="preserve">(GC) </w:t>
      </w:r>
      <w:r w:rsidRPr="00400178">
        <w:rPr>
          <w:rFonts w:ascii="Verdana" w:hAnsi="Verdana"/>
          <w:sz w:val="22"/>
          <w:szCs w:val="22"/>
        </w:rPr>
        <w:t xml:space="preserve">official statistics on gambling participation and harm. It has been developed over several years specifically to address limitations in prior data sources and has been subject to detailed methodological development and independent expert review, including by Professor Patrick Sturgis. </w:t>
      </w:r>
      <w:r w:rsidRPr="00400178">
        <w:rPr>
          <w:rFonts w:ascii="Verdana" w:hAnsi="Verdana"/>
          <w:sz w:val="22"/>
          <w:szCs w:val="22"/>
        </w:rPr>
        <w:t>The Committee will be aware that Prof</w:t>
      </w:r>
      <w:r w:rsidRPr="00400178" w:rsidR="00FE03BD">
        <w:rPr>
          <w:rFonts w:ascii="Verdana" w:hAnsi="Verdana"/>
          <w:sz w:val="22"/>
          <w:szCs w:val="22"/>
        </w:rPr>
        <w:t>essor</w:t>
      </w:r>
      <w:r w:rsidRPr="00400178">
        <w:rPr>
          <w:rFonts w:ascii="Verdana" w:hAnsi="Verdana"/>
          <w:sz w:val="22"/>
          <w:szCs w:val="22"/>
        </w:rPr>
        <w:t xml:space="preserve"> Sturgis undertook detailed experimental work which was published and presented when the second year of GSGB results were published. Mr Waugh attended the GC webinar where Prof</w:t>
      </w:r>
      <w:r w:rsidRPr="00400178" w:rsidR="00FE03BD">
        <w:rPr>
          <w:rFonts w:ascii="Verdana" w:hAnsi="Verdana"/>
          <w:sz w:val="22"/>
          <w:szCs w:val="22"/>
        </w:rPr>
        <w:t>essor</w:t>
      </w:r>
      <w:r w:rsidRPr="00400178">
        <w:rPr>
          <w:rFonts w:ascii="Verdana" w:hAnsi="Verdana"/>
          <w:sz w:val="22"/>
          <w:szCs w:val="22"/>
        </w:rPr>
        <w:t xml:space="preserve"> Sturgis discussed his work and answered all questions</w:t>
      </w:r>
      <w:r w:rsidRPr="00400178" w:rsidR="00DA4D49">
        <w:rPr>
          <w:rFonts w:ascii="Verdana" w:hAnsi="Verdana"/>
          <w:sz w:val="22"/>
          <w:szCs w:val="22"/>
        </w:rPr>
        <w:t>, including those from Mr Waugh</w:t>
      </w:r>
      <w:r w:rsidRPr="00400178">
        <w:rPr>
          <w:rFonts w:ascii="Verdana" w:hAnsi="Verdana"/>
          <w:sz w:val="22"/>
          <w:szCs w:val="22"/>
        </w:rPr>
        <w:t xml:space="preserve">. He concluded that the GSGB provided the most reliable estimates of gambling </w:t>
      </w:r>
      <w:r w:rsidRPr="00400178" w:rsidR="00DA4D49">
        <w:rPr>
          <w:rFonts w:ascii="Verdana" w:hAnsi="Verdana"/>
          <w:sz w:val="22"/>
          <w:szCs w:val="22"/>
        </w:rPr>
        <w:t>participation and harms. The Office of Statistics Regulation</w:t>
      </w:r>
      <w:r w:rsidRPr="00400178">
        <w:rPr>
          <w:rFonts w:ascii="Verdana" w:hAnsi="Verdana"/>
          <w:sz w:val="22"/>
          <w:szCs w:val="22"/>
        </w:rPr>
        <w:t xml:space="preserve"> </w:t>
      </w:r>
      <w:r w:rsidRPr="00400178" w:rsidR="00DA4D49">
        <w:rPr>
          <w:rFonts w:ascii="Verdana" w:hAnsi="Verdana"/>
          <w:sz w:val="22"/>
          <w:szCs w:val="22"/>
        </w:rPr>
        <w:t xml:space="preserve">has also worked with the </w:t>
      </w:r>
      <w:r w:rsidRPr="00400178" w:rsidR="004E483A">
        <w:rPr>
          <w:rFonts w:ascii="Verdana" w:hAnsi="Verdana"/>
          <w:sz w:val="22"/>
          <w:szCs w:val="22"/>
        </w:rPr>
        <w:t xml:space="preserve">GC </w:t>
      </w:r>
      <w:r w:rsidRPr="00400178" w:rsidR="00DA4D49">
        <w:rPr>
          <w:rFonts w:ascii="Verdana" w:hAnsi="Verdana"/>
          <w:sz w:val="22"/>
          <w:szCs w:val="22"/>
        </w:rPr>
        <w:t xml:space="preserve">on a process of continuous improvement of the survey. Full details of the </w:t>
      </w:r>
      <w:r w:rsidRPr="00400178" w:rsidR="00DA4D49">
        <w:rPr>
          <w:rFonts w:ascii="Verdana" w:hAnsi="Verdana"/>
          <w:sz w:val="22"/>
          <w:szCs w:val="22"/>
        </w:rPr>
        <w:t xml:space="preserve">extensive work which has been carried out by and for the </w:t>
      </w:r>
      <w:r w:rsidRPr="00400178" w:rsidR="004E483A">
        <w:rPr>
          <w:rFonts w:ascii="Verdana" w:hAnsi="Verdana"/>
          <w:sz w:val="22"/>
          <w:szCs w:val="22"/>
        </w:rPr>
        <w:t>GC</w:t>
      </w:r>
      <w:r w:rsidRPr="00400178" w:rsidR="00DA4D49">
        <w:rPr>
          <w:rFonts w:ascii="Verdana" w:hAnsi="Verdana"/>
          <w:sz w:val="22"/>
          <w:szCs w:val="22"/>
        </w:rPr>
        <w:t xml:space="preserve"> are available on their website.</w:t>
      </w:r>
      <w:r>
        <w:rPr>
          <w:rStyle w:val="FootnoteReference"/>
          <w:rFonts w:ascii="Verdana" w:hAnsi="Verdana"/>
          <w:sz w:val="22"/>
          <w:szCs w:val="22"/>
        </w:rPr>
        <w:footnoteReference w:id="3"/>
      </w:r>
      <w:r w:rsidRPr="00400178" w:rsidR="00DA4D49">
        <w:rPr>
          <w:rFonts w:ascii="Verdana" w:hAnsi="Verdana"/>
          <w:sz w:val="22"/>
          <w:szCs w:val="22"/>
        </w:rPr>
        <w:t xml:space="preserve"> The </w:t>
      </w:r>
      <w:r w:rsidRPr="00400178" w:rsidR="004E483A">
        <w:rPr>
          <w:rFonts w:ascii="Verdana" w:hAnsi="Verdana"/>
          <w:sz w:val="22"/>
          <w:szCs w:val="22"/>
        </w:rPr>
        <w:t>GC</w:t>
      </w:r>
      <w:r w:rsidRPr="00400178" w:rsidR="00DA4D49">
        <w:rPr>
          <w:rFonts w:ascii="Verdana" w:hAnsi="Verdana"/>
          <w:sz w:val="22"/>
          <w:szCs w:val="22"/>
        </w:rPr>
        <w:t xml:space="preserve"> states that GSGB is its “source for national statistics”.</w:t>
      </w:r>
      <w:r>
        <w:rPr>
          <w:rStyle w:val="FootnoteReference"/>
          <w:rFonts w:ascii="Verdana" w:hAnsi="Verdana"/>
          <w:sz w:val="22"/>
          <w:szCs w:val="22"/>
        </w:rPr>
        <w:footnoteReference w:id="4"/>
      </w:r>
    </w:p>
    <w:p w:rsidR="00EC4F3C"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It is therefore the appropriate and authoritative source for national estimates. Critiques which seek to displace it are not endorsed by the regulator and should be treated with caution. </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More fundamentally, the policy significance of gambling harm does not depend on the precise value of any single estimate. Even the most conservative credible figures represent a substantial public health issue. </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A similar dynamic is evident in relation to the distribution of gambling revenue. While different studies use different definitions and datasets, there is broad agreement that gambling expenditure is highly concentrated among a relatively small group of higher-spending customers. </w:t>
      </w:r>
      <w:r w:rsidRPr="00400178" w:rsidR="00EE533C">
        <w:rPr>
          <w:rFonts w:ascii="Verdana" w:hAnsi="Verdana"/>
          <w:sz w:val="22"/>
          <w:szCs w:val="22"/>
        </w:rPr>
        <w:t>For instance, the Patterns of Play project itself</w:t>
      </w:r>
      <w:r>
        <w:rPr>
          <w:rStyle w:val="FootnoteReference"/>
          <w:rFonts w:ascii="Verdana" w:hAnsi="Verdana"/>
          <w:sz w:val="22"/>
          <w:szCs w:val="22"/>
        </w:rPr>
        <w:footnoteReference w:id="5"/>
      </w:r>
      <w:r w:rsidRPr="00400178" w:rsidR="00EE533C">
        <w:rPr>
          <w:rFonts w:ascii="Verdana" w:hAnsi="Verdana"/>
          <w:sz w:val="22"/>
          <w:szCs w:val="22"/>
        </w:rPr>
        <w:t xml:space="preserve"> (quoted by Mr Waugh) includes several such measures across a range of online gambling activities, such as Online Casino – </w:t>
      </w:r>
      <w:r w:rsidRPr="00400178" w:rsidR="000F7884">
        <w:rPr>
          <w:rFonts w:ascii="Verdana" w:hAnsi="Verdana"/>
          <w:sz w:val="22"/>
          <w:szCs w:val="22"/>
        </w:rPr>
        <w:t>0.5</w:t>
      </w:r>
      <w:r w:rsidRPr="00400178" w:rsidR="00EE533C">
        <w:rPr>
          <w:rFonts w:ascii="Verdana" w:hAnsi="Verdana"/>
          <w:sz w:val="22"/>
          <w:szCs w:val="22"/>
        </w:rPr>
        <w:t xml:space="preserve">% of customers account for 49.6% of </w:t>
      </w:r>
      <w:r w:rsidRPr="00400178" w:rsidR="005D67A9">
        <w:rPr>
          <w:rFonts w:ascii="Verdana" w:hAnsi="Verdana"/>
          <w:sz w:val="22"/>
          <w:szCs w:val="22"/>
        </w:rPr>
        <w:t xml:space="preserve">gross gambling yield </w:t>
      </w:r>
      <w:r w:rsidRPr="00400178" w:rsidR="00EE533C">
        <w:rPr>
          <w:rFonts w:ascii="Verdana" w:hAnsi="Verdana"/>
          <w:sz w:val="22"/>
          <w:szCs w:val="22"/>
        </w:rPr>
        <w:t xml:space="preserve">and 20% account for 93.7%. </w:t>
      </w:r>
      <w:r w:rsidRPr="00400178">
        <w:rPr>
          <w:rFonts w:ascii="Verdana" w:hAnsi="Verdana"/>
          <w:sz w:val="22"/>
          <w:szCs w:val="22"/>
        </w:rPr>
        <w:t>This concentration is a consistent feature of gambling markets and</w:t>
      </w:r>
      <w:r w:rsidRPr="00400178" w:rsidR="004450C2">
        <w:rPr>
          <w:rFonts w:ascii="Verdana" w:hAnsi="Verdana"/>
          <w:sz w:val="22"/>
          <w:szCs w:val="22"/>
        </w:rPr>
        <w:t xml:space="preserve"> particular </w:t>
      </w:r>
      <w:r w:rsidRPr="00400178" w:rsidR="004450C2">
        <w:rPr>
          <w:rFonts w:ascii="Verdana" w:hAnsi="Verdana"/>
          <w:sz w:val="22"/>
          <w:szCs w:val="22"/>
        </w:rPr>
        <w:t>products, and</w:t>
      </w:r>
      <w:r w:rsidRPr="00400178">
        <w:rPr>
          <w:rFonts w:ascii="Verdana" w:hAnsi="Verdana"/>
          <w:sz w:val="22"/>
          <w:szCs w:val="22"/>
        </w:rPr>
        <w:t xml:space="preserve"> is directly linked to harm risk. </w:t>
      </w:r>
    </w:p>
    <w:p w:rsidR="0015486C"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Disputes over whether a particular figure is expressed as 60 per cent or 86 per cent, or whether it refers to revenue rather than profit, do not alter the underlying and widely accepted conclusion that consumption is unevenly distributed and associated with increased risk of harm.</w:t>
      </w:r>
    </w:p>
    <w:p w:rsidR="00926627" w:rsidRPr="00400178" w:rsidP="00400178">
      <w:pPr>
        <w:spacing w:after="0" w:line="259" w:lineRule="auto"/>
        <w:rPr>
          <w:rFonts w:ascii="Verdana" w:hAnsi="Verdana"/>
          <w:sz w:val="22"/>
          <w:szCs w:val="22"/>
        </w:rPr>
      </w:pPr>
    </w:p>
    <w:p w:rsidR="00A16907" w:rsidRPr="00400178" w:rsidP="00400178">
      <w:pPr>
        <w:spacing w:after="0" w:line="259" w:lineRule="auto"/>
        <w:rPr>
          <w:rFonts w:ascii="Verdana" w:hAnsi="Verdana"/>
          <w:sz w:val="22"/>
          <w:szCs w:val="22"/>
        </w:rPr>
      </w:pPr>
      <w:r w:rsidRPr="00400178">
        <w:rPr>
          <w:rFonts w:ascii="Verdana" w:hAnsi="Verdana"/>
          <w:sz w:val="22"/>
          <w:szCs w:val="22"/>
        </w:rPr>
        <w:t>In relation to suicide, we wish to clarify our oral evidence. The most robust currently available estimate is that published by the Office for Health Improvement and Disparities (OHID), which identifies between 117 and 496 gambling-related suicides per year in England.</w:t>
      </w:r>
      <w:r>
        <w:rPr>
          <w:rStyle w:val="FootnoteReference"/>
          <w:rFonts w:ascii="Verdana" w:hAnsi="Verdana"/>
          <w:sz w:val="22"/>
          <w:szCs w:val="22"/>
        </w:rPr>
        <w:footnoteReference w:id="6"/>
      </w:r>
      <w:r w:rsidRPr="00400178">
        <w:rPr>
          <w:rFonts w:ascii="Verdana" w:hAnsi="Verdana"/>
          <w:sz w:val="22"/>
          <w:szCs w:val="22"/>
        </w:rPr>
        <w:t xml:space="preserve"> This corresponds to approximately 2 to 9% of all suicides. </w:t>
      </w:r>
    </w:p>
    <w:p w:rsidR="004E483A" w:rsidRPr="00400178" w:rsidP="00400178">
      <w:pPr>
        <w:spacing w:after="0" w:line="259" w:lineRule="auto"/>
        <w:rPr>
          <w:rFonts w:ascii="Verdana" w:hAnsi="Verdana"/>
          <w:sz w:val="22"/>
          <w:szCs w:val="22"/>
        </w:rPr>
      </w:pPr>
    </w:p>
    <w:p w:rsidR="00A16907" w:rsidRPr="00400178" w:rsidP="00400178">
      <w:pPr>
        <w:spacing w:after="0" w:line="259" w:lineRule="auto"/>
        <w:rPr>
          <w:rFonts w:ascii="Verdana" w:hAnsi="Verdana"/>
          <w:sz w:val="22"/>
          <w:szCs w:val="22"/>
        </w:rPr>
      </w:pPr>
      <w:r w:rsidRPr="00400178">
        <w:rPr>
          <w:rFonts w:ascii="Verdana" w:hAnsi="Verdana"/>
          <w:sz w:val="22"/>
          <w:szCs w:val="22"/>
        </w:rPr>
        <w:t>International evidence is consistent with this position; for example, a population-based study in Australia identified 4.2 per cent of suicides as gambling-related.</w:t>
      </w:r>
      <w:r>
        <w:rPr>
          <w:rStyle w:val="FootnoteReference"/>
          <w:rFonts w:ascii="Verdana" w:hAnsi="Verdana"/>
          <w:sz w:val="22"/>
          <w:szCs w:val="22"/>
        </w:rPr>
        <w:footnoteReference w:id="7"/>
      </w:r>
    </w:p>
    <w:p w:rsidR="00B00A04" w:rsidRPr="00400178" w:rsidP="00400178">
      <w:pPr>
        <w:spacing w:after="0" w:line="259" w:lineRule="auto"/>
        <w:rPr>
          <w:rFonts w:ascii="Verdana" w:hAnsi="Verdana"/>
          <w:sz w:val="22"/>
          <w:szCs w:val="22"/>
        </w:rPr>
      </w:pPr>
    </w:p>
    <w:p w:rsidR="001921C5" w:rsidRPr="00400178" w:rsidP="00400178">
      <w:pPr>
        <w:spacing w:after="0" w:line="259" w:lineRule="auto"/>
        <w:rPr>
          <w:rFonts w:ascii="Verdana" w:hAnsi="Verdana"/>
          <w:sz w:val="22"/>
          <w:szCs w:val="22"/>
        </w:rPr>
      </w:pPr>
      <w:r w:rsidRPr="00400178">
        <w:rPr>
          <w:rFonts w:ascii="Verdana" w:hAnsi="Verdana"/>
          <w:sz w:val="22"/>
          <w:szCs w:val="22"/>
        </w:rPr>
        <w:t>We wish to be clear that our oral evidence was intended to reflect this range and was not based on the Hong Kong study referenced in</w:t>
      </w:r>
      <w:r w:rsidRPr="00400178" w:rsidR="005D31E9">
        <w:rPr>
          <w:rFonts w:ascii="Verdana" w:hAnsi="Verdana"/>
          <w:sz w:val="22"/>
          <w:szCs w:val="22"/>
        </w:rPr>
        <w:t xml:space="preserve"> Mr Waugh’s</w:t>
      </w:r>
      <w:r w:rsidRPr="00400178">
        <w:rPr>
          <w:rFonts w:ascii="Verdana" w:hAnsi="Verdana"/>
          <w:sz w:val="22"/>
          <w:szCs w:val="22"/>
        </w:rPr>
        <w:t xml:space="preserve"> supplementary evidence.</w:t>
      </w:r>
    </w:p>
    <w:p w:rsidR="00A16907" w:rsidRPr="00400178" w:rsidP="00400178">
      <w:pPr>
        <w:spacing w:after="0" w:line="259" w:lineRule="auto"/>
        <w:rPr>
          <w:rFonts w:ascii="Verdana" w:hAnsi="Verdana"/>
          <w:sz w:val="22"/>
          <w:szCs w:val="22"/>
        </w:rPr>
      </w:pPr>
    </w:p>
    <w:p w:rsidR="00396ECF" w:rsidRPr="00400178" w:rsidP="00400178">
      <w:pPr>
        <w:spacing w:after="0" w:line="259" w:lineRule="auto"/>
        <w:rPr>
          <w:rFonts w:ascii="Verdana" w:hAnsi="Verdana"/>
          <w:sz w:val="22"/>
          <w:szCs w:val="22"/>
        </w:rPr>
      </w:pPr>
      <w:r w:rsidRPr="00400178">
        <w:rPr>
          <w:rFonts w:ascii="Verdana" w:hAnsi="Verdana"/>
          <w:sz w:val="22"/>
          <w:szCs w:val="22"/>
        </w:rPr>
        <w:t xml:space="preserve">While it is correct that there is uncertainty in precise quantification, this reflects the limitations of current </w:t>
      </w:r>
      <w:r w:rsidRPr="00400178" w:rsidR="00EE533C">
        <w:rPr>
          <w:rFonts w:ascii="Verdana" w:hAnsi="Verdana"/>
          <w:sz w:val="22"/>
          <w:szCs w:val="22"/>
        </w:rPr>
        <w:t xml:space="preserve">investigatory processes and </w:t>
      </w:r>
      <w:r w:rsidRPr="00400178">
        <w:rPr>
          <w:rFonts w:ascii="Verdana" w:hAnsi="Verdana"/>
          <w:sz w:val="22"/>
          <w:szCs w:val="22"/>
        </w:rPr>
        <w:t>data collection rather than any absence of relationship. The association between gambling harm and suicide is well established, including in</w:t>
      </w:r>
      <w:r w:rsidRPr="00400178" w:rsidR="00EE533C">
        <w:rPr>
          <w:rFonts w:ascii="Verdana" w:hAnsi="Verdana"/>
          <w:sz w:val="22"/>
          <w:szCs w:val="22"/>
        </w:rPr>
        <w:t xml:space="preserve"> </w:t>
      </w:r>
      <w:r w:rsidRPr="00400178" w:rsidR="000F7884">
        <w:rPr>
          <w:rFonts w:ascii="Verdana" w:hAnsi="Verdana"/>
          <w:sz w:val="22"/>
          <w:szCs w:val="22"/>
        </w:rPr>
        <w:t>several coroner</w:t>
      </w:r>
      <w:r w:rsidRPr="00400178">
        <w:rPr>
          <w:rFonts w:ascii="Verdana" w:hAnsi="Verdana"/>
          <w:sz w:val="22"/>
          <w:szCs w:val="22"/>
        </w:rPr>
        <w:t xml:space="preserve"> findings, and is recognised within UK public health frameworks. </w:t>
      </w:r>
      <w:r w:rsidRPr="00400178" w:rsidR="00EE533C">
        <w:rPr>
          <w:rFonts w:ascii="Verdana" w:hAnsi="Verdana"/>
          <w:sz w:val="22"/>
          <w:szCs w:val="22"/>
        </w:rPr>
        <w:t>Gambling is also highlighted as one of six factors linked to suicide in the National Suicide Prevention Strategy for England</w:t>
      </w:r>
      <w:r w:rsidRPr="00400178" w:rsidR="00056751">
        <w:rPr>
          <w:rFonts w:ascii="Verdana" w:hAnsi="Verdana"/>
          <w:sz w:val="22"/>
          <w:szCs w:val="22"/>
        </w:rPr>
        <w:t>,</w:t>
      </w:r>
      <w:r>
        <w:rPr>
          <w:rStyle w:val="FootnoteReference"/>
          <w:rFonts w:ascii="Verdana" w:hAnsi="Verdana"/>
          <w:sz w:val="22"/>
          <w:szCs w:val="22"/>
        </w:rPr>
        <w:footnoteReference w:id="8"/>
      </w:r>
      <w:r w:rsidRPr="00400178" w:rsidR="00056751">
        <w:rPr>
          <w:rFonts w:ascii="Verdana" w:hAnsi="Verdana"/>
          <w:sz w:val="22"/>
          <w:szCs w:val="22"/>
        </w:rPr>
        <w:t xml:space="preserve"> and widely acknowledged that it can be a “dominant factor without which the death may not have occurred”.</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 xml:space="preserve">Stepping back from these specific points, </w:t>
      </w:r>
      <w:r w:rsidRPr="00400178" w:rsidR="00056751">
        <w:rPr>
          <w:rFonts w:ascii="Verdana" w:hAnsi="Verdana"/>
          <w:sz w:val="22"/>
          <w:szCs w:val="22"/>
        </w:rPr>
        <w:t xml:space="preserve">we believe that </w:t>
      </w:r>
      <w:r w:rsidRPr="00400178">
        <w:rPr>
          <w:rFonts w:ascii="Verdana" w:hAnsi="Verdana"/>
          <w:sz w:val="22"/>
          <w:szCs w:val="22"/>
        </w:rPr>
        <w:t xml:space="preserve">it is important that the Committee is not drawn into technical disputes that do not alter the overall direction of evidence. The existence of gambling-related harm at scale is not contested by credible public bodies. Advertising increases exposure and consumption. Consumption is linked to harm. The current level of exposure is </w:t>
      </w:r>
      <w:r w:rsidRPr="00400178" w:rsidR="00A16907">
        <w:rPr>
          <w:rFonts w:ascii="Verdana" w:hAnsi="Verdana"/>
          <w:sz w:val="22"/>
          <w:szCs w:val="22"/>
        </w:rPr>
        <w:t>high,</w:t>
      </w:r>
      <w:r w:rsidRPr="00400178">
        <w:rPr>
          <w:rFonts w:ascii="Verdana" w:hAnsi="Verdana"/>
          <w:sz w:val="22"/>
          <w:szCs w:val="22"/>
        </w:rPr>
        <w:t xml:space="preserve"> and the current regulatory framework has not reduced it. These are the key facts relevant to policy.</w:t>
      </w:r>
    </w:p>
    <w:p w:rsidR="00926627" w:rsidRPr="00400178" w:rsidP="00400178">
      <w:pPr>
        <w:spacing w:after="0" w:line="259" w:lineRule="auto"/>
        <w:rPr>
          <w:rFonts w:ascii="Verdana" w:hAnsi="Verdana"/>
          <w:sz w:val="22"/>
          <w:szCs w:val="22"/>
        </w:rPr>
      </w:pPr>
    </w:p>
    <w:p w:rsidR="00926627" w:rsidRPr="00400178" w:rsidP="00400178">
      <w:pPr>
        <w:spacing w:after="0" w:line="259" w:lineRule="auto"/>
        <w:rPr>
          <w:rFonts w:ascii="Verdana" w:hAnsi="Verdana"/>
          <w:sz w:val="22"/>
          <w:szCs w:val="22"/>
        </w:rPr>
      </w:pPr>
      <w:r w:rsidRPr="00400178">
        <w:rPr>
          <w:rFonts w:ascii="Verdana" w:hAnsi="Verdana"/>
          <w:sz w:val="22"/>
          <w:szCs w:val="22"/>
        </w:rPr>
        <w:t>While individual statistics may continue to be debated, the overall direction of evidence is consistent and robust. The current scale and nature of gambling advertising is not compatible with the stated objective of reducing harm, and a strengthening of the regulatory approach is warranted.</w:t>
      </w:r>
    </w:p>
    <w:p w:rsidR="00A16907" w:rsidRPr="00400178" w:rsidP="00400178">
      <w:pPr>
        <w:spacing w:after="0" w:line="259" w:lineRule="auto"/>
        <w:rPr>
          <w:rFonts w:ascii="Verdana" w:hAnsi="Verdana"/>
          <w:sz w:val="22"/>
          <w:szCs w:val="22"/>
        </w:rPr>
      </w:pPr>
    </w:p>
    <w:p w:rsidR="006C00B5" w:rsidRPr="00400178" w:rsidP="00400178">
      <w:pPr>
        <w:spacing w:after="0" w:line="259" w:lineRule="auto"/>
        <w:rPr>
          <w:rFonts w:ascii="Verdana" w:hAnsi="Verdana"/>
          <w:i/>
          <w:iCs/>
          <w:sz w:val="22"/>
          <w:szCs w:val="22"/>
        </w:rPr>
      </w:pPr>
      <w:r>
        <w:rPr>
          <w:rFonts w:ascii="Verdana" w:hAnsi="Verdana"/>
          <w:i/>
          <w:iCs/>
          <w:sz w:val="22"/>
          <w:szCs w:val="22"/>
        </w:rPr>
        <w:t>June 2026</w:t>
      </w:r>
    </w:p>
    <w:sectPr>
      <w:head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17BB9" w:rsidP="00926627">
      <w:pPr>
        <w:spacing w:after="0" w:line="240" w:lineRule="auto"/>
      </w:pPr>
      <w:r>
        <w:separator/>
      </w:r>
    </w:p>
  </w:footnote>
  <w:footnote w:type="continuationSeparator" w:id="1">
    <w:p w:rsidR="00017BB9" w:rsidP="00926627">
      <w:pPr>
        <w:spacing w:after="0" w:line="240" w:lineRule="auto"/>
      </w:pPr>
      <w:r>
        <w:continuationSeparator/>
      </w:r>
    </w:p>
  </w:footnote>
  <w:footnote w:id="2">
    <w:p w:rsidR="003A28DD"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NICE Guidelines,</w:t>
      </w:r>
      <w:r w:rsidRPr="00400178" w:rsidR="00FB48EA">
        <w:rPr>
          <w:rFonts w:ascii="Verdana" w:hAnsi="Verdana"/>
          <w:sz w:val="18"/>
          <w:szCs w:val="18"/>
        </w:rPr>
        <w:t xml:space="preserve"> </w:t>
      </w:r>
      <w:r w:rsidRPr="00400178">
        <w:rPr>
          <w:rFonts w:ascii="Verdana" w:hAnsi="Verdana"/>
          <w:i/>
          <w:iCs/>
          <w:sz w:val="18"/>
          <w:szCs w:val="18"/>
        </w:rPr>
        <w:t>Gambling-related harms: identification, assessment and management</w:t>
      </w:r>
      <w:r w:rsidRPr="00400178">
        <w:rPr>
          <w:rFonts w:ascii="Verdana" w:hAnsi="Verdana"/>
          <w:sz w:val="18"/>
          <w:szCs w:val="18"/>
        </w:rPr>
        <w:t>, published 28 January 2025, available at:</w:t>
      </w:r>
      <w:r w:rsidRPr="00400178" w:rsidR="00FB48EA">
        <w:rPr>
          <w:rFonts w:ascii="Verdana" w:hAnsi="Verdana"/>
          <w:sz w:val="18"/>
          <w:szCs w:val="18"/>
        </w:rPr>
        <w:t xml:space="preserve"> </w:t>
      </w:r>
      <w:r>
        <w:fldChar w:fldCharType="begin"/>
      </w:r>
      <w:r>
        <w:instrText xml:space="preserve"> HYPERLINK "https://www.nice.org.uk/guidance/ng248" </w:instrText>
      </w:r>
      <w:r>
        <w:fldChar w:fldCharType="separate"/>
      </w:r>
      <w:r w:rsidRPr="00400178" w:rsidR="00FB48EA">
        <w:rPr>
          <w:rStyle w:val="Hyperlink"/>
          <w:rFonts w:ascii="Verdana" w:hAnsi="Verdana"/>
          <w:color w:val="auto"/>
          <w:sz w:val="18"/>
          <w:szCs w:val="18"/>
        </w:rPr>
        <w:t>https://www.nice.org.uk/guidance/ng248</w:t>
      </w:r>
      <w:r>
        <w:fldChar w:fldCharType="end"/>
      </w:r>
      <w:r w:rsidRPr="00400178" w:rsidR="00FB48EA">
        <w:rPr>
          <w:rFonts w:ascii="Verdana" w:hAnsi="Verdana"/>
          <w:sz w:val="18"/>
          <w:szCs w:val="18"/>
        </w:rPr>
        <w:t xml:space="preserve"> </w:t>
      </w:r>
    </w:p>
  </w:footnote>
  <w:footnote w:id="3">
    <w:p w:rsidR="00A82BD5"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Gambling Commission, </w:t>
      </w:r>
      <w:r w:rsidRPr="00400178" w:rsidR="00B4433D">
        <w:rPr>
          <w:rFonts w:ascii="Verdana" w:hAnsi="Verdana"/>
          <w:i/>
          <w:iCs/>
          <w:sz w:val="18"/>
          <w:szCs w:val="18"/>
        </w:rPr>
        <w:t>Continuous Improvement</w:t>
      </w:r>
      <w:r w:rsidRPr="00400178">
        <w:rPr>
          <w:rFonts w:ascii="Verdana" w:hAnsi="Verdana"/>
          <w:sz w:val="18"/>
          <w:szCs w:val="18"/>
        </w:rPr>
        <w:t xml:space="preserve">, available at: </w:t>
      </w:r>
      <w:r>
        <w:fldChar w:fldCharType="begin"/>
      </w:r>
      <w:r>
        <w:instrText xml:space="preserve"> HYPERLINK "https://www.gamblingcommission.gov.uk/about-us/page/continuous-improvement" </w:instrText>
      </w:r>
      <w:r>
        <w:fldChar w:fldCharType="separate"/>
      </w:r>
      <w:r w:rsidRPr="00400178" w:rsidR="00B4433D">
        <w:rPr>
          <w:rStyle w:val="Hyperlink"/>
          <w:rFonts w:ascii="Verdana" w:hAnsi="Verdana"/>
          <w:color w:val="auto"/>
          <w:sz w:val="18"/>
          <w:szCs w:val="18"/>
        </w:rPr>
        <w:t>https://www.gamblingcommission.gov.uk/about-us/page/continuous-improvement</w:t>
      </w:r>
      <w:r>
        <w:fldChar w:fldCharType="end"/>
      </w:r>
      <w:r w:rsidRPr="00400178" w:rsidR="00B4433D">
        <w:rPr>
          <w:rFonts w:ascii="Verdana" w:hAnsi="Verdana"/>
          <w:sz w:val="18"/>
          <w:szCs w:val="18"/>
        </w:rPr>
        <w:t xml:space="preserve"> </w:t>
      </w:r>
    </w:p>
  </w:footnote>
  <w:footnote w:id="4">
    <w:p w:rsidR="004E483A"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w:t>
      </w:r>
      <w:r w:rsidRPr="00400178" w:rsidR="00066ECD">
        <w:rPr>
          <w:rFonts w:ascii="Verdana" w:hAnsi="Verdana"/>
          <w:sz w:val="18"/>
          <w:szCs w:val="18"/>
        </w:rPr>
        <w:t xml:space="preserve">Gambling Commission, </w:t>
      </w:r>
      <w:r w:rsidRPr="00400178" w:rsidR="00066ECD">
        <w:rPr>
          <w:rFonts w:ascii="Verdana" w:hAnsi="Verdana"/>
          <w:i/>
          <w:iCs/>
          <w:sz w:val="18"/>
          <w:szCs w:val="18"/>
        </w:rPr>
        <w:t>Statistics and Research</w:t>
      </w:r>
      <w:r w:rsidRPr="00400178" w:rsidR="00066ECD">
        <w:rPr>
          <w:rFonts w:ascii="Verdana" w:hAnsi="Verdana"/>
          <w:sz w:val="18"/>
          <w:szCs w:val="18"/>
        </w:rPr>
        <w:t xml:space="preserve">, available at: </w:t>
      </w:r>
      <w:r>
        <w:fldChar w:fldCharType="begin"/>
      </w:r>
      <w:r>
        <w:instrText xml:space="preserve"> HYPERLINK "https://www.gamblingcommission.gov.uk/about-us/statistics-and-research/gambling-survey" </w:instrText>
      </w:r>
      <w:r>
        <w:fldChar w:fldCharType="separate"/>
      </w:r>
      <w:r w:rsidRPr="00400178" w:rsidR="00066ECD">
        <w:rPr>
          <w:rStyle w:val="Hyperlink"/>
          <w:rFonts w:ascii="Verdana" w:hAnsi="Verdana"/>
          <w:color w:val="auto"/>
          <w:sz w:val="18"/>
          <w:szCs w:val="18"/>
        </w:rPr>
        <w:t>https://www.gamblingcommission.gov.uk/about-us/statistics-and-research/gambling-survey</w:t>
      </w:r>
      <w:r>
        <w:fldChar w:fldCharType="end"/>
      </w:r>
    </w:p>
  </w:footnote>
  <w:footnote w:id="5">
    <w:p w:rsidR="00F74480"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w:t>
      </w:r>
      <w:r w:rsidRPr="00400178" w:rsidR="008B63B2">
        <w:rPr>
          <w:rFonts w:ascii="Verdana" w:hAnsi="Verdana"/>
          <w:sz w:val="18"/>
          <w:szCs w:val="18"/>
        </w:rPr>
        <w:t xml:space="preserve">GambleAware, </w:t>
      </w:r>
      <w:r w:rsidRPr="00400178" w:rsidR="008B63B2">
        <w:rPr>
          <w:rFonts w:ascii="Verdana" w:hAnsi="Verdana"/>
          <w:i/>
          <w:iCs/>
          <w:sz w:val="18"/>
          <w:szCs w:val="18"/>
        </w:rPr>
        <w:t xml:space="preserve">Patterns of Play: </w:t>
      </w:r>
      <w:r w:rsidRPr="00400178" w:rsidR="000E0700">
        <w:rPr>
          <w:rFonts w:ascii="Verdana" w:hAnsi="Verdana"/>
          <w:i/>
          <w:iCs/>
          <w:sz w:val="18"/>
          <w:szCs w:val="18"/>
        </w:rPr>
        <w:t>Technical Report 2 – Account Data Stage Report</w:t>
      </w:r>
      <w:r w:rsidRPr="00400178" w:rsidR="008B63B2">
        <w:rPr>
          <w:rFonts w:ascii="Verdana" w:hAnsi="Verdana"/>
          <w:sz w:val="18"/>
          <w:szCs w:val="18"/>
        </w:rPr>
        <w:t xml:space="preserve">, National Centre for Social Research, 2022, </w:t>
      </w:r>
      <w:r w:rsidRPr="00400178" w:rsidR="003D604F">
        <w:rPr>
          <w:rFonts w:ascii="Verdana" w:hAnsi="Verdana"/>
          <w:sz w:val="18"/>
          <w:szCs w:val="18"/>
        </w:rPr>
        <w:t xml:space="preserve">see </w:t>
      </w:r>
      <w:r w:rsidRPr="00400178" w:rsidR="0015486C">
        <w:rPr>
          <w:rFonts w:ascii="Verdana" w:hAnsi="Verdana"/>
          <w:sz w:val="18"/>
          <w:szCs w:val="18"/>
        </w:rPr>
        <w:t>p</w:t>
      </w:r>
      <w:r w:rsidRPr="00400178" w:rsidR="003D604F">
        <w:rPr>
          <w:rFonts w:ascii="Verdana" w:hAnsi="Verdana"/>
          <w:sz w:val="18"/>
          <w:szCs w:val="18"/>
        </w:rPr>
        <w:t xml:space="preserve">age 45, </w:t>
      </w:r>
      <w:r w:rsidRPr="00400178" w:rsidR="008B63B2">
        <w:rPr>
          <w:rFonts w:ascii="Verdana" w:hAnsi="Verdana"/>
          <w:sz w:val="18"/>
          <w:szCs w:val="18"/>
        </w:rPr>
        <w:t xml:space="preserve">available at: </w:t>
      </w:r>
      <w:r>
        <w:fldChar w:fldCharType="begin"/>
      </w:r>
      <w:r>
        <w:instrText xml:space="preserve"> HYPERLINK "https://natcen.ac.uk/sites/default/files/2023-03/Patterns%20of%20Play_Technical%20Report%202_Account%20Data%20Stage%20Report.pdf" </w:instrText>
      </w:r>
      <w:r>
        <w:fldChar w:fldCharType="separate"/>
      </w:r>
      <w:r w:rsidRPr="00400178" w:rsidR="000E0700">
        <w:rPr>
          <w:rStyle w:val="Hyperlink"/>
          <w:rFonts w:ascii="Verdana" w:hAnsi="Verdana"/>
          <w:color w:val="auto"/>
          <w:sz w:val="18"/>
          <w:szCs w:val="18"/>
        </w:rPr>
        <w:t>https://natcen.ac.uk/sites/default/files/2023-03/Patterns%20of%20Play_Technical%20Report%202_Account%20Data%20Stage%20Report.pdf</w:t>
      </w:r>
      <w:r>
        <w:fldChar w:fldCharType="end"/>
      </w:r>
      <w:r w:rsidRPr="00400178" w:rsidR="008B63B2">
        <w:rPr>
          <w:rFonts w:ascii="Verdana" w:hAnsi="Verdana"/>
          <w:sz w:val="18"/>
          <w:szCs w:val="18"/>
        </w:rPr>
        <w:t xml:space="preserve"> </w:t>
      </w:r>
    </w:p>
  </w:footnote>
  <w:footnote w:id="6">
    <w:p w:rsidR="00926627"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w:t>
      </w:r>
      <w:r w:rsidRPr="00400178" w:rsidR="00A16907">
        <w:rPr>
          <w:rFonts w:ascii="Verdana" w:hAnsi="Verdana"/>
          <w:sz w:val="18"/>
          <w:szCs w:val="18"/>
        </w:rPr>
        <w:t xml:space="preserve">Office for Health Improvement and Disparities: </w:t>
      </w:r>
      <w:r w:rsidRPr="00400178" w:rsidR="00A16907">
        <w:rPr>
          <w:rFonts w:ascii="Verdana" w:hAnsi="Verdana"/>
          <w:i/>
          <w:iCs/>
          <w:sz w:val="18"/>
          <w:szCs w:val="18"/>
        </w:rPr>
        <w:t>The economic and social cost of harms associated with gambling in England Evidence update 2023</w:t>
      </w:r>
      <w:r w:rsidRPr="00400178" w:rsidR="00A16907">
        <w:rPr>
          <w:rFonts w:ascii="Verdana" w:hAnsi="Verdana"/>
          <w:sz w:val="18"/>
          <w:szCs w:val="18"/>
        </w:rPr>
        <w:t xml:space="preserve">, published 11 January 2023, available at: </w:t>
      </w:r>
      <w:r>
        <w:fldChar w:fldCharType="begin"/>
      </w:r>
      <w:r>
        <w:instrText xml:space="preserve"> HYPERLINK "https://assets.publishing.service.gov.uk/government/uploads/system/uploads/attachment_data/file/1128002/The-economic-cost-of-gambling-related-harm-in-England_evidence-update-2023.pdf" </w:instrText>
      </w:r>
      <w:r>
        <w:fldChar w:fldCharType="separate"/>
      </w:r>
      <w:r w:rsidRPr="00400178" w:rsidR="00A16907">
        <w:rPr>
          <w:rStyle w:val="Hyperlink"/>
          <w:rFonts w:ascii="Verdana" w:hAnsi="Verdana"/>
          <w:color w:val="auto"/>
          <w:sz w:val="18"/>
          <w:szCs w:val="18"/>
        </w:rPr>
        <w:t>https://assets.publishing.service.gov.uk/government/uploads/system/uploads/attachment_data/file/1128002/The-economic-cost-of-gambling-related-harm-in-England_evidence-update-2023.pdf</w:t>
      </w:r>
      <w:r>
        <w:fldChar w:fldCharType="end"/>
      </w:r>
      <w:r w:rsidRPr="00400178" w:rsidR="00A16907">
        <w:rPr>
          <w:rFonts w:ascii="Verdana" w:hAnsi="Verdana"/>
          <w:sz w:val="18"/>
          <w:szCs w:val="18"/>
        </w:rPr>
        <w:t xml:space="preserve"> </w:t>
      </w:r>
    </w:p>
  </w:footnote>
  <w:footnote w:id="7">
    <w:p w:rsidR="00056751" w:rsidRPr="00400178" w:rsidP="00056751">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Rintoul A, Dwyer J, Millar C et al. </w:t>
      </w:r>
      <w:r w:rsidRPr="00400178">
        <w:rPr>
          <w:rFonts w:ascii="Verdana" w:hAnsi="Verdana"/>
          <w:i/>
          <w:iCs/>
          <w:sz w:val="18"/>
          <w:szCs w:val="18"/>
        </w:rPr>
        <w:t>Gambling-related suicide in Victoria, Australia: a population-based cross-sectional study</w:t>
      </w:r>
      <w:r w:rsidRPr="00400178">
        <w:rPr>
          <w:rFonts w:ascii="Verdana" w:hAnsi="Verdana"/>
          <w:sz w:val="18"/>
          <w:szCs w:val="18"/>
        </w:rPr>
        <w:t>,</w:t>
      </w:r>
      <w:r w:rsidRPr="00400178">
        <w:rPr>
          <w:rFonts w:ascii="Verdana" w:hAnsi="Verdana"/>
          <w:b/>
          <w:bCs/>
          <w:sz w:val="18"/>
          <w:szCs w:val="18"/>
        </w:rPr>
        <w:t xml:space="preserve"> </w:t>
      </w:r>
      <w:r w:rsidRPr="00400178">
        <w:rPr>
          <w:rFonts w:ascii="Verdana" w:hAnsi="Verdana"/>
          <w:sz w:val="18"/>
          <w:szCs w:val="18"/>
        </w:rPr>
        <w:t xml:space="preserve">The Lancet Regional Health – Western Pacific, 2023; 41, available at: </w:t>
      </w:r>
      <w:r>
        <w:fldChar w:fldCharType="begin"/>
      </w:r>
      <w:r>
        <w:instrText xml:space="preserve"> HYPERLINK "https://www.thelancet.com/journals/lanwpc/article/PIIS2666-6065%2823%2900221-3/fulltext" </w:instrText>
      </w:r>
      <w:r>
        <w:fldChar w:fldCharType="separate"/>
      </w:r>
      <w:r w:rsidRPr="00400178">
        <w:rPr>
          <w:rStyle w:val="Hyperlink"/>
          <w:rFonts w:ascii="Verdana" w:hAnsi="Verdana"/>
          <w:color w:val="auto"/>
          <w:sz w:val="18"/>
          <w:szCs w:val="18"/>
        </w:rPr>
        <w:t>https://www.thelancet.com/journals/lanwpc/article/PIIS2666-6065%2823%2900221-3/fulltext</w:t>
      </w:r>
      <w:r>
        <w:fldChar w:fldCharType="end"/>
      </w:r>
    </w:p>
  </w:footnote>
  <w:footnote w:id="8">
    <w:p w:rsidR="004E483A" w:rsidRPr="00400178">
      <w:pPr>
        <w:pStyle w:val="FootnoteText"/>
        <w:rPr>
          <w:rFonts w:ascii="Verdana" w:hAnsi="Verdana"/>
          <w:sz w:val="18"/>
          <w:szCs w:val="18"/>
        </w:rPr>
      </w:pPr>
      <w:r w:rsidRPr="00400178">
        <w:rPr>
          <w:rStyle w:val="FootnoteReference"/>
          <w:rFonts w:ascii="Verdana" w:hAnsi="Verdana"/>
          <w:sz w:val="18"/>
          <w:szCs w:val="18"/>
        </w:rPr>
        <w:footnoteRef/>
      </w:r>
      <w:r w:rsidRPr="00400178">
        <w:rPr>
          <w:rFonts w:ascii="Verdana" w:hAnsi="Verdana"/>
          <w:sz w:val="18"/>
          <w:szCs w:val="18"/>
        </w:rPr>
        <w:t xml:space="preserve"> </w:t>
      </w:r>
      <w:r w:rsidRPr="00400178" w:rsidR="00170F01">
        <w:rPr>
          <w:rFonts w:ascii="Verdana" w:hAnsi="Verdana"/>
          <w:sz w:val="18"/>
          <w:szCs w:val="18"/>
        </w:rPr>
        <w:t xml:space="preserve">UK Government, </w:t>
      </w:r>
      <w:r w:rsidRPr="00400178" w:rsidR="00170F01">
        <w:rPr>
          <w:rFonts w:ascii="Verdana" w:hAnsi="Verdana"/>
          <w:i/>
          <w:iCs/>
          <w:sz w:val="18"/>
          <w:szCs w:val="18"/>
        </w:rPr>
        <w:t>Suicide Prevention Strategy for England 2023–2028</w:t>
      </w:r>
      <w:r w:rsidRPr="00400178" w:rsidR="00170F01">
        <w:rPr>
          <w:rFonts w:ascii="Verdana" w:hAnsi="Verdana"/>
          <w:sz w:val="18"/>
          <w:szCs w:val="18"/>
        </w:rPr>
        <w:t xml:space="preserve">, Department of Health and Social Care, available at: </w:t>
      </w:r>
      <w:r>
        <w:fldChar w:fldCharType="begin"/>
      </w:r>
      <w:r>
        <w:instrText xml:space="preserve"> HYPERLINK "https://www.gov.uk/government/publications/suicide-prevention-strategy-for-england-2023-to-2028" </w:instrText>
      </w:r>
      <w:r>
        <w:fldChar w:fldCharType="separate"/>
      </w:r>
      <w:r w:rsidRPr="00400178" w:rsidR="00170F01">
        <w:rPr>
          <w:rStyle w:val="Hyperlink"/>
          <w:rFonts w:ascii="Verdana" w:hAnsi="Verdana"/>
          <w:color w:val="auto"/>
          <w:sz w:val="18"/>
          <w:szCs w:val="18"/>
        </w:rPr>
        <w:t>https://www.gov.uk/government/publications/suicide-prevention-strategy-for-england-2023-to-2028</w:t>
      </w:r>
      <w:r>
        <w:fldChar w:fldCharType="end"/>
      </w:r>
      <w:r w:rsidRPr="00400178" w:rsidR="00170F0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486C" w:rsidP="0015486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C66FE"/>
    <w:multiLevelType w:val="hybridMultilevel"/>
    <w:tmpl w:val="092E8A28"/>
    <w:lvl w:ilvl="0">
      <w:start w:val="23"/>
      <w:numFmt w:val="bullet"/>
      <w:lvlText w:val="-"/>
      <w:lvlJc w:val="left"/>
      <w:pPr>
        <w:ind w:left="410" w:hanging="360"/>
      </w:pPr>
      <w:rPr>
        <w:rFonts w:ascii="Aptos" w:hAnsi="Aptos" w:eastAsiaTheme="minorHAnsi" w:cstheme="minorBidi" w:hint="default"/>
      </w:rPr>
    </w:lvl>
    <w:lvl w:ilvl="1" w:tentative="1">
      <w:start w:val="1"/>
      <w:numFmt w:val="bullet"/>
      <w:lvlText w:val="o"/>
      <w:lvlJc w:val="left"/>
      <w:pPr>
        <w:ind w:left="1130" w:hanging="360"/>
      </w:pPr>
      <w:rPr>
        <w:rFonts w:ascii="Courier New" w:hAnsi="Courier New" w:cs="Courier New" w:hint="default"/>
      </w:rPr>
    </w:lvl>
    <w:lvl w:ilvl="2" w:tentative="1">
      <w:start w:val="1"/>
      <w:numFmt w:val="bullet"/>
      <w:lvlText w:val=""/>
      <w:lvlJc w:val="left"/>
      <w:pPr>
        <w:ind w:left="1850" w:hanging="360"/>
      </w:pPr>
      <w:rPr>
        <w:rFonts w:ascii="Wingdings" w:hAnsi="Wingdings" w:hint="default"/>
      </w:rPr>
    </w:lvl>
    <w:lvl w:ilvl="3" w:tentative="1">
      <w:start w:val="1"/>
      <w:numFmt w:val="bullet"/>
      <w:lvlText w:val=""/>
      <w:lvlJc w:val="left"/>
      <w:pPr>
        <w:ind w:left="2570" w:hanging="360"/>
      </w:pPr>
      <w:rPr>
        <w:rFonts w:ascii="Symbol" w:hAnsi="Symbol" w:hint="default"/>
      </w:rPr>
    </w:lvl>
    <w:lvl w:ilvl="4" w:tentative="1">
      <w:start w:val="1"/>
      <w:numFmt w:val="bullet"/>
      <w:lvlText w:val="o"/>
      <w:lvlJc w:val="left"/>
      <w:pPr>
        <w:ind w:left="3290" w:hanging="360"/>
      </w:pPr>
      <w:rPr>
        <w:rFonts w:ascii="Courier New" w:hAnsi="Courier New" w:cs="Courier New" w:hint="default"/>
      </w:rPr>
    </w:lvl>
    <w:lvl w:ilvl="5" w:tentative="1">
      <w:start w:val="1"/>
      <w:numFmt w:val="bullet"/>
      <w:lvlText w:val=""/>
      <w:lvlJc w:val="left"/>
      <w:pPr>
        <w:ind w:left="4010" w:hanging="360"/>
      </w:pPr>
      <w:rPr>
        <w:rFonts w:ascii="Wingdings" w:hAnsi="Wingdings" w:hint="default"/>
      </w:rPr>
    </w:lvl>
    <w:lvl w:ilvl="6" w:tentative="1">
      <w:start w:val="1"/>
      <w:numFmt w:val="bullet"/>
      <w:lvlText w:val=""/>
      <w:lvlJc w:val="left"/>
      <w:pPr>
        <w:ind w:left="4730" w:hanging="360"/>
      </w:pPr>
      <w:rPr>
        <w:rFonts w:ascii="Symbol" w:hAnsi="Symbol" w:hint="default"/>
      </w:rPr>
    </w:lvl>
    <w:lvl w:ilvl="7" w:tentative="1">
      <w:start w:val="1"/>
      <w:numFmt w:val="bullet"/>
      <w:lvlText w:val="o"/>
      <w:lvlJc w:val="left"/>
      <w:pPr>
        <w:ind w:left="5450" w:hanging="360"/>
      </w:pPr>
      <w:rPr>
        <w:rFonts w:ascii="Courier New" w:hAnsi="Courier New" w:cs="Courier New" w:hint="default"/>
      </w:rPr>
    </w:lvl>
    <w:lvl w:ilvl="8" w:tentative="1">
      <w:start w:val="1"/>
      <w:numFmt w:val="bullet"/>
      <w:lvlText w:val=""/>
      <w:lvlJc w:val="left"/>
      <w:pPr>
        <w:ind w:left="6170" w:hanging="360"/>
      </w:pPr>
      <w:rPr>
        <w:rFonts w:ascii="Wingdings" w:hAnsi="Wingdings" w:hint="default"/>
      </w:rPr>
    </w:lvl>
  </w:abstractNum>
  <w:abstractNum w:abstractNumId="1">
    <w:nsid w:val="3F9213A6"/>
    <w:multiLevelType w:val="multilevel"/>
    <w:tmpl w:val="BB72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333413"/>
    <w:multiLevelType w:val="hybridMultilevel"/>
    <w:tmpl w:val="D3143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A1E7AF0"/>
    <w:multiLevelType w:val="multilevel"/>
    <w:tmpl w:val="23FCE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26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627"/>
    <w:rPr>
      <w:rFonts w:eastAsiaTheme="majorEastAsia" w:cstheme="majorBidi"/>
      <w:color w:val="272727" w:themeColor="text1" w:themeTint="D8"/>
    </w:rPr>
  </w:style>
  <w:style w:type="paragraph" w:styleId="Title">
    <w:name w:val="Title"/>
    <w:basedOn w:val="Normal"/>
    <w:next w:val="Normal"/>
    <w:link w:val="TitleChar"/>
    <w:uiPriority w:val="10"/>
    <w:qFormat/>
    <w:rsid w:val="00926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627"/>
    <w:pPr>
      <w:spacing w:before="160"/>
      <w:jc w:val="center"/>
    </w:pPr>
    <w:rPr>
      <w:i/>
      <w:iCs/>
      <w:color w:val="404040" w:themeColor="text1" w:themeTint="BF"/>
    </w:rPr>
  </w:style>
  <w:style w:type="character" w:customStyle="1" w:styleId="QuoteChar">
    <w:name w:val="Quote Char"/>
    <w:basedOn w:val="DefaultParagraphFont"/>
    <w:link w:val="Quote"/>
    <w:uiPriority w:val="29"/>
    <w:rsid w:val="00926627"/>
    <w:rPr>
      <w:i/>
      <w:iCs/>
      <w:color w:val="404040" w:themeColor="text1" w:themeTint="BF"/>
    </w:rPr>
  </w:style>
  <w:style w:type="paragraph" w:styleId="ListParagraph">
    <w:name w:val="List Paragraph"/>
    <w:basedOn w:val="Normal"/>
    <w:uiPriority w:val="34"/>
    <w:qFormat/>
    <w:rsid w:val="00926627"/>
    <w:pPr>
      <w:ind w:left="720"/>
      <w:contextualSpacing/>
    </w:pPr>
  </w:style>
  <w:style w:type="character" w:styleId="IntenseEmphasis">
    <w:name w:val="Intense Emphasis"/>
    <w:basedOn w:val="DefaultParagraphFont"/>
    <w:uiPriority w:val="21"/>
    <w:qFormat/>
    <w:rsid w:val="00926627"/>
    <w:rPr>
      <w:i/>
      <w:iCs/>
      <w:color w:val="0F4761" w:themeColor="accent1" w:themeShade="BF"/>
    </w:rPr>
  </w:style>
  <w:style w:type="paragraph" w:styleId="IntenseQuote">
    <w:name w:val="Intense Quote"/>
    <w:basedOn w:val="Normal"/>
    <w:next w:val="Normal"/>
    <w:link w:val="IntenseQuoteChar"/>
    <w:uiPriority w:val="30"/>
    <w:qFormat/>
    <w:rsid w:val="00926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627"/>
    <w:rPr>
      <w:i/>
      <w:iCs/>
      <w:color w:val="0F4761" w:themeColor="accent1" w:themeShade="BF"/>
    </w:rPr>
  </w:style>
  <w:style w:type="character" w:styleId="IntenseReference">
    <w:name w:val="Intense Reference"/>
    <w:basedOn w:val="DefaultParagraphFont"/>
    <w:uiPriority w:val="32"/>
    <w:qFormat/>
    <w:rsid w:val="00926627"/>
    <w:rPr>
      <w:b/>
      <w:bCs/>
      <w:smallCaps/>
      <w:color w:val="0F4761" w:themeColor="accent1" w:themeShade="BF"/>
      <w:spacing w:val="5"/>
    </w:rPr>
  </w:style>
  <w:style w:type="character" w:styleId="Hyperlink">
    <w:name w:val="Hyperlink"/>
    <w:basedOn w:val="DefaultParagraphFont"/>
    <w:uiPriority w:val="99"/>
    <w:unhideWhenUsed/>
    <w:rsid w:val="00926627"/>
    <w:rPr>
      <w:color w:val="467886" w:themeColor="hyperlink"/>
      <w:u w:val="single"/>
    </w:rPr>
  </w:style>
  <w:style w:type="character" w:customStyle="1" w:styleId="UnresolvedMention">
    <w:name w:val="Unresolved Mention"/>
    <w:basedOn w:val="DefaultParagraphFont"/>
    <w:uiPriority w:val="99"/>
    <w:semiHidden/>
    <w:unhideWhenUsed/>
    <w:rsid w:val="00926627"/>
    <w:rPr>
      <w:color w:val="605E5C"/>
      <w:shd w:val="clear" w:color="auto" w:fill="E1DFDD"/>
    </w:rPr>
  </w:style>
  <w:style w:type="character" w:styleId="FollowedHyperlink">
    <w:name w:val="FollowedHyperlink"/>
    <w:basedOn w:val="DefaultParagraphFont"/>
    <w:uiPriority w:val="99"/>
    <w:semiHidden/>
    <w:unhideWhenUsed/>
    <w:rsid w:val="00926627"/>
    <w:rPr>
      <w:color w:val="96607D" w:themeColor="followedHyperlink"/>
      <w:u w:val="single"/>
    </w:rPr>
  </w:style>
  <w:style w:type="paragraph" w:styleId="FootnoteText">
    <w:name w:val="footnote text"/>
    <w:basedOn w:val="Normal"/>
    <w:link w:val="FootnoteTextChar"/>
    <w:uiPriority w:val="99"/>
    <w:semiHidden/>
    <w:unhideWhenUsed/>
    <w:rsid w:val="00926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627"/>
    <w:rPr>
      <w:sz w:val="20"/>
      <w:szCs w:val="20"/>
    </w:rPr>
  </w:style>
  <w:style w:type="character" w:styleId="FootnoteReference">
    <w:name w:val="footnote reference"/>
    <w:basedOn w:val="DefaultParagraphFont"/>
    <w:uiPriority w:val="99"/>
    <w:semiHidden/>
    <w:unhideWhenUsed/>
    <w:rsid w:val="00926627"/>
    <w:rPr>
      <w:vertAlign w:val="superscript"/>
    </w:rPr>
  </w:style>
  <w:style w:type="paragraph" w:styleId="Revision">
    <w:name w:val="Revision"/>
    <w:hidden/>
    <w:uiPriority w:val="99"/>
    <w:semiHidden/>
    <w:rsid w:val="0043464E"/>
    <w:pPr>
      <w:spacing w:after="0" w:line="240" w:lineRule="auto"/>
    </w:pPr>
  </w:style>
  <w:style w:type="character" w:styleId="CommentReference">
    <w:name w:val="annotation reference"/>
    <w:basedOn w:val="DefaultParagraphFont"/>
    <w:uiPriority w:val="99"/>
    <w:semiHidden/>
    <w:unhideWhenUsed/>
    <w:rsid w:val="00EC4F3C"/>
    <w:rPr>
      <w:sz w:val="16"/>
      <w:szCs w:val="16"/>
    </w:rPr>
  </w:style>
  <w:style w:type="paragraph" w:styleId="CommentText">
    <w:name w:val="annotation text"/>
    <w:basedOn w:val="Normal"/>
    <w:link w:val="CommentTextChar"/>
    <w:uiPriority w:val="99"/>
    <w:semiHidden/>
    <w:unhideWhenUsed/>
    <w:rsid w:val="00EC4F3C"/>
    <w:pPr>
      <w:spacing w:line="240" w:lineRule="auto"/>
    </w:pPr>
    <w:rPr>
      <w:sz w:val="20"/>
      <w:szCs w:val="20"/>
    </w:rPr>
  </w:style>
  <w:style w:type="character" w:customStyle="1" w:styleId="CommentTextChar">
    <w:name w:val="Comment Text Char"/>
    <w:basedOn w:val="DefaultParagraphFont"/>
    <w:link w:val="CommentText"/>
    <w:uiPriority w:val="99"/>
    <w:semiHidden/>
    <w:rsid w:val="00EC4F3C"/>
    <w:rPr>
      <w:sz w:val="20"/>
      <w:szCs w:val="20"/>
    </w:rPr>
  </w:style>
  <w:style w:type="paragraph" w:styleId="CommentSubject">
    <w:name w:val="annotation subject"/>
    <w:basedOn w:val="CommentText"/>
    <w:next w:val="CommentText"/>
    <w:link w:val="CommentSubjectChar"/>
    <w:uiPriority w:val="99"/>
    <w:semiHidden/>
    <w:unhideWhenUsed/>
    <w:rsid w:val="00EC4F3C"/>
    <w:rPr>
      <w:b/>
      <w:bCs/>
    </w:rPr>
  </w:style>
  <w:style w:type="character" w:customStyle="1" w:styleId="CommentSubjectChar">
    <w:name w:val="Comment Subject Char"/>
    <w:basedOn w:val="CommentTextChar"/>
    <w:link w:val="CommentSubject"/>
    <w:uiPriority w:val="99"/>
    <w:semiHidden/>
    <w:rsid w:val="00EC4F3C"/>
    <w:rPr>
      <w:b/>
      <w:bCs/>
      <w:sz w:val="20"/>
      <w:szCs w:val="20"/>
    </w:rPr>
  </w:style>
  <w:style w:type="paragraph" w:styleId="Header">
    <w:name w:val="header"/>
    <w:basedOn w:val="Normal"/>
    <w:link w:val="HeaderChar"/>
    <w:uiPriority w:val="99"/>
    <w:unhideWhenUsed/>
    <w:rsid w:val="00154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86C"/>
  </w:style>
  <w:style w:type="paragraph" w:styleId="Footer">
    <w:name w:val="footer"/>
    <w:basedOn w:val="Normal"/>
    <w:link w:val="FooterChar"/>
    <w:uiPriority w:val="99"/>
    <w:unhideWhenUsed/>
    <w:rsid w:val="00154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70A95-1C54-44C3-9D3E-4C927F2879B7}">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GAM0014</dc:title>
  <cp:revision>0</cp:revision>
</cp:coreProperties>
</file>