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mbeddings/Microsoft_Office_Excel_Worksheet1.xlsx" ContentType="application/vnd.openxmlformats-officedocument.spreadsheetml.shee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E5D32" w:rsidRPr="00E17121" w:rsidP="00E17121">
      <w:pPr>
        <w:rPr>
          <w:rFonts w:ascii="Verdana" w:hAnsi="Verdana"/>
          <w:b/>
          <w:bCs/>
          <w:sz w:val="22"/>
          <w:szCs w:val="22"/>
          <w:u w:val="single"/>
        </w:rPr>
      </w:pPr>
      <w:r w:rsidRPr="00E17121">
        <w:rPr>
          <w:rFonts w:ascii="Verdana" w:hAnsi="Verdana"/>
          <w:b/>
          <w:bCs/>
          <w:sz w:val="28"/>
          <w:szCs w:val="28"/>
        </w:rPr>
        <w:t xml:space="preserve">Supplementary Written Evidence from </w:t>
      </w:r>
      <w:r w:rsidR="000921BB">
        <w:rPr>
          <w:rFonts w:ascii="Verdana" w:hAnsi="Verdana"/>
          <w:b/>
          <w:bCs/>
          <w:sz w:val="28"/>
          <w:szCs w:val="28"/>
        </w:rPr>
        <w:t xml:space="preserve">Dan Waugh, Partner at </w:t>
      </w:r>
      <w:r w:rsidRPr="00E17121">
        <w:rPr>
          <w:rFonts w:ascii="Verdana" w:hAnsi="Verdana"/>
          <w:b/>
          <w:bCs/>
          <w:sz w:val="28"/>
          <w:szCs w:val="28"/>
        </w:rPr>
        <w:t>Regulus Partners (GAM0012)</w:t>
      </w:r>
    </w:p>
    <w:p w:rsidR="005E5D32" w:rsidRPr="00E17121" w:rsidP="00E17121">
      <w:pPr>
        <w:rPr>
          <w:rFonts w:ascii="Verdana" w:hAnsi="Verdana"/>
          <w:sz w:val="22"/>
          <w:szCs w:val="22"/>
        </w:rPr>
      </w:pPr>
    </w:p>
    <w:p w:rsidR="00087776" w:rsidRPr="00E17121" w:rsidP="00E17121">
      <w:pPr>
        <w:rPr>
          <w:rFonts w:ascii="Verdana" w:hAnsi="Verdana"/>
          <w:sz w:val="22"/>
          <w:szCs w:val="22"/>
        </w:rPr>
      </w:pPr>
      <w:r w:rsidRPr="00E17121">
        <w:rPr>
          <w:rFonts w:ascii="Verdana" w:hAnsi="Verdana"/>
          <w:sz w:val="22"/>
          <w:szCs w:val="22"/>
        </w:rPr>
        <w:t>Thank you for inviting me to give evidence to the House of Lords Liaison Committee this week. The three sessions provided a range of useful insights on the matter of advertising for the licensed gambling market in Great Britain.</w:t>
      </w:r>
    </w:p>
    <w:p w:rsidR="00087776" w:rsidRPr="00E17121" w:rsidP="00E17121">
      <w:pPr>
        <w:rPr>
          <w:rFonts w:ascii="Verdana" w:hAnsi="Verdana"/>
          <w:sz w:val="22"/>
          <w:szCs w:val="22"/>
        </w:rPr>
      </w:pPr>
      <w:r w:rsidRPr="00E17121">
        <w:rPr>
          <w:rFonts w:ascii="Verdana" w:hAnsi="Verdana"/>
          <w:sz w:val="22"/>
          <w:szCs w:val="22"/>
        </w:rPr>
        <w:t xml:space="preserve">I have been involved in the study of the gambling market for more than two decades. Between 2005 and 2014, I worked as strategy director at the Rank Group plc, which operates land-based bingo clubs and casinos. Since leaving Rank, I have been a partner at Regulus Partners, a specialist research firm. I was founding chair of the youth gambling harms prevention charity, YGAM (2016-2018). I have published </w:t>
      </w:r>
      <w:r w:rsidRPr="00E17121" w:rsidR="005C6BF8">
        <w:rPr>
          <w:rFonts w:ascii="Verdana" w:hAnsi="Verdana"/>
          <w:sz w:val="22"/>
          <w:szCs w:val="22"/>
        </w:rPr>
        <w:t>several</w:t>
      </w:r>
      <w:r w:rsidRPr="00E17121">
        <w:rPr>
          <w:rFonts w:ascii="Verdana" w:hAnsi="Verdana"/>
          <w:sz w:val="22"/>
          <w:szCs w:val="22"/>
        </w:rPr>
        <w:t xml:space="preserve"> journal articles on the regulation of the gambling market and am currently studying for a PhD </w:t>
      </w:r>
      <w:r w:rsidRPr="00E17121" w:rsidR="005C6BF8">
        <w:rPr>
          <w:rFonts w:ascii="Verdana" w:hAnsi="Verdana"/>
          <w:sz w:val="22"/>
          <w:szCs w:val="22"/>
        </w:rPr>
        <w:t xml:space="preserve">in the field </w:t>
      </w:r>
      <w:r w:rsidRPr="00E17121">
        <w:rPr>
          <w:rFonts w:ascii="Verdana" w:hAnsi="Verdana"/>
          <w:sz w:val="22"/>
          <w:szCs w:val="22"/>
        </w:rPr>
        <w:t>at the University of Liverpool.</w:t>
      </w:r>
    </w:p>
    <w:p w:rsidR="00087776" w:rsidRPr="00E17121" w:rsidP="00E17121">
      <w:pPr>
        <w:rPr>
          <w:rFonts w:ascii="Verdana" w:hAnsi="Verdana"/>
          <w:sz w:val="22"/>
          <w:szCs w:val="22"/>
        </w:rPr>
      </w:pPr>
      <w:r w:rsidRPr="00E17121">
        <w:rPr>
          <w:rFonts w:ascii="Verdana" w:hAnsi="Verdana"/>
          <w:sz w:val="22"/>
          <w:szCs w:val="22"/>
        </w:rPr>
        <w:t xml:space="preserve">As I mentioned during the evidence session, the harms associated with excessive or uncontrolled gambling </w:t>
      </w:r>
      <w:r w:rsidRPr="00E17121" w:rsidR="00FD1D59">
        <w:rPr>
          <w:rFonts w:ascii="Verdana" w:hAnsi="Verdana"/>
          <w:sz w:val="22"/>
          <w:szCs w:val="22"/>
        </w:rPr>
        <w:t xml:space="preserve">affect a non-trivial number of people in Britain and </w:t>
      </w:r>
      <w:r w:rsidRPr="00E17121" w:rsidR="009F6CDF">
        <w:rPr>
          <w:rFonts w:ascii="Verdana" w:hAnsi="Verdana"/>
          <w:sz w:val="22"/>
          <w:szCs w:val="22"/>
        </w:rPr>
        <w:t>may encompass</w:t>
      </w:r>
      <w:r w:rsidRPr="00E17121" w:rsidR="00FD1D59">
        <w:rPr>
          <w:rFonts w:ascii="Verdana" w:hAnsi="Verdana"/>
          <w:sz w:val="22"/>
          <w:szCs w:val="22"/>
        </w:rPr>
        <w:t xml:space="preserve"> se</w:t>
      </w:r>
      <w:r w:rsidRPr="00E17121" w:rsidR="009F6CDF">
        <w:rPr>
          <w:rFonts w:ascii="Verdana" w:hAnsi="Verdana"/>
          <w:sz w:val="22"/>
          <w:szCs w:val="22"/>
        </w:rPr>
        <w:t xml:space="preserve">vere consequences, both </w:t>
      </w:r>
      <w:r w:rsidRPr="00E17121" w:rsidR="007A6E55">
        <w:rPr>
          <w:rFonts w:ascii="Verdana" w:hAnsi="Verdana"/>
          <w:sz w:val="22"/>
          <w:szCs w:val="22"/>
        </w:rPr>
        <w:t>directly for the individuals concerned and for others (most</w:t>
      </w:r>
      <w:r w:rsidRPr="00E17121" w:rsidR="00CD4CA9">
        <w:rPr>
          <w:rFonts w:ascii="Verdana" w:hAnsi="Verdana"/>
          <w:sz w:val="22"/>
          <w:szCs w:val="22"/>
        </w:rPr>
        <w:t xml:space="preserve"> obviously, family and loved ones)</w:t>
      </w:r>
      <w:r w:rsidRPr="00E17121" w:rsidR="00FD1D59">
        <w:rPr>
          <w:rFonts w:ascii="Verdana" w:hAnsi="Verdana"/>
          <w:sz w:val="22"/>
          <w:szCs w:val="22"/>
        </w:rPr>
        <w:t xml:space="preserve">. It is important that discussion of these harms is conducted seriously and with suitable rigour. I therefore wanted to put in writing some of the </w:t>
      </w:r>
      <w:r w:rsidRPr="00E17121" w:rsidR="0041214A">
        <w:rPr>
          <w:rFonts w:ascii="Verdana" w:hAnsi="Verdana"/>
          <w:sz w:val="22"/>
          <w:szCs w:val="22"/>
        </w:rPr>
        <w:t>point</w:t>
      </w:r>
      <w:r w:rsidRPr="00E17121" w:rsidR="00FD1D59">
        <w:rPr>
          <w:rFonts w:ascii="Verdana" w:hAnsi="Verdana"/>
          <w:sz w:val="22"/>
          <w:szCs w:val="22"/>
        </w:rPr>
        <w:t>s that I mentioned at the session</w:t>
      </w:r>
      <w:r w:rsidRPr="00E17121" w:rsidR="0041214A">
        <w:rPr>
          <w:rFonts w:ascii="Verdana" w:hAnsi="Verdana"/>
          <w:sz w:val="22"/>
          <w:szCs w:val="22"/>
        </w:rPr>
        <w:t xml:space="preserve">. </w:t>
      </w:r>
      <w:r w:rsidRPr="00E17121" w:rsidR="00D22448">
        <w:rPr>
          <w:rFonts w:ascii="Verdana" w:hAnsi="Verdana"/>
          <w:sz w:val="22"/>
          <w:szCs w:val="22"/>
        </w:rPr>
        <w:t>I have also provided</w:t>
      </w:r>
      <w:r w:rsidRPr="00E17121" w:rsidR="00E22E68">
        <w:rPr>
          <w:rFonts w:ascii="Verdana" w:hAnsi="Verdana"/>
          <w:sz w:val="22"/>
          <w:szCs w:val="22"/>
        </w:rPr>
        <w:t xml:space="preserve"> analysis pertaining to t</w:t>
      </w:r>
      <w:r w:rsidRPr="00E17121" w:rsidR="00CD4CA9">
        <w:rPr>
          <w:rFonts w:ascii="Verdana" w:hAnsi="Verdana"/>
          <w:sz w:val="22"/>
          <w:szCs w:val="22"/>
        </w:rPr>
        <w:t>hree</w:t>
      </w:r>
      <w:r w:rsidRPr="00E17121" w:rsidR="00FD1D59">
        <w:rPr>
          <w:rFonts w:ascii="Verdana" w:hAnsi="Verdana"/>
          <w:sz w:val="22"/>
          <w:szCs w:val="22"/>
        </w:rPr>
        <w:t xml:space="preserve"> claims made during the first of the evidence sessions</w:t>
      </w:r>
      <w:r w:rsidRPr="00E17121" w:rsidR="00E22E68">
        <w:rPr>
          <w:rFonts w:ascii="Verdana" w:hAnsi="Verdana"/>
          <w:sz w:val="22"/>
          <w:szCs w:val="22"/>
        </w:rPr>
        <w:t>, which were either misleading or require greater context</w:t>
      </w:r>
      <w:r w:rsidRPr="00E17121" w:rsidR="00FD1D59">
        <w:rPr>
          <w:rFonts w:ascii="Verdana" w:hAnsi="Verdana"/>
          <w:sz w:val="22"/>
          <w:szCs w:val="22"/>
        </w:rPr>
        <w:t xml:space="preserve">. I have provided a summary of these issues below and </w:t>
      </w:r>
      <w:r w:rsidRPr="00E17121" w:rsidR="005C1503">
        <w:rPr>
          <w:rFonts w:ascii="Verdana" w:hAnsi="Verdana"/>
          <w:sz w:val="22"/>
          <w:szCs w:val="22"/>
        </w:rPr>
        <w:t>can provide</w:t>
      </w:r>
      <w:r w:rsidRPr="00E17121" w:rsidR="00FD1D59">
        <w:rPr>
          <w:rFonts w:ascii="Verdana" w:hAnsi="Verdana"/>
          <w:sz w:val="22"/>
          <w:szCs w:val="22"/>
        </w:rPr>
        <w:t xml:space="preserve"> detailed supporting analysis</w:t>
      </w:r>
      <w:r w:rsidRPr="00E17121" w:rsidR="005C1503">
        <w:rPr>
          <w:rFonts w:ascii="Verdana" w:hAnsi="Verdana"/>
          <w:sz w:val="22"/>
          <w:szCs w:val="22"/>
        </w:rPr>
        <w:t xml:space="preserve"> if it is required</w:t>
      </w:r>
      <w:r w:rsidRPr="00E17121" w:rsidR="00FD1D59">
        <w:rPr>
          <w:rFonts w:ascii="Verdana" w:hAnsi="Verdana"/>
          <w:sz w:val="22"/>
          <w:szCs w:val="22"/>
        </w:rPr>
        <w:t xml:space="preserve">. </w:t>
      </w:r>
    </w:p>
    <w:p w:rsidR="004D7C21" w:rsidRPr="00E17121" w:rsidP="00E17121">
      <w:pPr>
        <w:rPr>
          <w:rFonts w:ascii="Verdana" w:hAnsi="Verdana"/>
          <w:sz w:val="22"/>
          <w:szCs w:val="22"/>
        </w:rPr>
      </w:pPr>
      <w:r w:rsidRPr="00E17121">
        <w:rPr>
          <w:rFonts w:ascii="Verdana" w:hAnsi="Verdana"/>
          <w:sz w:val="22"/>
          <w:szCs w:val="22"/>
        </w:rPr>
        <w:t>I hope that these analyses are helpful and am happy to provide additional detail if that would be helpful.</w:t>
      </w:r>
    </w:p>
    <w:p w:rsidR="004D7C21" w:rsidRPr="00E17121" w:rsidP="00E17121">
      <w:pPr>
        <w:rPr>
          <w:rFonts w:ascii="Verdana" w:hAnsi="Verdana"/>
          <w:b/>
          <w:bCs/>
          <w:sz w:val="22"/>
          <w:szCs w:val="22"/>
        </w:rPr>
      </w:pPr>
      <w:r w:rsidRPr="00E17121">
        <w:rPr>
          <w:rFonts w:ascii="Verdana" w:hAnsi="Verdana"/>
          <w:b/>
          <w:bCs/>
          <w:sz w:val="22"/>
          <w:szCs w:val="22"/>
        </w:rPr>
        <w:br w:type="page"/>
      </w:r>
    </w:p>
    <w:p w:rsidR="004D7C21" w:rsidRPr="00E17121" w:rsidP="00E17121">
      <w:pPr>
        <w:rPr>
          <w:rFonts w:ascii="Verdana" w:hAnsi="Verdana"/>
          <w:b/>
          <w:bCs/>
          <w:sz w:val="22"/>
          <w:szCs w:val="22"/>
        </w:rPr>
      </w:pPr>
      <w:r w:rsidRPr="00E17121">
        <w:rPr>
          <w:rFonts w:ascii="Verdana" w:hAnsi="Verdana"/>
          <w:b/>
          <w:bCs/>
          <w:sz w:val="22"/>
          <w:szCs w:val="22"/>
        </w:rPr>
        <w:t xml:space="preserve">Evidence relevant to Question 2: Gambling and social ills </w:t>
      </w:r>
    </w:p>
    <w:p w:rsidR="00FD1D59" w:rsidRPr="00E17121" w:rsidP="00E17121">
      <w:pPr>
        <w:rPr>
          <w:rFonts w:ascii="Verdana" w:hAnsi="Verdana"/>
          <w:b/>
          <w:bCs/>
          <w:sz w:val="22"/>
          <w:szCs w:val="22"/>
        </w:rPr>
      </w:pPr>
      <w:r w:rsidRPr="00E17121">
        <w:rPr>
          <w:rFonts w:ascii="Verdana" w:hAnsi="Verdana"/>
          <w:b/>
          <w:bCs/>
          <w:sz w:val="22"/>
          <w:szCs w:val="22"/>
        </w:rPr>
        <w:t>The Gambling Survey for Great Britain</w:t>
      </w:r>
    </w:p>
    <w:p w:rsidR="002B6C74" w:rsidRPr="00E17121" w:rsidP="00E17121">
      <w:pPr>
        <w:rPr>
          <w:rFonts w:ascii="Verdana" w:hAnsi="Verdana"/>
          <w:sz w:val="22"/>
          <w:szCs w:val="22"/>
        </w:rPr>
      </w:pPr>
      <w:r w:rsidRPr="00E17121">
        <w:rPr>
          <w:rFonts w:ascii="Verdana" w:hAnsi="Verdana"/>
          <w:sz w:val="22"/>
          <w:szCs w:val="22"/>
        </w:rPr>
        <w:t xml:space="preserve">The claim that 1.4million people in Britain are ‘problem gamblers’ is drawn from the </w:t>
      </w:r>
      <w:r w:rsidRPr="00E17121" w:rsidR="00515D1C">
        <w:rPr>
          <w:rFonts w:ascii="Verdana" w:hAnsi="Verdana"/>
          <w:sz w:val="22"/>
          <w:szCs w:val="22"/>
        </w:rPr>
        <w:t xml:space="preserve">2024 edition of the </w:t>
      </w:r>
      <w:r w:rsidRPr="00E17121">
        <w:rPr>
          <w:rFonts w:ascii="Verdana" w:hAnsi="Verdana"/>
          <w:sz w:val="22"/>
          <w:szCs w:val="22"/>
        </w:rPr>
        <w:t>Gambling Survey for Great Britain (GSGB) and is substantially higher than the estimate of around 350,000 indicated by the NHS Health Survey for England 2024. My analysis</w:t>
      </w:r>
      <w:r w:rsidRPr="00E17121" w:rsidR="00FD1D59">
        <w:rPr>
          <w:rFonts w:ascii="Verdana" w:hAnsi="Verdana"/>
          <w:sz w:val="22"/>
          <w:szCs w:val="22"/>
        </w:rPr>
        <w:t xml:space="preserve"> of</w:t>
      </w:r>
      <w:r w:rsidRPr="00E17121">
        <w:rPr>
          <w:rFonts w:ascii="Verdana" w:hAnsi="Verdana"/>
          <w:sz w:val="22"/>
          <w:szCs w:val="22"/>
        </w:rPr>
        <w:t xml:space="preserve"> data from</w:t>
      </w:r>
      <w:r w:rsidRPr="00E17121" w:rsidR="00FD1D59">
        <w:rPr>
          <w:rFonts w:ascii="Verdana" w:hAnsi="Verdana"/>
          <w:sz w:val="22"/>
          <w:szCs w:val="22"/>
        </w:rPr>
        <w:t xml:space="preserve"> the GSGB</w:t>
      </w:r>
      <w:r w:rsidRPr="00E17121">
        <w:rPr>
          <w:rFonts w:ascii="Verdana" w:hAnsi="Verdana"/>
          <w:sz w:val="22"/>
          <w:szCs w:val="22"/>
        </w:rPr>
        <w:t xml:space="preserve"> has identified significant concerns of reliability</w:t>
      </w:r>
      <w:r w:rsidRPr="00E17121">
        <w:rPr>
          <w:rFonts w:ascii="Verdana" w:hAnsi="Verdana"/>
          <w:sz w:val="22"/>
          <w:szCs w:val="22"/>
        </w:rPr>
        <w:t>. This</w:t>
      </w:r>
      <w:r w:rsidRPr="00E17121">
        <w:rPr>
          <w:rFonts w:ascii="Verdana" w:hAnsi="Verdana"/>
          <w:sz w:val="22"/>
          <w:szCs w:val="22"/>
        </w:rPr>
        <w:t xml:space="preserve"> study</w:t>
      </w:r>
      <w:r w:rsidRPr="00E17121">
        <w:rPr>
          <w:rFonts w:ascii="Verdana" w:hAnsi="Verdana"/>
          <w:sz w:val="22"/>
          <w:szCs w:val="22"/>
        </w:rPr>
        <w:t xml:space="preserve"> involved the collection of </w:t>
      </w:r>
      <w:r w:rsidRPr="00E17121" w:rsidR="00FD1D59">
        <w:rPr>
          <w:rFonts w:ascii="Verdana" w:hAnsi="Verdana"/>
          <w:sz w:val="22"/>
          <w:szCs w:val="22"/>
        </w:rPr>
        <w:t>administrative data from three sectors of the licensed market (land-based casinos, exchange betting and the football pools) to te</w:t>
      </w:r>
      <w:r w:rsidRPr="00E17121">
        <w:rPr>
          <w:rFonts w:ascii="Verdana" w:hAnsi="Verdana"/>
          <w:sz w:val="22"/>
          <w:szCs w:val="22"/>
        </w:rPr>
        <w:t xml:space="preserve">st the accuracy of self-report estimates on participation in these activities from the GSGB. This is an approach that has been recommended by the Office for National Statistics to address the so-called ‘crisis in statistics’ (where </w:t>
      </w:r>
      <w:r w:rsidRPr="00E17121">
        <w:rPr>
          <w:rFonts w:ascii="Verdana" w:hAnsi="Verdana"/>
          <w:sz w:val="22"/>
          <w:szCs w:val="22"/>
        </w:rPr>
        <w:t>a large number of</w:t>
      </w:r>
      <w:r w:rsidRPr="00E17121">
        <w:rPr>
          <w:rFonts w:ascii="Verdana" w:hAnsi="Verdana"/>
          <w:sz w:val="22"/>
          <w:szCs w:val="22"/>
        </w:rPr>
        <w:t xml:space="preserve"> official statistics surveys have had their status suspended due to concerns of reliability). My analysis reveal</w:t>
      </w:r>
      <w:r w:rsidRPr="00E17121" w:rsidR="00CC25A2">
        <w:rPr>
          <w:rFonts w:ascii="Verdana" w:hAnsi="Verdana"/>
          <w:sz w:val="22"/>
          <w:szCs w:val="22"/>
        </w:rPr>
        <w:t>s</w:t>
      </w:r>
      <w:r w:rsidRPr="00E17121">
        <w:rPr>
          <w:rFonts w:ascii="Verdana" w:hAnsi="Verdana"/>
          <w:sz w:val="22"/>
          <w:szCs w:val="22"/>
        </w:rPr>
        <w:t xml:space="preserve"> that the GSGB overstates participation in these activities by up to 694%. This data has been shared with the Gambling Commission, the DCMS and the Office for Statistics Regulation. The Gambling Commission has not disputed the quality of the administrative data – and indeed formerly published one of the datasets</w:t>
      </w:r>
      <w:r w:rsidRPr="00E17121" w:rsidR="00981FEB">
        <w:rPr>
          <w:rFonts w:ascii="Verdana" w:hAnsi="Verdana"/>
          <w:sz w:val="22"/>
          <w:szCs w:val="22"/>
        </w:rPr>
        <w:t xml:space="preserve"> I used</w:t>
      </w:r>
      <w:r w:rsidRPr="00E17121">
        <w:rPr>
          <w:rFonts w:ascii="Verdana" w:hAnsi="Verdana"/>
          <w:sz w:val="22"/>
          <w:szCs w:val="22"/>
        </w:rPr>
        <w:t xml:space="preserve"> (relating to visits to land-based casinos). There are only two possible explanations for the discrepancies</w:t>
      </w:r>
      <w:r w:rsidRPr="00E17121" w:rsidR="00981FEB">
        <w:rPr>
          <w:rFonts w:ascii="Verdana" w:hAnsi="Verdana"/>
          <w:sz w:val="22"/>
          <w:szCs w:val="22"/>
        </w:rPr>
        <w:t xml:space="preserve"> identified</w:t>
      </w:r>
      <w:r w:rsidRPr="00E17121">
        <w:rPr>
          <w:rFonts w:ascii="Verdana" w:hAnsi="Verdana"/>
          <w:sz w:val="22"/>
          <w:szCs w:val="22"/>
        </w:rPr>
        <w:t xml:space="preserve">: </w:t>
      </w:r>
      <w:r w:rsidRPr="00E17121">
        <w:rPr>
          <w:rFonts w:ascii="Verdana" w:hAnsi="Verdana"/>
          <w:sz w:val="22"/>
          <w:szCs w:val="22"/>
        </w:rPr>
        <w:t>i</w:t>
      </w:r>
      <w:r w:rsidRPr="00E17121">
        <w:rPr>
          <w:rFonts w:ascii="Verdana" w:hAnsi="Verdana"/>
          <w:sz w:val="22"/>
          <w:szCs w:val="22"/>
        </w:rPr>
        <w:t>) that the GSGB is affected by selection bias and i</w:t>
      </w:r>
      <w:r w:rsidRPr="00E17121" w:rsidR="005F715C">
        <w:rPr>
          <w:rFonts w:ascii="Verdana" w:hAnsi="Verdana"/>
          <w:sz w:val="22"/>
          <w:szCs w:val="22"/>
        </w:rPr>
        <w:t>t</w:t>
      </w:r>
      <w:r w:rsidRPr="00E17121">
        <w:rPr>
          <w:rFonts w:ascii="Verdana" w:hAnsi="Verdana"/>
          <w:sz w:val="22"/>
          <w:szCs w:val="22"/>
        </w:rPr>
        <w:t>s</w:t>
      </w:r>
      <w:r w:rsidRPr="00E17121" w:rsidR="005F715C">
        <w:rPr>
          <w:rFonts w:ascii="Verdana" w:hAnsi="Verdana"/>
          <w:sz w:val="22"/>
          <w:szCs w:val="22"/>
        </w:rPr>
        <w:t xml:space="preserve"> sample is</w:t>
      </w:r>
      <w:r w:rsidRPr="00E17121">
        <w:rPr>
          <w:rFonts w:ascii="Verdana" w:hAnsi="Verdana"/>
          <w:sz w:val="22"/>
          <w:szCs w:val="22"/>
        </w:rPr>
        <w:t xml:space="preserve"> not representative of the national population; or ii) that there are vast </w:t>
      </w:r>
      <w:r w:rsidRPr="00E17121" w:rsidR="005F715C">
        <w:rPr>
          <w:rFonts w:ascii="Verdana" w:hAnsi="Verdana"/>
          <w:sz w:val="22"/>
          <w:szCs w:val="22"/>
        </w:rPr>
        <w:t>(</w:t>
      </w:r>
      <w:r w:rsidRPr="00E17121">
        <w:rPr>
          <w:rFonts w:ascii="Verdana" w:hAnsi="Verdana"/>
          <w:sz w:val="22"/>
          <w:szCs w:val="22"/>
        </w:rPr>
        <w:t>and hitherto undetected</w:t>
      </w:r>
      <w:r w:rsidRPr="00E17121" w:rsidR="005F715C">
        <w:rPr>
          <w:rFonts w:ascii="Verdana" w:hAnsi="Verdana"/>
          <w:sz w:val="22"/>
          <w:szCs w:val="22"/>
        </w:rPr>
        <w:t>)</w:t>
      </w:r>
      <w:r w:rsidRPr="00E17121">
        <w:rPr>
          <w:rFonts w:ascii="Verdana" w:hAnsi="Verdana"/>
          <w:sz w:val="22"/>
          <w:szCs w:val="22"/>
        </w:rPr>
        <w:t xml:space="preserve"> unlicensed markets for these activities in Great Britain. Under either explanation, the GSGB cannot </w:t>
      </w:r>
      <w:r w:rsidRPr="00E17121">
        <w:rPr>
          <w:rFonts w:ascii="Verdana" w:hAnsi="Verdana"/>
          <w:sz w:val="22"/>
          <w:szCs w:val="22"/>
        </w:rPr>
        <w:t>be considered to be</w:t>
      </w:r>
      <w:r w:rsidRPr="00E17121">
        <w:rPr>
          <w:rFonts w:ascii="Verdana" w:hAnsi="Verdana"/>
          <w:sz w:val="22"/>
          <w:szCs w:val="22"/>
        </w:rPr>
        <w:t xml:space="preserve"> a reliable source of statistics on the licensed market. </w:t>
      </w:r>
    </w:p>
    <w:p w:rsidR="002B6C74" w:rsidRPr="00E17121" w:rsidP="00E17121">
      <w:pPr>
        <w:rPr>
          <w:rFonts w:ascii="Verdana" w:hAnsi="Verdana"/>
          <w:sz w:val="22"/>
          <w:szCs w:val="22"/>
        </w:rPr>
      </w:pPr>
      <w:r w:rsidRPr="00E17121">
        <w:rPr>
          <w:rFonts w:ascii="Verdana" w:hAnsi="Verdana"/>
          <w:sz w:val="22"/>
          <w:szCs w:val="22"/>
        </w:rPr>
        <w:t>The GSGB produces estimates of the prevalence of ‘problem gambling’ that are substantially higher than all previous official statistics surveys. These include the NHS Health Survey for England (2012, 2015, 2016, 2018, 2021 and 2024), the NHS Scottish Health Survey (2012, 2015, 2016 and 2021), the NHS Adult Psychiatric Morbidity Survey (2007 and 2024), the British Gambling Prevalence Survey (2007 and 2010), the Gambling Commission Quarterly Telephone Survey</w:t>
      </w:r>
      <w:r w:rsidRPr="00E17121" w:rsidR="00925DCA">
        <w:rPr>
          <w:rFonts w:ascii="Verdana" w:hAnsi="Verdana"/>
          <w:sz w:val="22"/>
          <w:szCs w:val="22"/>
        </w:rPr>
        <w:t xml:space="preserve"> (2013 to 2023)</w:t>
      </w:r>
      <w:r w:rsidRPr="00E17121">
        <w:rPr>
          <w:rFonts w:ascii="Verdana" w:hAnsi="Verdana"/>
          <w:sz w:val="22"/>
          <w:szCs w:val="22"/>
        </w:rPr>
        <w:t xml:space="preserve"> and </w:t>
      </w:r>
      <w:r w:rsidRPr="00E17121" w:rsidR="00925DCA">
        <w:rPr>
          <w:rFonts w:ascii="Verdana" w:hAnsi="Verdana"/>
          <w:sz w:val="22"/>
          <w:szCs w:val="22"/>
        </w:rPr>
        <w:t>(for lottery participation)</w:t>
      </w:r>
      <w:r w:rsidRPr="00E17121" w:rsidR="005822E3">
        <w:rPr>
          <w:rFonts w:ascii="Verdana" w:hAnsi="Verdana"/>
          <w:sz w:val="22"/>
          <w:szCs w:val="22"/>
        </w:rPr>
        <w:t xml:space="preserve"> </w:t>
      </w:r>
      <w:r w:rsidRPr="00E17121">
        <w:rPr>
          <w:rFonts w:ascii="Verdana" w:hAnsi="Verdana"/>
          <w:sz w:val="22"/>
          <w:szCs w:val="22"/>
        </w:rPr>
        <w:t xml:space="preserve">the DCMS Taking Part Survey. </w:t>
      </w:r>
      <w:r w:rsidRPr="00E17121" w:rsidR="00925DCA">
        <w:rPr>
          <w:rFonts w:ascii="Verdana" w:hAnsi="Verdana"/>
          <w:sz w:val="22"/>
          <w:szCs w:val="22"/>
        </w:rPr>
        <w:t>The GSGB also</w:t>
      </w:r>
      <w:r w:rsidRPr="00E17121">
        <w:rPr>
          <w:rFonts w:ascii="Verdana" w:hAnsi="Verdana"/>
          <w:sz w:val="22"/>
          <w:szCs w:val="22"/>
        </w:rPr>
        <w:t xml:space="preserve"> fails to cohere with </w:t>
      </w:r>
      <w:r w:rsidRPr="00E17121" w:rsidR="00925DCA">
        <w:rPr>
          <w:rFonts w:ascii="Verdana" w:hAnsi="Verdana"/>
          <w:sz w:val="22"/>
          <w:szCs w:val="22"/>
        </w:rPr>
        <w:t>the Gambling Commission’s</w:t>
      </w:r>
      <w:r w:rsidRPr="00E17121">
        <w:rPr>
          <w:rFonts w:ascii="Verdana" w:hAnsi="Verdana"/>
          <w:sz w:val="22"/>
          <w:szCs w:val="22"/>
        </w:rPr>
        <w:t xml:space="preserve"> Industry Statistics</w:t>
      </w:r>
      <w:r w:rsidRPr="00E17121" w:rsidR="00925DCA">
        <w:rPr>
          <w:rFonts w:ascii="Verdana" w:hAnsi="Verdana"/>
          <w:sz w:val="22"/>
          <w:szCs w:val="22"/>
        </w:rPr>
        <w:t xml:space="preserve"> (which also hold the status of official statistics)</w:t>
      </w:r>
      <w:r w:rsidRPr="00E17121">
        <w:rPr>
          <w:rFonts w:ascii="Verdana" w:hAnsi="Verdana"/>
          <w:sz w:val="22"/>
          <w:szCs w:val="22"/>
        </w:rPr>
        <w:t xml:space="preserve">. </w:t>
      </w:r>
      <w:r w:rsidRPr="00E17121" w:rsidR="00925DCA">
        <w:rPr>
          <w:rFonts w:ascii="Verdana" w:hAnsi="Verdana"/>
          <w:sz w:val="22"/>
          <w:szCs w:val="22"/>
        </w:rPr>
        <w:t>If the GSGB were to be considered accurate</w:t>
      </w:r>
      <w:r w:rsidRPr="00E17121">
        <w:rPr>
          <w:rFonts w:ascii="Verdana" w:hAnsi="Verdana"/>
          <w:sz w:val="22"/>
          <w:szCs w:val="22"/>
        </w:rPr>
        <w:t>, it would indicate that the NHS has been serially under-reporting the prevalence of a wide range of health conditions in Great Britain for around 35 years.</w:t>
      </w:r>
    </w:p>
    <w:p w:rsidR="002B6C74" w:rsidRPr="00E17121" w:rsidP="00E17121">
      <w:pPr>
        <w:rPr>
          <w:rFonts w:ascii="Verdana" w:hAnsi="Verdana"/>
          <w:b/>
          <w:bCs/>
          <w:sz w:val="22"/>
          <w:szCs w:val="22"/>
        </w:rPr>
      </w:pPr>
      <w:r w:rsidRPr="00E17121">
        <w:rPr>
          <w:rFonts w:ascii="Verdana" w:hAnsi="Verdana"/>
          <w:b/>
          <w:bCs/>
          <w:sz w:val="22"/>
          <w:szCs w:val="22"/>
        </w:rPr>
        <w:t>The Young People and Gambling Survey</w:t>
      </w:r>
    </w:p>
    <w:p w:rsidR="00925DCA" w:rsidRPr="00E17121" w:rsidP="00E17121">
      <w:pPr>
        <w:rPr>
          <w:rFonts w:ascii="Verdana" w:hAnsi="Verdana"/>
          <w:sz w:val="22"/>
          <w:szCs w:val="22"/>
        </w:rPr>
      </w:pPr>
      <w:r w:rsidRPr="00E17121">
        <w:rPr>
          <w:rFonts w:ascii="Verdana" w:hAnsi="Verdana"/>
          <w:sz w:val="22"/>
          <w:szCs w:val="22"/>
        </w:rPr>
        <w:t xml:space="preserve">The </w:t>
      </w:r>
      <w:r w:rsidRPr="00E17121" w:rsidR="00021175">
        <w:rPr>
          <w:rFonts w:ascii="Verdana" w:hAnsi="Verdana"/>
          <w:sz w:val="22"/>
          <w:szCs w:val="22"/>
        </w:rPr>
        <w:t>Young People and Gambling Survey (</w:t>
      </w:r>
      <w:r w:rsidRPr="00E17121">
        <w:rPr>
          <w:rFonts w:ascii="Verdana" w:hAnsi="Verdana"/>
          <w:sz w:val="22"/>
          <w:szCs w:val="22"/>
        </w:rPr>
        <w:t>YPGS</w:t>
      </w:r>
      <w:r w:rsidRPr="00E17121" w:rsidR="00021175">
        <w:rPr>
          <w:rFonts w:ascii="Verdana" w:hAnsi="Verdana"/>
          <w:sz w:val="22"/>
          <w:szCs w:val="22"/>
        </w:rPr>
        <w:t>)</w:t>
      </w:r>
      <w:r w:rsidRPr="00E17121">
        <w:rPr>
          <w:rFonts w:ascii="Verdana" w:hAnsi="Verdana"/>
          <w:sz w:val="22"/>
          <w:szCs w:val="22"/>
        </w:rPr>
        <w:t xml:space="preserve"> is a survey of schoolchildren in Great Britain, conducted by Ipsos Mori on behalf of the Gambling Commission. The 2023 edition of the survey is the source of the claim that 80,000 schoolchildren are harmed by gambling – a figure based upon 25 children in the survey who reported </w:t>
      </w:r>
      <w:r w:rsidRPr="00E17121">
        <w:rPr>
          <w:rFonts w:ascii="Verdana" w:hAnsi="Verdana"/>
          <w:sz w:val="22"/>
          <w:szCs w:val="22"/>
        </w:rPr>
        <w:t>a sufficient number of</w:t>
      </w:r>
      <w:r w:rsidRPr="00E17121">
        <w:rPr>
          <w:rFonts w:ascii="Verdana" w:hAnsi="Verdana"/>
          <w:sz w:val="22"/>
          <w:szCs w:val="22"/>
        </w:rPr>
        <w:t xml:space="preserve"> criteria to be classified as DSM-IV-MR-J problem gamblers. While we should be concerned about any risks to </w:t>
      </w:r>
      <w:r w:rsidRPr="00E17121">
        <w:rPr>
          <w:rFonts w:ascii="Verdana" w:hAnsi="Verdana"/>
          <w:sz w:val="22"/>
          <w:szCs w:val="22"/>
        </w:rPr>
        <w:t xml:space="preserve">children, it is important to understand what the data </w:t>
      </w:r>
      <w:r w:rsidRPr="00E17121">
        <w:rPr>
          <w:rFonts w:ascii="Verdana" w:hAnsi="Verdana"/>
          <w:sz w:val="22"/>
          <w:szCs w:val="22"/>
        </w:rPr>
        <w:t>actually shows</w:t>
      </w:r>
      <w:r w:rsidRPr="00E17121">
        <w:rPr>
          <w:rFonts w:ascii="Verdana" w:hAnsi="Verdana"/>
          <w:sz w:val="22"/>
          <w:szCs w:val="22"/>
        </w:rPr>
        <w:t xml:space="preserve"> rather than what we think it might show.</w:t>
      </w:r>
    </w:p>
    <w:p w:rsidR="00925DCA" w:rsidRPr="00E17121" w:rsidP="00E17121">
      <w:pPr>
        <w:pStyle w:val="ListParagraph"/>
        <w:numPr>
          <w:ilvl w:val="0"/>
          <w:numId w:val="2"/>
        </w:numPr>
        <w:rPr>
          <w:rFonts w:ascii="Verdana" w:hAnsi="Verdana"/>
          <w:sz w:val="22"/>
          <w:szCs w:val="22"/>
        </w:rPr>
      </w:pPr>
      <w:r w:rsidRPr="00E17121">
        <w:rPr>
          <w:rFonts w:ascii="Verdana" w:hAnsi="Verdana"/>
          <w:sz w:val="22"/>
          <w:szCs w:val="22"/>
        </w:rPr>
        <w:t xml:space="preserve">As Sarah Gardner of the Gambling Commission observed in her evidence, the instrument used in the survey (the DSM-IV-MR-J) is qualitatively different to the instrument used in surveys of adults (typically the PGSI or DSM-IV). </w:t>
      </w:r>
      <w:r w:rsidRPr="00E17121" w:rsidR="00E57C85">
        <w:rPr>
          <w:rFonts w:ascii="Verdana" w:hAnsi="Verdana"/>
          <w:sz w:val="22"/>
          <w:szCs w:val="22"/>
        </w:rPr>
        <w:t xml:space="preserve">Most of the criteria in the DSM-IV-MR-J refer to risky behaviours – such as trying to win back money lost - rather than harms. The only unambiguous harm item in the instrument is missing school although there is also an item for </w:t>
      </w:r>
      <w:r w:rsidRPr="00E17121" w:rsidR="005409E2">
        <w:rPr>
          <w:rFonts w:ascii="Verdana" w:hAnsi="Verdana"/>
          <w:sz w:val="22"/>
          <w:szCs w:val="22"/>
        </w:rPr>
        <w:t>‘</w:t>
      </w:r>
      <w:r w:rsidRPr="00E17121" w:rsidR="00E57C85">
        <w:rPr>
          <w:rFonts w:ascii="Verdana" w:hAnsi="Verdana"/>
          <w:sz w:val="22"/>
          <w:szCs w:val="22"/>
        </w:rPr>
        <w:t>feeling fed up</w:t>
      </w:r>
      <w:r w:rsidRPr="00E17121" w:rsidR="005409E2">
        <w:rPr>
          <w:rFonts w:ascii="Verdana" w:hAnsi="Verdana"/>
          <w:sz w:val="22"/>
          <w:szCs w:val="22"/>
        </w:rPr>
        <w:t>’</w:t>
      </w:r>
      <w:r w:rsidRPr="00E17121" w:rsidR="00E57C85">
        <w:rPr>
          <w:rFonts w:ascii="Verdana" w:hAnsi="Verdana"/>
          <w:sz w:val="22"/>
          <w:szCs w:val="22"/>
        </w:rPr>
        <w:t>. Other items may be indicators of risk rather than evidence of harm. For instance, if a child uses a part of his pocket money to play cards with his friends, he scores one point on the instrument</w:t>
      </w:r>
      <w:r w:rsidRPr="00E17121" w:rsidR="002436C8">
        <w:rPr>
          <w:rFonts w:ascii="Verdana" w:hAnsi="Verdana"/>
          <w:sz w:val="22"/>
          <w:szCs w:val="22"/>
        </w:rPr>
        <w:t xml:space="preserve"> (where a score of four is required to be designated a ‘problem gambler’)</w:t>
      </w:r>
      <w:r w:rsidRPr="00E17121" w:rsidR="00E57C85">
        <w:rPr>
          <w:rFonts w:ascii="Verdana" w:hAnsi="Verdana"/>
          <w:sz w:val="22"/>
          <w:szCs w:val="22"/>
        </w:rPr>
        <w:t xml:space="preserve">. If he argues with those friends while playing cards he scores another point. </w:t>
      </w:r>
    </w:p>
    <w:p w:rsidR="00925DCA" w:rsidRPr="00E17121" w:rsidP="00E17121">
      <w:pPr>
        <w:pStyle w:val="ListParagraph"/>
        <w:numPr>
          <w:ilvl w:val="0"/>
          <w:numId w:val="2"/>
        </w:numPr>
        <w:rPr>
          <w:rFonts w:ascii="Verdana" w:hAnsi="Verdana"/>
          <w:sz w:val="22"/>
          <w:szCs w:val="22"/>
        </w:rPr>
      </w:pPr>
      <w:r w:rsidRPr="00E17121">
        <w:rPr>
          <w:rFonts w:ascii="Verdana" w:hAnsi="Verdana"/>
          <w:sz w:val="22"/>
          <w:szCs w:val="22"/>
        </w:rPr>
        <w:t>If we look at those 25 children</w:t>
      </w:r>
      <w:r w:rsidRPr="00E17121" w:rsidR="000B1D44">
        <w:rPr>
          <w:rFonts w:ascii="Verdana" w:hAnsi="Verdana"/>
          <w:sz w:val="22"/>
          <w:szCs w:val="22"/>
        </w:rPr>
        <w:t xml:space="preserve"> classified as ‘problem gamblers’ in the 2023 survey</w:t>
      </w:r>
      <w:r w:rsidRPr="00E17121" w:rsidR="00016502">
        <w:rPr>
          <w:rFonts w:ascii="Verdana" w:hAnsi="Verdana"/>
          <w:sz w:val="22"/>
          <w:szCs w:val="22"/>
        </w:rPr>
        <w:t xml:space="preserve"> (Gambling Commission, 2024)</w:t>
      </w:r>
      <w:r w:rsidRPr="00E17121">
        <w:rPr>
          <w:rFonts w:ascii="Verdana" w:hAnsi="Verdana"/>
          <w:sz w:val="22"/>
          <w:szCs w:val="22"/>
        </w:rPr>
        <w:t xml:space="preserve">, the most common activity participated in was amusements – crane grabbers and pushers – </w:t>
      </w:r>
      <w:r w:rsidRPr="00E17121" w:rsidR="00E57C85">
        <w:rPr>
          <w:rFonts w:ascii="Verdana" w:hAnsi="Verdana"/>
          <w:sz w:val="22"/>
          <w:szCs w:val="22"/>
        </w:rPr>
        <w:t xml:space="preserve">commonly found </w:t>
      </w:r>
      <w:r w:rsidRPr="00E17121">
        <w:rPr>
          <w:rFonts w:ascii="Verdana" w:hAnsi="Verdana"/>
          <w:sz w:val="22"/>
          <w:szCs w:val="22"/>
        </w:rPr>
        <w:t xml:space="preserve">in seaside arcades, which around two-thirds reported playing. A further 56% reported placing bets with friends and family, 40% </w:t>
      </w:r>
      <w:r w:rsidRPr="00E17121" w:rsidR="00B11CC5">
        <w:rPr>
          <w:rFonts w:ascii="Verdana" w:hAnsi="Verdana"/>
          <w:sz w:val="22"/>
          <w:szCs w:val="22"/>
        </w:rPr>
        <w:t>played</w:t>
      </w:r>
      <w:r w:rsidRPr="00E17121">
        <w:rPr>
          <w:rFonts w:ascii="Verdana" w:hAnsi="Verdana"/>
          <w:sz w:val="22"/>
          <w:szCs w:val="22"/>
        </w:rPr>
        <w:t xml:space="preserve"> lottery games</w:t>
      </w:r>
      <w:r w:rsidRPr="00E17121" w:rsidR="000C32DD">
        <w:rPr>
          <w:rFonts w:ascii="Verdana" w:hAnsi="Verdana"/>
          <w:sz w:val="22"/>
          <w:szCs w:val="22"/>
        </w:rPr>
        <w:t>,</w:t>
      </w:r>
      <w:r w:rsidRPr="00E17121">
        <w:rPr>
          <w:rFonts w:ascii="Verdana" w:hAnsi="Verdana"/>
          <w:sz w:val="22"/>
          <w:szCs w:val="22"/>
        </w:rPr>
        <w:t xml:space="preserve"> 40% reported playing cards with friends and family, 36% reported playing fruit machines in pubs, social clubs and arcades and 28% reported playing bingo at social clubs or holiday parks. S</w:t>
      </w:r>
      <w:r w:rsidRPr="00E17121" w:rsidR="00E57C85">
        <w:rPr>
          <w:rFonts w:ascii="Verdana" w:hAnsi="Verdana"/>
          <w:sz w:val="22"/>
          <w:szCs w:val="22"/>
        </w:rPr>
        <w:t xml:space="preserve">ix of the children (24%) </w:t>
      </w:r>
      <w:r w:rsidRPr="00E17121">
        <w:rPr>
          <w:rFonts w:ascii="Verdana" w:hAnsi="Verdana"/>
          <w:sz w:val="22"/>
          <w:szCs w:val="22"/>
        </w:rPr>
        <w:t xml:space="preserve">reported betting online – using accounts belonging to parents, guardians or other adults, </w:t>
      </w:r>
      <w:r w:rsidRPr="00E17121" w:rsidR="000C32DD">
        <w:rPr>
          <w:rFonts w:ascii="Verdana" w:hAnsi="Verdana"/>
          <w:sz w:val="22"/>
          <w:szCs w:val="22"/>
        </w:rPr>
        <w:t>either with or</w:t>
      </w:r>
      <w:r w:rsidRPr="00E17121">
        <w:rPr>
          <w:rFonts w:ascii="Verdana" w:hAnsi="Verdana"/>
          <w:sz w:val="22"/>
          <w:szCs w:val="22"/>
        </w:rPr>
        <w:t xml:space="preserve"> with</w:t>
      </w:r>
      <w:r w:rsidRPr="00E17121" w:rsidR="000C32DD">
        <w:rPr>
          <w:rFonts w:ascii="Verdana" w:hAnsi="Verdana"/>
          <w:sz w:val="22"/>
          <w:szCs w:val="22"/>
        </w:rPr>
        <w:t>out</w:t>
      </w:r>
      <w:r w:rsidRPr="00E17121">
        <w:rPr>
          <w:rFonts w:ascii="Verdana" w:hAnsi="Verdana"/>
          <w:sz w:val="22"/>
          <w:szCs w:val="22"/>
        </w:rPr>
        <w:t xml:space="preserve"> the consent of the adult in question; and as part of a much wider constellation of gambling activity. The</w:t>
      </w:r>
      <w:r w:rsidRPr="00E17121" w:rsidR="005A7817">
        <w:rPr>
          <w:rFonts w:ascii="Verdana" w:hAnsi="Verdana"/>
          <w:sz w:val="22"/>
          <w:szCs w:val="22"/>
        </w:rPr>
        <w:t>se</w:t>
      </w:r>
      <w:r w:rsidRPr="00E17121">
        <w:rPr>
          <w:rFonts w:ascii="Verdana" w:hAnsi="Verdana"/>
          <w:sz w:val="22"/>
          <w:szCs w:val="22"/>
        </w:rPr>
        <w:t xml:space="preserve"> </w:t>
      </w:r>
      <w:r w:rsidRPr="00E17121" w:rsidR="005A7817">
        <w:rPr>
          <w:rFonts w:ascii="Verdana" w:hAnsi="Verdana"/>
          <w:sz w:val="22"/>
          <w:szCs w:val="22"/>
        </w:rPr>
        <w:t xml:space="preserve">six </w:t>
      </w:r>
      <w:r w:rsidRPr="00E17121">
        <w:rPr>
          <w:rFonts w:ascii="Verdana" w:hAnsi="Verdana"/>
          <w:sz w:val="22"/>
          <w:szCs w:val="22"/>
        </w:rPr>
        <w:t>children, participated in an average of 12 activities over the course of the year.</w:t>
      </w:r>
    </w:p>
    <w:p w:rsidR="00925DCA" w:rsidRPr="00E17121" w:rsidP="00E17121">
      <w:pPr>
        <w:rPr>
          <w:rFonts w:ascii="Verdana" w:hAnsi="Verdana"/>
          <w:sz w:val="22"/>
          <w:szCs w:val="22"/>
        </w:rPr>
      </w:pPr>
      <w:r w:rsidRPr="00E17121">
        <w:rPr>
          <w:rFonts w:ascii="Verdana" w:hAnsi="Verdana"/>
          <w:noProof/>
          <w:sz w:val="22"/>
          <w:szCs w:val="22"/>
        </w:rPr>
        <w:drawing>
          <wp:inline distT="0" distB="0" distL="0" distR="0">
            <wp:extent cx="4572000" cy="2743200"/>
            <wp:effectExtent l="0" t="0" r="0" b="0"/>
            <wp:docPr id="180681908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E57C85" w:rsidRPr="00E17121" w:rsidP="00E17121">
      <w:pPr>
        <w:pStyle w:val="ListParagraph"/>
        <w:numPr>
          <w:ilvl w:val="0"/>
          <w:numId w:val="2"/>
        </w:numPr>
        <w:rPr>
          <w:rFonts w:ascii="Verdana" w:hAnsi="Verdana"/>
          <w:sz w:val="22"/>
          <w:szCs w:val="22"/>
        </w:rPr>
      </w:pPr>
      <w:r w:rsidRPr="00E17121">
        <w:rPr>
          <w:rFonts w:ascii="Verdana" w:hAnsi="Verdana"/>
          <w:sz w:val="22"/>
          <w:szCs w:val="22"/>
        </w:rPr>
        <w:t xml:space="preserve">We should be careful about interpretation of the data. One of the 25 problem gamblers in the survey reported buying a National Lottery </w:t>
      </w:r>
      <w:r w:rsidRPr="00E17121">
        <w:rPr>
          <w:rFonts w:ascii="Verdana" w:hAnsi="Verdana"/>
          <w:sz w:val="22"/>
          <w:szCs w:val="22"/>
        </w:rPr>
        <w:t xml:space="preserve">ticket in the prior week and buying a scratchcard in the prior year as the extent of his or her participation. That child reported spending more than he or she wanted to lose, sometimes missing school because of gambling, feeling preoccupied by gambling and feeling bad when trying to cut down. Another reported missing school, lying and spending more than intended </w:t>
      </w:r>
      <w:r w:rsidRPr="00E17121">
        <w:rPr>
          <w:rFonts w:ascii="Verdana" w:hAnsi="Verdana"/>
          <w:sz w:val="22"/>
          <w:szCs w:val="22"/>
        </w:rPr>
        <w:t>on gambling but his or her sole gambling activity was having played a National Lottery instants game within the prior four weeks (but not within the previous seven days).</w:t>
      </w:r>
    </w:p>
    <w:p w:rsidR="00925DCA" w:rsidRPr="00E17121" w:rsidP="00E17121">
      <w:pPr>
        <w:pStyle w:val="ListParagraph"/>
        <w:numPr>
          <w:ilvl w:val="0"/>
          <w:numId w:val="2"/>
        </w:numPr>
        <w:rPr>
          <w:rFonts w:ascii="Verdana" w:hAnsi="Verdana"/>
          <w:sz w:val="22"/>
          <w:szCs w:val="22"/>
        </w:rPr>
      </w:pPr>
      <w:r w:rsidRPr="00E17121">
        <w:rPr>
          <w:rFonts w:ascii="Verdana" w:hAnsi="Verdana"/>
          <w:sz w:val="22"/>
          <w:szCs w:val="22"/>
        </w:rPr>
        <w:t>Some children report implausibly high levels of gambling participation.  One child with a problem gambling classification in the survey reported doing ALL of the following in the week prior to taking the survey: buying National Lottery tickets, National Lottery scratchcards and National Lottery instant wins; playing seaside amusements, fruit machines in pubs, social clubs and betting shops, cards with friends, bingo at a licensed bingo club, bingo at a holiday park or social club, bingo online, casino online, casino games in a licensed casino; and placing bets in shops and online, on esports and with friends and family. Three more children</w:t>
      </w:r>
      <w:r w:rsidRPr="00E17121" w:rsidR="00E57C85">
        <w:rPr>
          <w:rFonts w:ascii="Verdana" w:hAnsi="Verdana"/>
          <w:sz w:val="22"/>
          <w:szCs w:val="22"/>
        </w:rPr>
        <w:t xml:space="preserve"> from the 25</w:t>
      </w:r>
      <w:r w:rsidRPr="00E17121">
        <w:rPr>
          <w:rFonts w:ascii="Verdana" w:hAnsi="Verdana"/>
          <w:sz w:val="22"/>
          <w:szCs w:val="22"/>
        </w:rPr>
        <w:t xml:space="preserve"> reported similarly </w:t>
      </w:r>
      <w:r w:rsidRPr="00E17121" w:rsidR="00E57C85">
        <w:rPr>
          <w:rFonts w:ascii="Verdana" w:hAnsi="Verdana"/>
          <w:sz w:val="22"/>
          <w:szCs w:val="22"/>
        </w:rPr>
        <w:t xml:space="preserve">implausible </w:t>
      </w:r>
      <w:r w:rsidRPr="00E17121">
        <w:rPr>
          <w:rFonts w:ascii="Verdana" w:hAnsi="Verdana"/>
          <w:sz w:val="22"/>
          <w:szCs w:val="22"/>
        </w:rPr>
        <w:t xml:space="preserve">gambling repertoires. </w:t>
      </w:r>
    </w:p>
    <w:p w:rsidR="005F0C74" w:rsidRPr="00E17121" w:rsidP="00E17121">
      <w:pPr>
        <w:pStyle w:val="ListParagraph"/>
        <w:numPr>
          <w:ilvl w:val="0"/>
          <w:numId w:val="2"/>
        </w:numPr>
        <w:rPr>
          <w:rFonts w:ascii="Verdana" w:hAnsi="Verdana"/>
          <w:sz w:val="22"/>
          <w:szCs w:val="22"/>
        </w:rPr>
      </w:pPr>
      <w:r w:rsidRPr="00E17121">
        <w:rPr>
          <w:rFonts w:ascii="Verdana" w:hAnsi="Verdana"/>
          <w:sz w:val="22"/>
          <w:szCs w:val="22"/>
        </w:rPr>
        <w:t xml:space="preserve">There are </w:t>
      </w:r>
      <w:r w:rsidRPr="00E17121">
        <w:rPr>
          <w:rFonts w:ascii="Verdana" w:hAnsi="Verdana"/>
          <w:sz w:val="22"/>
          <w:szCs w:val="22"/>
        </w:rPr>
        <w:t>a number of</w:t>
      </w:r>
      <w:r w:rsidRPr="00E17121">
        <w:rPr>
          <w:rFonts w:ascii="Verdana" w:hAnsi="Verdana"/>
          <w:sz w:val="22"/>
          <w:szCs w:val="22"/>
        </w:rPr>
        <w:t xml:space="preserve"> wider inconsistencies within the YPGS dataset that indicate caution should be taken when considering findings.</w:t>
      </w:r>
    </w:p>
    <w:p w:rsidR="004D7C21" w:rsidRPr="00E17121" w:rsidP="00E17121">
      <w:pPr>
        <w:rPr>
          <w:rFonts w:ascii="Verdana" w:hAnsi="Verdana"/>
          <w:b/>
          <w:bCs/>
          <w:sz w:val="22"/>
          <w:szCs w:val="22"/>
        </w:rPr>
      </w:pPr>
      <w:r w:rsidRPr="00E17121">
        <w:rPr>
          <w:rFonts w:ascii="Verdana" w:hAnsi="Verdana"/>
          <w:b/>
          <w:bCs/>
          <w:sz w:val="22"/>
          <w:szCs w:val="22"/>
        </w:rPr>
        <w:br w:type="page"/>
      </w:r>
    </w:p>
    <w:p w:rsidR="004D7C21" w:rsidRPr="00E17121" w:rsidP="00E17121">
      <w:pPr>
        <w:rPr>
          <w:rFonts w:ascii="Verdana" w:hAnsi="Verdana"/>
          <w:b/>
          <w:bCs/>
          <w:sz w:val="22"/>
          <w:szCs w:val="22"/>
        </w:rPr>
      </w:pPr>
      <w:r w:rsidRPr="00E17121">
        <w:rPr>
          <w:rFonts w:ascii="Verdana" w:hAnsi="Verdana"/>
          <w:b/>
          <w:bCs/>
          <w:sz w:val="22"/>
          <w:szCs w:val="22"/>
        </w:rPr>
        <w:t>Analysis of claims made in Session 1</w:t>
      </w:r>
    </w:p>
    <w:p w:rsidR="00E57C85" w:rsidRPr="00E17121" w:rsidP="00E17121">
      <w:pPr>
        <w:rPr>
          <w:rFonts w:ascii="Verdana" w:hAnsi="Verdana"/>
          <w:b/>
          <w:bCs/>
          <w:sz w:val="22"/>
          <w:szCs w:val="22"/>
        </w:rPr>
      </w:pPr>
      <w:r w:rsidRPr="00E17121">
        <w:rPr>
          <w:rFonts w:ascii="Verdana" w:hAnsi="Verdana"/>
          <w:b/>
          <w:bCs/>
          <w:sz w:val="22"/>
          <w:szCs w:val="22"/>
        </w:rPr>
        <w:t>Distribution of industry profits</w:t>
      </w:r>
    </w:p>
    <w:p w:rsidR="00E57C85" w:rsidRPr="00E17121" w:rsidP="00E17121">
      <w:pPr>
        <w:rPr>
          <w:rFonts w:ascii="Verdana" w:hAnsi="Verdana"/>
          <w:sz w:val="22"/>
          <w:szCs w:val="22"/>
        </w:rPr>
      </w:pPr>
      <w:r w:rsidRPr="00E17121">
        <w:rPr>
          <w:rFonts w:ascii="Verdana" w:hAnsi="Verdana"/>
          <w:sz w:val="22"/>
          <w:szCs w:val="22"/>
        </w:rPr>
        <w:t>During the first session, the committee was informed that, variously 60% and 8</w:t>
      </w:r>
      <w:r w:rsidRPr="00E17121" w:rsidR="004B4E42">
        <w:rPr>
          <w:rFonts w:ascii="Verdana" w:hAnsi="Verdana"/>
          <w:sz w:val="22"/>
          <w:szCs w:val="22"/>
        </w:rPr>
        <w:t>6</w:t>
      </w:r>
      <w:r w:rsidRPr="00E17121">
        <w:rPr>
          <w:rFonts w:ascii="Verdana" w:hAnsi="Verdana"/>
          <w:sz w:val="22"/>
          <w:szCs w:val="22"/>
        </w:rPr>
        <w:t xml:space="preserve">% of industry profits were derived from just 5% of customers. In both cases, these statements are misleading. </w:t>
      </w:r>
    </w:p>
    <w:p w:rsidR="00E57C85" w:rsidRPr="00E17121" w:rsidP="00E17121">
      <w:pPr>
        <w:rPr>
          <w:rFonts w:ascii="Verdana" w:hAnsi="Verdana"/>
          <w:sz w:val="22"/>
          <w:szCs w:val="22"/>
        </w:rPr>
      </w:pPr>
      <w:r w:rsidRPr="00E17121">
        <w:rPr>
          <w:rFonts w:ascii="Verdana" w:hAnsi="Verdana"/>
          <w:sz w:val="22"/>
          <w:szCs w:val="22"/>
        </w:rPr>
        <w:t xml:space="preserve">The 60% from 5% claim originates in analysis by Landman Economics that featured in a report from the think tank, </w:t>
      </w:r>
      <w:r w:rsidRPr="00E17121">
        <w:rPr>
          <w:rFonts w:ascii="Verdana" w:hAnsi="Verdana"/>
          <w:sz w:val="22"/>
          <w:szCs w:val="22"/>
        </w:rPr>
        <w:t>Respublica</w:t>
      </w:r>
      <w:r w:rsidRPr="00E17121">
        <w:rPr>
          <w:rFonts w:ascii="Verdana" w:hAnsi="Verdana"/>
          <w:sz w:val="22"/>
          <w:szCs w:val="22"/>
        </w:rPr>
        <w:t xml:space="preserve"> (Cowen &amp; Blond, 2018</w:t>
      </w:r>
      <w:r w:rsidRPr="00E17121" w:rsidR="00FC21AF">
        <w:rPr>
          <w:rFonts w:ascii="Verdana" w:hAnsi="Verdana"/>
          <w:sz w:val="22"/>
          <w:szCs w:val="22"/>
        </w:rPr>
        <w:t>, p.12</w:t>
      </w:r>
      <w:r w:rsidRPr="00E17121">
        <w:rPr>
          <w:rFonts w:ascii="Verdana" w:hAnsi="Verdana"/>
          <w:sz w:val="22"/>
          <w:szCs w:val="22"/>
        </w:rPr>
        <w:t>). This claim is based on a corruption of data</w:t>
      </w:r>
      <w:r w:rsidRPr="00E17121" w:rsidR="00510F6C">
        <w:rPr>
          <w:rFonts w:ascii="Verdana" w:hAnsi="Verdana"/>
          <w:sz w:val="22"/>
          <w:szCs w:val="22"/>
        </w:rPr>
        <w:t xml:space="preserve"> </w:t>
      </w:r>
      <w:r w:rsidRPr="00E17121" w:rsidR="00A927F6">
        <w:rPr>
          <w:rFonts w:ascii="Verdana" w:hAnsi="Verdana"/>
          <w:sz w:val="22"/>
          <w:szCs w:val="22"/>
        </w:rPr>
        <w:t xml:space="preserve">on stakes (rather than revenue or profit) </w:t>
      </w:r>
      <w:r w:rsidRPr="00E17121">
        <w:rPr>
          <w:rFonts w:ascii="Verdana" w:hAnsi="Verdana"/>
          <w:sz w:val="22"/>
          <w:szCs w:val="22"/>
        </w:rPr>
        <w:t>from the 2017 PwC report, ‘Remote Gambling Phase II’</w:t>
      </w:r>
      <w:r w:rsidRPr="00E17121" w:rsidR="00F5147A">
        <w:rPr>
          <w:rFonts w:ascii="Verdana" w:hAnsi="Verdana"/>
          <w:sz w:val="22"/>
          <w:szCs w:val="22"/>
        </w:rPr>
        <w:t>.</w:t>
      </w:r>
      <w:r w:rsidRPr="00E17121" w:rsidR="00D13BA9">
        <w:rPr>
          <w:rFonts w:ascii="Verdana" w:hAnsi="Verdana"/>
          <w:sz w:val="22"/>
          <w:szCs w:val="22"/>
        </w:rPr>
        <w:t xml:space="preserve"> </w:t>
      </w:r>
      <w:r w:rsidRPr="00E17121" w:rsidR="0065621B">
        <w:rPr>
          <w:rFonts w:ascii="Verdana" w:hAnsi="Verdana"/>
          <w:sz w:val="22"/>
          <w:szCs w:val="22"/>
        </w:rPr>
        <w:t xml:space="preserve">More detailed analysis is provided at the foot of this letter. </w:t>
      </w:r>
    </w:p>
    <w:p w:rsidR="007F3EF2" w:rsidRPr="00E17121" w:rsidP="00E17121">
      <w:pPr>
        <w:rPr>
          <w:rFonts w:ascii="Verdana" w:hAnsi="Verdana"/>
          <w:sz w:val="22"/>
          <w:szCs w:val="22"/>
        </w:rPr>
      </w:pPr>
      <w:r w:rsidRPr="00E17121">
        <w:rPr>
          <w:rFonts w:ascii="Verdana" w:hAnsi="Verdana"/>
          <w:sz w:val="22"/>
          <w:szCs w:val="22"/>
        </w:rPr>
        <w:t>The 8</w:t>
      </w:r>
      <w:r w:rsidRPr="00E17121" w:rsidR="004B4E42">
        <w:rPr>
          <w:rFonts w:ascii="Verdana" w:hAnsi="Verdana"/>
          <w:sz w:val="22"/>
          <w:szCs w:val="22"/>
        </w:rPr>
        <w:t>6</w:t>
      </w:r>
      <w:r w:rsidRPr="00E17121">
        <w:rPr>
          <w:rFonts w:ascii="Verdana" w:hAnsi="Verdana"/>
          <w:sz w:val="22"/>
          <w:szCs w:val="22"/>
        </w:rPr>
        <w:t>% from 5% claim is taken from ‘Patterns of Play’, a study by the University of Liverpool (Forrest &amp; McHale, 2022)</w:t>
      </w:r>
      <w:r w:rsidRPr="00E17121" w:rsidR="009C7008">
        <w:rPr>
          <w:rFonts w:ascii="Verdana" w:hAnsi="Verdana"/>
          <w:sz w:val="22"/>
          <w:szCs w:val="22"/>
        </w:rPr>
        <w:t xml:space="preserve"> and has been described </w:t>
      </w:r>
      <w:r w:rsidRPr="00E17121" w:rsidR="008060BC">
        <w:rPr>
          <w:rFonts w:ascii="Verdana" w:hAnsi="Verdana"/>
          <w:sz w:val="22"/>
          <w:szCs w:val="22"/>
        </w:rPr>
        <w:t xml:space="preserve">by Gambling Commission chief executive, Andrew Rhodes, </w:t>
      </w:r>
      <w:r w:rsidRPr="00E17121" w:rsidR="009C7008">
        <w:rPr>
          <w:rFonts w:ascii="Verdana" w:hAnsi="Verdana"/>
          <w:sz w:val="22"/>
          <w:szCs w:val="22"/>
        </w:rPr>
        <w:t>as a ‘mischaracterisation’</w:t>
      </w:r>
      <w:r w:rsidRPr="00E17121" w:rsidR="008C3B42">
        <w:rPr>
          <w:rFonts w:ascii="Verdana" w:hAnsi="Verdana"/>
          <w:sz w:val="22"/>
          <w:szCs w:val="22"/>
        </w:rPr>
        <w:t xml:space="preserve">, </w:t>
      </w:r>
      <w:r w:rsidRPr="00E17121" w:rsidR="008060BC">
        <w:rPr>
          <w:rFonts w:ascii="Verdana" w:hAnsi="Verdana"/>
          <w:sz w:val="22"/>
          <w:szCs w:val="22"/>
        </w:rPr>
        <w:t xml:space="preserve">in </w:t>
      </w:r>
      <w:r w:rsidRPr="00E17121" w:rsidR="008C3B42">
        <w:rPr>
          <w:rFonts w:ascii="Verdana" w:hAnsi="Verdana"/>
          <w:sz w:val="22"/>
          <w:szCs w:val="22"/>
        </w:rPr>
        <w:t>a 2023</w:t>
      </w:r>
      <w:r w:rsidRPr="00E17121" w:rsidR="003A551C">
        <w:rPr>
          <w:rFonts w:ascii="Verdana" w:hAnsi="Verdana"/>
          <w:sz w:val="22"/>
          <w:szCs w:val="22"/>
        </w:rPr>
        <w:t xml:space="preserve"> letter to the Culture, Media and Sport Committee</w:t>
      </w:r>
      <w:r w:rsidRPr="00E17121" w:rsidR="008C3B42">
        <w:rPr>
          <w:rFonts w:ascii="Verdana" w:hAnsi="Verdana"/>
          <w:sz w:val="22"/>
          <w:szCs w:val="22"/>
        </w:rPr>
        <w:t xml:space="preserve"> (</w:t>
      </w:r>
      <w:r w:rsidRPr="00E17121" w:rsidR="00C018E5">
        <w:rPr>
          <w:rFonts w:ascii="Verdana" w:hAnsi="Verdana"/>
          <w:sz w:val="22"/>
          <w:szCs w:val="22"/>
        </w:rPr>
        <w:t>Rhodes</w:t>
      </w:r>
      <w:r w:rsidRPr="00E17121" w:rsidR="008C3B42">
        <w:rPr>
          <w:rFonts w:ascii="Verdana" w:hAnsi="Verdana"/>
          <w:sz w:val="22"/>
          <w:szCs w:val="22"/>
        </w:rPr>
        <w:t>, 2023</w:t>
      </w:r>
      <w:r w:rsidRPr="00E17121" w:rsidR="003A551C">
        <w:rPr>
          <w:rFonts w:ascii="Verdana" w:hAnsi="Verdana"/>
          <w:sz w:val="22"/>
          <w:szCs w:val="22"/>
        </w:rPr>
        <w:t>)</w:t>
      </w:r>
      <w:r w:rsidRPr="00E17121">
        <w:rPr>
          <w:rFonts w:ascii="Verdana" w:hAnsi="Verdana"/>
          <w:sz w:val="22"/>
          <w:szCs w:val="22"/>
        </w:rPr>
        <w:t xml:space="preserve">. It is based on 2018 data and refers to revenue </w:t>
      </w:r>
      <w:r w:rsidRPr="00E17121" w:rsidR="00BA6729">
        <w:rPr>
          <w:rFonts w:ascii="Verdana" w:hAnsi="Verdana"/>
          <w:sz w:val="22"/>
          <w:szCs w:val="22"/>
        </w:rPr>
        <w:t xml:space="preserve">(known as gross gambling yield) </w:t>
      </w:r>
      <w:r w:rsidRPr="00E17121">
        <w:rPr>
          <w:rFonts w:ascii="Verdana" w:hAnsi="Verdana"/>
          <w:sz w:val="22"/>
          <w:szCs w:val="22"/>
        </w:rPr>
        <w:t>rather than profit</w:t>
      </w:r>
      <w:r w:rsidRPr="00E17121" w:rsidR="00376036">
        <w:rPr>
          <w:rFonts w:ascii="Verdana" w:hAnsi="Verdana"/>
          <w:sz w:val="22"/>
          <w:szCs w:val="22"/>
        </w:rPr>
        <w:t>,</w:t>
      </w:r>
      <w:r w:rsidRPr="00E17121">
        <w:rPr>
          <w:rFonts w:ascii="Verdana" w:hAnsi="Verdana"/>
          <w:sz w:val="22"/>
          <w:szCs w:val="22"/>
        </w:rPr>
        <w:t xml:space="preserve"> and online betting rather than online gambling in general. </w:t>
      </w:r>
      <w:r w:rsidRPr="00E17121" w:rsidR="00376036">
        <w:rPr>
          <w:rFonts w:ascii="Verdana" w:hAnsi="Verdana"/>
          <w:sz w:val="22"/>
          <w:szCs w:val="22"/>
        </w:rPr>
        <w:t>Four</w:t>
      </w:r>
      <w:r w:rsidRPr="00E17121">
        <w:rPr>
          <w:rFonts w:ascii="Verdana" w:hAnsi="Verdana"/>
          <w:sz w:val="22"/>
          <w:szCs w:val="22"/>
        </w:rPr>
        <w:t xml:space="preserve"> observations </w:t>
      </w:r>
      <w:r w:rsidRPr="00E17121" w:rsidR="00C41C59">
        <w:rPr>
          <w:rFonts w:ascii="Verdana" w:hAnsi="Verdana"/>
          <w:sz w:val="22"/>
          <w:szCs w:val="22"/>
        </w:rPr>
        <w:t xml:space="preserve">are required </w:t>
      </w:r>
      <w:r w:rsidRPr="00E17121">
        <w:rPr>
          <w:rFonts w:ascii="Verdana" w:hAnsi="Verdana"/>
          <w:sz w:val="22"/>
          <w:szCs w:val="22"/>
        </w:rPr>
        <w:t>to contextualise this statistic.</w:t>
      </w:r>
    </w:p>
    <w:p w:rsidR="007F3EF2" w:rsidRPr="00E17121" w:rsidP="00E17121">
      <w:pPr>
        <w:pStyle w:val="ListParagraph"/>
        <w:numPr>
          <w:ilvl w:val="0"/>
          <w:numId w:val="3"/>
        </w:numPr>
        <w:rPr>
          <w:rFonts w:ascii="Verdana" w:hAnsi="Verdana"/>
          <w:sz w:val="22"/>
          <w:szCs w:val="22"/>
        </w:rPr>
      </w:pPr>
      <w:r w:rsidRPr="00E17121">
        <w:rPr>
          <w:rFonts w:ascii="Verdana" w:hAnsi="Verdana"/>
          <w:sz w:val="22"/>
          <w:szCs w:val="22"/>
        </w:rPr>
        <w:t>Distribution of expenditure in gambling is always skewed because a meaningful proportion of customers (23% of the accounts in the Patterns of Play study) were winning accounts over the course of the year.</w:t>
      </w:r>
    </w:p>
    <w:p w:rsidR="007F3EF2" w:rsidRPr="00E17121" w:rsidP="00E17121">
      <w:pPr>
        <w:pStyle w:val="ListParagraph"/>
        <w:numPr>
          <w:ilvl w:val="0"/>
          <w:numId w:val="3"/>
        </w:numPr>
        <w:rPr>
          <w:rFonts w:ascii="Verdana" w:hAnsi="Verdana"/>
          <w:sz w:val="22"/>
          <w:szCs w:val="22"/>
        </w:rPr>
      </w:pPr>
      <w:r w:rsidRPr="00E17121">
        <w:rPr>
          <w:rFonts w:ascii="Verdana" w:hAnsi="Verdana"/>
          <w:sz w:val="22"/>
          <w:szCs w:val="22"/>
        </w:rPr>
        <w:t>Income and wealth are not evenly distributed across the population and spending in m</w:t>
      </w:r>
      <w:r w:rsidRPr="00E17121" w:rsidR="00C41C59">
        <w:rPr>
          <w:rFonts w:ascii="Verdana" w:hAnsi="Verdana"/>
          <w:sz w:val="22"/>
          <w:szCs w:val="22"/>
        </w:rPr>
        <w:t xml:space="preserve">ost industries </w:t>
      </w:r>
      <w:r w:rsidRPr="00E17121" w:rsidR="00E6559C">
        <w:rPr>
          <w:rFonts w:ascii="Verdana" w:hAnsi="Verdana"/>
          <w:sz w:val="22"/>
          <w:szCs w:val="22"/>
        </w:rPr>
        <w:t>involves a degree of skew</w:t>
      </w:r>
      <w:r w:rsidRPr="00E17121">
        <w:rPr>
          <w:rFonts w:ascii="Verdana" w:hAnsi="Verdana"/>
          <w:sz w:val="22"/>
          <w:szCs w:val="22"/>
        </w:rPr>
        <w:t>.</w:t>
      </w:r>
    </w:p>
    <w:p w:rsidR="007F3EF2" w:rsidRPr="00E17121" w:rsidP="00E17121">
      <w:pPr>
        <w:pStyle w:val="ListParagraph"/>
        <w:numPr>
          <w:ilvl w:val="0"/>
          <w:numId w:val="3"/>
        </w:numPr>
        <w:rPr>
          <w:rFonts w:ascii="Verdana" w:hAnsi="Verdana"/>
          <w:sz w:val="22"/>
          <w:szCs w:val="22"/>
        </w:rPr>
      </w:pPr>
      <w:r w:rsidRPr="00E17121">
        <w:rPr>
          <w:rFonts w:ascii="Verdana" w:hAnsi="Verdana"/>
          <w:sz w:val="22"/>
          <w:szCs w:val="22"/>
        </w:rPr>
        <w:t xml:space="preserve">To be included in the top 5% of betting accounts required mean expenditure of £83 a month. It is not immediately obvious why expenditure at this level should be a source of concern. </w:t>
      </w:r>
    </w:p>
    <w:p w:rsidR="00925DCA" w:rsidRPr="00E17121" w:rsidP="00E17121">
      <w:pPr>
        <w:pStyle w:val="ListParagraph"/>
        <w:numPr>
          <w:ilvl w:val="0"/>
          <w:numId w:val="3"/>
        </w:numPr>
        <w:rPr>
          <w:rFonts w:ascii="Verdana" w:hAnsi="Verdana"/>
          <w:sz w:val="22"/>
          <w:szCs w:val="22"/>
        </w:rPr>
      </w:pPr>
      <w:r w:rsidRPr="00E17121">
        <w:rPr>
          <w:rFonts w:ascii="Verdana" w:hAnsi="Verdana"/>
          <w:sz w:val="22"/>
          <w:szCs w:val="22"/>
        </w:rPr>
        <w:t xml:space="preserve">A flatter distribution of revenue could be achieved by encouraging customers not in the top 5% to spend more on gambling (thus reducing the share provided by the 5%). It is not obvious that this would </w:t>
      </w:r>
      <w:r w:rsidRPr="00E17121" w:rsidR="00B30F65">
        <w:rPr>
          <w:rFonts w:ascii="Verdana" w:hAnsi="Verdana"/>
          <w:sz w:val="22"/>
          <w:szCs w:val="22"/>
        </w:rPr>
        <w:t>alleviate concerns</w:t>
      </w:r>
      <w:r w:rsidRPr="00E17121">
        <w:rPr>
          <w:rFonts w:ascii="Verdana" w:hAnsi="Verdana"/>
          <w:sz w:val="22"/>
          <w:szCs w:val="22"/>
        </w:rPr>
        <w:t>.</w:t>
      </w:r>
      <w:r w:rsidRPr="00E17121" w:rsidR="00E57C85">
        <w:rPr>
          <w:rFonts w:ascii="Verdana" w:hAnsi="Verdana"/>
          <w:sz w:val="22"/>
          <w:szCs w:val="22"/>
        </w:rPr>
        <w:t xml:space="preserve"> </w:t>
      </w:r>
      <w:r w:rsidRPr="00E17121">
        <w:rPr>
          <w:rFonts w:ascii="Verdana" w:hAnsi="Verdana"/>
          <w:sz w:val="22"/>
          <w:szCs w:val="22"/>
        </w:rPr>
        <w:t xml:space="preserve"> </w:t>
      </w:r>
    </w:p>
    <w:p w:rsidR="00730E94" w:rsidRPr="00E17121" w:rsidP="00E17121">
      <w:pPr>
        <w:rPr>
          <w:rFonts w:ascii="Verdana" w:hAnsi="Verdana"/>
          <w:sz w:val="22"/>
          <w:szCs w:val="22"/>
        </w:rPr>
      </w:pPr>
      <w:r w:rsidRPr="00E17121">
        <w:rPr>
          <w:rFonts w:ascii="Verdana" w:hAnsi="Verdana"/>
          <w:sz w:val="22"/>
          <w:szCs w:val="22"/>
        </w:rPr>
        <w:t>I have provided an article describing these issues in greater detail.</w:t>
      </w:r>
    </w:p>
    <w:p w:rsidR="00FD1D59" w:rsidRPr="00E17121" w:rsidP="00E17121">
      <w:pPr>
        <w:rPr>
          <w:rFonts w:ascii="Verdana" w:hAnsi="Verdana"/>
          <w:b/>
          <w:bCs/>
          <w:sz w:val="22"/>
          <w:szCs w:val="22"/>
        </w:rPr>
      </w:pPr>
      <w:r w:rsidRPr="00E17121">
        <w:rPr>
          <w:rFonts w:ascii="Verdana" w:hAnsi="Verdana"/>
          <w:b/>
          <w:bCs/>
          <w:sz w:val="22"/>
          <w:szCs w:val="22"/>
        </w:rPr>
        <w:t>Suicide</w:t>
      </w:r>
    </w:p>
    <w:p w:rsidR="00467575" w:rsidRPr="00E17121" w:rsidP="00E17121">
      <w:pPr>
        <w:rPr>
          <w:rFonts w:ascii="Verdana" w:hAnsi="Verdana"/>
          <w:sz w:val="22"/>
          <w:szCs w:val="22"/>
        </w:rPr>
      </w:pPr>
      <w:r w:rsidRPr="00E17121">
        <w:rPr>
          <w:rFonts w:ascii="Verdana" w:hAnsi="Verdana"/>
          <w:sz w:val="22"/>
          <w:szCs w:val="22"/>
        </w:rPr>
        <w:t xml:space="preserve">The committee was told in session 1 that 10% of suicides in Britain are </w:t>
      </w:r>
      <w:r w:rsidRPr="00E17121">
        <w:rPr>
          <w:rFonts w:ascii="Verdana" w:hAnsi="Verdana"/>
          <w:sz w:val="22"/>
          <w:szCs w:val="22"/>
        </w:rPr>
        <w:t>gambling-related</w:t>
      </w:r>
      <w:r w:rsidRPr="00E17121">
        <w:rPr>
          <w:rFonts w:ascii="Verdana" w:hAnsi="Verdana"/>
          <w:sz w:val="22"/>
          <w:szCs w:val="22"/>
        </w:rPr>
        <w:t xml:space="preserve">. </w:t>
      </w:r>
      <w:r w:rsidRPr="00E17121" w:rsidR="000B15A7">
        <w:rPr>
          <w:rFonts w:ascii="Verdana" w:hAnsi="Verdana"/>
          <w:sz w:val="22"/>
          <w:szCs w:val="22"/>
        </w:rPr>
        <w:t xml:space="preserve">This claim is based on a study of deaths in Hong Kong (Wong et al., 2010), in which evidence of gambling disorder was found in </w:t>
      </w:r>
      <w:r w:rsidRPr="00E17121" w:rsidR="006A752F">
        <w:rPr>
          <w:rFonts w:ascii="Verdana" w:hAnsi="Verdana"/>
          <w:sz w:val="22"/>
          <w:szCs w:val="22"/>
        </w:rPr>
        <w:t>17</w:t>
      </w:r>
      <w:r w:rsidRPr="00E17121" w:rsidR="000B15A7">
        <w:rPr>
          <w:rFonts w:ascii="Verdana" w:hAnsi="Verdana"/>
          <w:sz w:val="22"/>
          <w:szCs w:val="22"/>
        </w:rPr>
        <w:t xml:space="preserve"> of </w:t>
      </w:r>
      <w:r w:rsidRPr="00E17121" w:rsidR="006A752F">
        <w:rPr>
          <w:rFonts w:ascii="Verdana" w:hAnsi="Verdana"/>
          <w:sz w:val="22"/>
          <w:szCs w:val="22"/>
        </w:rPr>
        <w:t>150</w:t>
      </w:r>
      <w:r w:rsidRPr="00E17121" w:rsidR="000B15A7">
        <w:rPr>
          <w:rFonts w:ascii="Verdana" w:hAnsi="Verdana"/>
          <w:sz w:val="22"/>
          <w:szCs w:val="22"/>
        </w:rPr>
        <w:t xml:space="preserve"> suicides analysed. The Office for Health Improvement and Disparities</w:t>
      </w:r>
      <w:r w:rsidRPr="00E17121" w:rsidR="001D0C99">
        <w:rPr>
          <w:rFonts w:ascii="Verdana" w:hAnsi="Verdana"/>
          <w:sz w:val="22"/>
          <w:szCs w:val="22"/>
        </w:rPr>
        <w:t xml:space="preserve"> (OHID)</w:t>
      </w:r>
      <w:r w:rsidRPr="00E17121" w:rsidR="000B15A7">
        <w:rPr>
          <w:rFonts w:ascii="Verdana" w:hAnsi="Verdana"/>
          <w:sz w:val="22"/>
          <w:szCs w:val="22"/>
        </w:rPr>
        <w:t xml:space="preserve"> has described this study as being </w:t>
      </w:r>
      <w:r w:rsidRPr="00E17121" w:rsidR="00F60D62">
        <w:rPr>
          <w:rFonts w:ascii="Verdana" w:hAnsi="Verdana"/>
          <w:sz w:val="22"/>
          <w:szCs w:val="22"/>
        </w:rPr>
        <w:t>not being directly relevant to assessments of mortality</w:t>
      </w:r>
      <w:r w:rsidRPr="00E17121" w:rsidR="000B15A7">
        <w:rPr>
          <w:rFonts w:ascii="Verdana" w:hAnsi="Verdana"/>
          <w:sz w:val="22"/>
          <w:szCs w:val="22"/>
        </w:rPr>
        <w:t xml:space="preserve"> in Britain</w:t>
      </w:r>
      <w:r w:rsidRPr="00E17121" w:rsidR="00977CF3">
        <w:rPr>
          <w:rFonts w:ascii="Verdana" w:hAnsi="Verdana"/>
          <w:sz w:val="22"/>
          <w:szCs w:val="22"/>
        </w:rPr>
        <w:t xml:space="preserve"> (</w:t>
      </w:r>
      <w:r w:rsidRPr="00E17121" w:rsidR="00C667E2">
        <w:rPr>
          <w:rFonts w:ascii="Verdana" w:hAnsi="Verdana"/>
          <w:sz w:val="22"/>
          <w:szCs w:val="22"/>
        </w:rPr>
        <w:t>Babalola et al., 2023</w:t>
      </w:r>
      <w:r w:rsidRPr="00E17121" w:rsidR="0086743F">
        <w:rPr>
          <w:rFonts w:ascii="Verdana" w:hAnsi="Verdana"/>
          <w:sz w:val="22"/>
          <w:szCs w:val="22"/>
        </w:rPr>
        <w:t>, p.47</w:t>
      </w:r>
      <w:r w:rsidRPr="00E17121" w:rsidR="00C667E2">
        <w:rPr>
          <w:rFonts w:ascii="Verdana" w:hAnsi="Verdana"/>
          <w:sz w:val="22"/>
          <w:szCs w:val="22"/>
        </w:rPr>
        <w:t>)</w:t>
      </w:r>
      <w:r w:rsidRPr="00E17121" w:rsidR="000B15A7">
        <w:rPr>
          <w:rFonts w:ascii="Verdana" w:hAnsi="Verdana"/>
          <w:sz w:val="22"/>
          <w:szCs w:val="22"/>
        </w:rPr>
        <w:t>. During the period covered by the study, the rate of problem gambling in Hong Kong was around seven times greater than in Great Britain.</w:t>
      </w:r>
      <w:r w:rsidRPr="00E17121">
        <w:rPr>
          <w:rFonts w:ascii="Verdana" w:hAnsi="Verdana"/>
          <w:sz w:val="22"/>
          <w:szCs w:val="22"/>
        </w:rPr>
        <w:t xml:space="preserve"> In 2023, the chief executive of the Gambling </w:t>
      </w:r>
      <w:r w:rsidRPr="00E17121">
        <w:rPr>
          <w:rFonts w:ascii="Verdana" w:hAnsi="Verdana"/>
          <w:sz w:val="22"/>
          <w:szCs w:val="22"/>
        </w:rPr>
        <w:t xml:space="preserve">Commission, Andrew Rhodes, wrote to the Culture, Media and Sport Committee to describe the 10% claim as </w:t>
      </w:r>
      <w:r w:rsidRPr="00E17121" w:rsidR="002D5E91">
        <w:rPr>
          <w:rFonts w:ascii="Verdana" w:hAnsi="Verdana"/>
          <w:sz w:val="22"/>
          <w:szCs w:val="22"/>
        </w:rPr>
        <w:t>neither reliable nor accurate</w:t>
      </w:r>
      <w:r w:rsidRPr="00E17121" w:rsidR="00380977">
        <w:rPr>
          <w:rFonts w:ascii="Verdana" w:hAnsi="Verdana"/>
          <w:sz w:val="22"/>
          <w:szCs w:val="22"/>
        </w:rPr>
        <w:t xml:space="preserve"> (</w:t>
      </w:r>
      <w:r w:rsidRPr="00E17121" w:rsidR="00470E73">
        <w:rPr>
          <w:rFonts w:ascii="Verdana" w:hAnsi="Verdana"/>
          <w:sz w:val="22"/>
          <w:szCs w:val="22"/>
        </w:rPr>
        <w:t>Rhodes</w:t>
      </w:r>
      <w:r w:rsidRPr="00E17121" w:rsidR="00380977">
        <w:rPr>
          <w:rFonts w:ascii="Verdana" w:hAnsi="Verdana"/>
          <w:sz w:val="22"/>
          <w:szCs w:val="22"/>
        </w:rPr>
        <w:t>, 2023)</w:t>
      </w:r>
      <w:r w:rsidRPr="00E17121" w:rsidR="002D5E91">
        <w:rPr>
          <w:rFonts w:ascii="Verdana" w:hAnsi="Verdana"/>
          <w:sz w:val="22"/>
          <w:szCs w:val="22"/>
        </w:rPr>
        <w:t xml:space="preserve">. </w:t>
      </w:r>
    </w:p>
    <w:p w:rsidR="007F3EF2" w:rsidRPr="00E17121" w:rsidP="00E17121">
      <w:pPr>
        <w:rPr>
          <w:rFonts w:ascii="Verdana" w:hAnsi="Verdana"/>
          <w:sz w:val="22"/>
          <w:szCs w:val="22"/>
        </w:rPr>
      </w:pPr>
      <w:r w:rsidRPr="00E17121">
        <w:rPr>
          <w:rFonts w:ascii="Verdana" w:hAnsi="Verdana"/>
          <w:sz w:val="22"/>
          <w:szCs w:val="22"/>
        </w:rPr>
        <w:t xml:space="preserve"> In 2021, Public Health England published an estimate of 409 suicides associated with problem gambling; but this claim was withdrawn in 2023 </w:t>
      </w:r>
      <w:r w:rsidRPr="00E17121">
        <w:rPr>
          <w:rFonts w:ascii="Verdana" w:hAnsi="Verdana"/>
          <w:sz w:val="22"/>
          <w:szCs w:val="22"/>
        </w:rPr>
        <w:t>as a result of</w:t>
      </w:r>
      <w:r w:rsidRPr="00E17121">
        <w:rPr>
          <w:rFonts w:ascii="Verdana" w:hAnsi="Verdana"/>
          <w:sz w:val="22"/>
          <w:szCs w:val="22"/>
        </w:rPr>
        <w:t xml:space="preserve"> errors that the OHID subsequently acknowledged. The OHID replaced the PHE figures with its own estimate of 117 to 496 suicides associated with problem </w:t>
      </w:r>
      <w:r w:rsidRPr="00E17121">
        <w:rPr>
          <w:rFonts w:ascii="Verdana" w:hAnsi="Verdana"/>
          <w:sz w:val="22"/>
          <w:szCs w:val="22"/>
        </w:rPr>
        <w:t>gambling</w:t>
      </w:r>
      <w:r w:rsidRPr="00E17121">
        <w:rPr>
          <w:rFonts w:ascii="Verdana" w:hAnsi="Verdana"/>
          <w:sz w:val="22"/>
          <w:szCs w:val="22"/>
        </w:rPr>
        <w:t xml:space="preserve"> but this is also methodologically flawed. The</w:t>
      </w:r>
      <w:r w:rsidRPr="00E17121" w:rsidR="00697A7B">
        <w:rPr>
          <w:rFonts w:ascii="Verdana" w:hAnsi="Verdana"/>
          <w:sz w:val="22"/>
          <w:szCs w:val="22"/>
        </w:rPr>
        <w:t xml:space="preserve"> Director-General of the</w:t>
      </w:r>
      <w:r w:rsidRPr="00E17121">
        <w:rPr>
          <w:rFonts w:ascii="Verdana" w:hAnsi="Verdana"/>
          <w:sz w:val="22"/>
          <w:szCs w:val="22"/>
        </w:rPr>
        <w:t xml:space="preserve"> OHID has since </w:t>
      </w:r>
      <w:r w:rsidRPr="00E17121" w:rsidR="001D0C99">
        <w:rPr>
          <w:rFonts w:ascii="Verdana" w:hAnsi="Verdana"/>
          <w:sz w:val="22"/>
          <w:szCs w:val="22"/>
        </w:rPr>
        <w:t>stat</w:t>
      </w:r>
      <w:r w:rsidRPr="00E17121">
        <w:rPr>
          <w:rFonts w:ascii="Verdana" w:hAnsi="Verdana"/>
          <w:sz w:val="22"/>
          <w:szCs w:val="22"/>
        </w:rPr>
        <w:t xml:space="preserve">ed that it was never </w:t>
      </w:r>
      <w:r w:rsidRPr="00E17121" w:rsidR="00697A7B">
        <w:rPr>
          <w:rFonts w:ascii="Verdana" w:hAnsi="Verdana"/>
          <w:sz w:val="22"/>
          <w:szCs w:val="22"/>
        </w:rPr>
        <w:t>its</w:t>
      </w:r>
      <w:r w:rsidRPr="00E17121">
        <w:rPr>
          <w:rFonts w:ascii="Verdana" w:hAnsi="Verdana"/>
          <w:sz w:val="22"/>
          <w:szCs w:val="22"/>
        </w:rPr>
        <w:t xml:space="preserve"> intention to suggest a causal link between problem gambling and suicide</w:t>
      </w:r>
      <w:r w:rsidRPr="00E17121" w:rsidR="006B7C53">
        <w:rPr>
          <w:rFonts w:ascii="Verdana" w:hAnsi="Verdana"/>
          <w:sz w:val="22"/>
          <w:szCs w:val="22"/>
        </w:rPr>
        <w:t xml:space="preserve"> in relation to these estimates</w:t>
      </w:r>
      <w:r w:rsidRPr="00E17121">
        <w:rPr>
          <w:rFonts w:ascii="Verdana" w:hAnsi="Verdana"/>
          <w:sz w:val="22"/>
          <w:szCs w:val="22"/>
        </w:rPr>
        <w:t xml:space="preserve">. In </w:t>
      </w:r>
      <w:r w:rsidRPr="00E17121" w:rsidR="0053138C">
        <w:rPr>
          <w:rFonts w:ascii="Verdana" w:hAnsi="Verdana"/>
          <w:sz w:val="22"/>
          <w:szCs w:val="22"/>
        </w:rPr>
        <w:t xml:space="preserve">2024 and </w:t>
      </w:r>
      <w:r w:rsidRPr="00E17121">
        <w:rPr>
          <w:rFonts w:ascii="Verdana" w:hAnsi="Verdana"/>
          <w:sz w:val="22"/>
          <w:szCs w:val="22"/>
        </w:rPr>
        <w:t xml:space="preserve">2025, the Office for Statistics Regulation wrote to the OHID to </w:t>
      </w:r>
      <w:r w:rsidRPr="00E17121" w:rsidR="0053138C">
        <w:rPr>
          <w:rFonts w:ascii="Verdana" w:hAnsi="Verdana"/>
          <w:sz w:val="22"/>
          <w:szCs w:val="22"/>
        </w:rPr>
        <w:t>request that clearer warnings about the reliability of estimates be included within its report</w:t>
      </w:r>
      <w:r w:rsidRPr="00E17121" w:rsidR="006C32AE">
        <w:rPr>
          <w:rFonts w:ascii="Verdana" w:hAnsi="Verdana"/>
          <w:sz w:val="22"/>
          <w:szCs w:val="22"/>
        </w:rPr>
        <w:t xml:space="preserve"> (</w:t>
      </w:r>
      <w:r w:rsidRPr="00E17121" w:rsidR="006C32AE">
        <w:rPr>
          <w:rFonts w:ascii="Verdana" w:hAnsi="Verdana"/>
          <w:sz w:val="22"/>
          <w:szCs w:val="22"/>
        </w:rPr>
        <w:t>Humph</w:t>
      </w:r>
      <w:r w:rsidRPr="00E17121" w:rsidR="003916F6">
        <w:rPr>
          <w:rFonts w:ascii="Verdana" w:hAnsi="Verdana"/>
          <w:sz w:val="22"/>
          <w:szCs w:val="22"/>
        </w:rPr>
        <w:t>ers</w:t>
      </w:r>
      <w:r w:rsidRPr="00E17121" w:rsidR="006C32AE">
        <w:rPr>
          <w:rFonts w:ascii="Verdana" w:hAnsi="Verdana"/>
          <w:sz w:val="22"/>
          <w:szCs w:val="22"/>
        </w:rPr>
        <w:t>on</w:t>
      </w:r>
      <w:r w:rsidRPr="00E17121" w:rsidR="003916F6">
        <w:rPr>
          <w:rFonts w:ascii="Verdana" w:hAnsi="Verdana"/>
          <w:sz w:val="22"/>
          <w:szCs w:val="22"/>
        </w:rPr>
        <w:t>, 2025)</w:t>
      </w:r>
      <w:r w:rsidRPr="00E17121" w:rsidR="0053138C">
        <w:rPr>
          <w:rFonts w:ascii="Verdana" w:hAnsi="Verdana"/>
          <w:sz w:val="22"/>
          <w:szCs w:val="22"/>
        </w:rPr>
        <w:t xml:space="preserve">. The Gambling Commission, among others, has described </w:t>
      </w:r>
      <w:r w:rsidRPr="00E17121" w:rsidR="0078181B">
        <w:rPr>
          <w:rFonts w:ascii="Verdana" w:hAnsi="Verdana"/>
          <w:sz w:val="22"/>
          <w:szCs w:val="22"/>
        </w:rPr>
        <w:t>such</w:t>
      </w:r>
      <w:r w:rsidRPr="00E17121" w:rsidR="0053138C">
        <w:rPr>
          <w:rFonts w:ascii="Verdana" w:hAnsi="Verdana"/>
          <w:sz w:val="22"/>
          <w:szCs w:val="22"/>
        </w:rPr>
        <w:t xml:space="preserve"> estimates as not being based on reliable data</w:t>
      </w:r>
      <w:r w:rsidRPr="00E17121" w:rsidR="004D2E50">
        <w:rPr>
          <w:rFonts w:ascii="Verdana" w:hAnsi="Verdana"/>
          <w:sz w:val="22"/>
          <w:szCs w:val="22"/>
        </w:rPr>
        <w:t xml:space="preserve"> (Gambling Commission, 2022)</w:t>
      </w:r>
      <w:r w:rsidRPr="00E17121" w:rsidR="00266173">
        <w:rPr>
          <w:rFonts w:ascii="Verdana" w:hAnsi="Verdana"/>
          <w:sz w:val="22"/>
          <w:szCs w:val="22"/>
        </w:rPr>
        <w:t xml:space="preserve"> and has been critical of simplistic claims</w:t>
      </w:r>
      <w:r w:rsidRPr="00E17121" w:rsidR="00883C2A">
        <w:rPr>
          <w:rFonts w:ascii="Verdana" w:hAnsi="Verdana"/>
          <w:sz w:val="22"/>
          <w:szCs w:val="22"/>
        </w:rPr>
        <w:t xml:space="preserve"> (Rhodes, 2023)</w:t>
      </w:r>
      <w:r w:rsidRPr="00E17121" w:rsidR="0053138C">
        <w:rPr>
          <w:rFonts w:ascii="Verdana" w:hAnsi="Verdana"/>
          <w:sz w:val="22"/>
          <w:szCs w:val="22"/>
        </w:rPr>
        <w:t>. While it is certainly true that people with gambling disorder are at elevated risk of death by suicide (something that is true of other mental health disorders), data from surveys in Great Britain</w:t>
      </w:r>
      <w:r w:rsidRPr="00E17121" w:rsidR="00FE1946">
        <w:rPr>
          <w:rFonts w:ascii="Verdana" w:hAnsi="Verdana"/>
          <w:sz w:val="22"/>
          <w:szCs w:val="22"/>
        </w:rPr>
        <w:t xml:space="preserve"> also</w:t>
      </w:r>
      <w:r w:rsidRPr="00E17121" w:rsidR="0053138C">
        <w:rPr>
          <w:rFonts w:ascii="Verdana" w:hAnsi="Verdana"/>
          <w:sz w:val="22"/>
          <w:szCs w:val="22"/>
        </w:rPr>
        <w:t xml:space="preserve"> shows that recreational gamblers are at lower risk of suicidal thoughts and attempts</w:t>
      </w:r>
      <w:r w:rsidRPr="00E17121" w:rsidR="00FE1946">
        <w:rPr>
          <w:rFonts w:ascii="Verdana" w:hAnsi="Verdana"/>
          <w:sz w:val="22"/>
          <w:szCs w:val="22"/>
        </w:rPr>
        <w:t xml:space="preserve"> than non-gamblers, indicating a complex relationship. </w:t>
      </w:r>
      <w:r w:rsidRPr="00E17121" w:rsidR="0053138C">
        <w:rPr>
          <w:rFonts w:ascii="Verdana" w:hAnsi="Verdana"/>
          <w:sz w:val="22"/>
          <w:szCs w:val="22"/>
        </w:rPr>
        <w:t xml:space="preserve">As </w:t>
      </w:r>
      <w:r w:rsidRPr="00E17121" w:rsidR="00FF66C1">
        <w:rPr>
          <w:rFonts w:ascii="Verdana" w:hAnsi="Verdana"/>
          <w:sz w:val="22"/>
          <w:szCs w:val="22"/>
        </w:rPr>
        <w:t>several</w:t>
      </w:r>
      <w:r w:rsidRPr="00E17121" w:rsidR="0053138C">
        <w:rPr>
          <w:rFonts w:ascii="Verdana" w:hAnsi="Verdana"/>
          <w:sz w:val="22"/>
          <w:szCs w:val="22"/>
        </w:rPr>
        <w:t xml:space="preserve"> coroner inquests have illustrated, the consequences of disordered gambling can contribute to death by suicide. </w:t>
      </w:r>
      <w:r w:rsidRPr="00E17121" w:rsidR="00B37432">
        <w:rPr>
          <w:rFonts w:ascii="Verdana" w:hAnsi="Verdana"/>
          <w:sz w:val="22"/>
          <w:szCs w:val="22"/>
        </w:rPr>
        <w:t xml:space="preserve">Suicide is a major cause of preventable </w:t>
      </w:r>
      <w:r w:rsidRPr="00E17121" w:rsidR="00B37432">
        <w:rPr>
          <w:rFonts w:ascii="Verdana" w:hAnsi="Verdana"/>
          <w:sz w:val="22"/>
          <w:szCs w:val="22"/>
        </w:rPr>
        <w:t>deaths</w:t>
      </w:r>
      <w:r w:rsidRPr="00E17121" w:rsidR="00B37432">
        <w:rPr>
          <w:rFonts w:ascii="Verdana" w:hAnsi="Verdana"/>
          <w:sz w:val="22"/>
          <w:szCs w:val="22"/>
        </w:rPr>
        <w:t xml:space="preserve"> and these cases should prompt a discussion about what can be done to address risks</w:t>
      </w:r>
      <w:r w:rsidRPr="00E17121" w:rsidR="005B6EB0">
        <w:rPr>
          <w:rFonts w:ascii="Verdana" w:hAnsi="Verdana"/>
          <w:sz w:val="22"/>
          <w:szCs w:val="22"/>
        </w:rPr>
        <w:t xml:space="preserve"> of self-harm</w:t>
      </w:r>
      <w:r w:rsidRPr="00E17121" w:rsidR="00B37432">
        <w:rPr>
          <w:rFonts w:ascii="Verdana" w:hAnsi="Verdana"/>
          <w:sz w:val="22"/>
          <w:szCs w:val="22"/>
        </w:rPr>
        <w:t xml:space="preserve"> associated with disordered gambling. The publication of speculative or misleading statistics </w:t>
      </w:r>
      <w:r w:rsidRPr="00E17121" w:rsidR="00697A7B">
        <w:rPr>
          <w:rFonts w:ascii="Verdana" w:hAnsi="Verdana"/>
          <w:sz w:val="22"/>
          <w:szCs w:val="22"/>
        </w:rPr>
        <w:t xml:space="preserve">is unlikely, however, to give rise to effective solutions. </w:t>
      </w:r>
    </w:p>
    <w:p w:rsidR="0065621B" w:rsidRPr="00E17121" w:rsidP="00E17121">
      <w:pPr>
        <w:rPr>
          <w:rFonts w:ascii="Verdana" w:hAnsi="Verdana"/>
          <w:sz w:val="22"/>
          <w:szCs w:val="22"/>
        </w:rPr>
      </w:pPr>
      <w:r w:rsidRPr="00E17121">
        <w:rPr>
          <w:rFonts w:ascii="Verdana" w:hAnsi="Verdana"/>
          <w:sz w:val="22"/>
          <w:szCs w:val="22"/>
        </w:rPr>
        <w:br w:type="page"/>
      </w:r>
    </w:p>
    <w:p w:rsidR="0065621B" w:rsidRPr="00E17121" w:rsidP="00E17121">
      <w:pPr>
        <w:rPr>
          <w:rFonts w:ascii="Verdana" w:hAnsi="Verdana" w:cs="Calibri"/>
          <w:b/>
          <w:bCs/>
          <w:sz w:val="22"/>
          <w:szCs w:val="22"/>
        </w:rPr>
      </w:pPr>
      <w:r w:rsidRPr="00E17121">
        <w:rPr>
          <w:rFonts w:ascii="Verdana" w:hAnsi="Verdana" w:cs="Calibri"/>
          <w:b/>
          <w:bCs/>
          <w:sz w:val="22"/>
          <w:szCs w:val="22"/>
        </w:rPr>
        <w:t>1. True or False? 60% of the gambling industry’s profits come from the 5% of customers who are problem gamblers (or at risk of becoming so)</w:t>
      </w:r>
    </w:p>
    <w:p w:rsidR="0065621B" w:rsidRPr="00E17121" w:rsidP="00E17121">
      <w:pPr>
        <w:rPr>
          <w:rFonts w:ascii="Verdana" w:hAnsi="Verdana" w:cs="Calibri"/>
          <w:sz w:val="22"/>
          <w:szCs w:val="22"/>
        </w:rPr>
      </w:pPr>
      <w:r w:rsidRPr="00E17121">
        <w:rPr>
          <w:rFonts w:ascii="Verdana" w:hAnsi="Verdana" w:cs="Calibri"/>
          <w:b/>
          <w:bCs/>
          <w:sz w:val="22"/>
          <w:szCs w:val="22"/>
        </w:rPr>
        <w:t>False.</w:t>
      </w:r>
      <w:r w:rsidRPr="00E17121">
        <w:rPr>
          <w:rFonts w:ascii="Verdana" w:hAnsi="Verdana" w:cs="Calibri"/>
          <w:sz w:val="22"/>
          <w:szCs w:val="22"/>
        </w:rPr>
        <w:t xml:space="preserve"> This claim was first made by the think tank, </w:t>
      </w:r>
      <w:r w:rsidRPr="00E17121">
        <w:rPr>
          <w:rFonts w:ascii="Verdana" w:hAnsi="Verdana" w:cs="Calibri"/>
          <w:sz w:val="22"/>
          <w:szCs w:val="22"/>
        </w:rPr>
        <w:t>Respublica</w:t>
      </w:r>
      <w:r w:rsidRPr="00E17121">
        <w:rPr>
          <w:rFonts w:ascii="Verdana" w:hAnsi="Verdana" w:cs="Calibri"/>
          <w:sz w:val="22"/>
          <w:szCs w:val="22"/>
        </w:rPr>
        <w:t xml:space="preserve"> in its report, </w:t>
      </w:r>
      <w:r w:rsidRPr="00E17121">
        <w:rPr>
          <w:rFonts w:ascii="Verdana" w:hAnsi="Verdana" w:cs="Calibri"/>
          <w:i/>
          <w:iCs/>
          <w:sz w:val="22"/>
          <w:szCs w:val="22"/>
        </w:rPr>
        <w:t>‘Online Gambling: Addicted to Addiction’</w:t>
      </w:r>
      <w:r w:rsidRPr="00E17121">
        <w:rPr>
          <w:rFonts w:ascii="Verdana" w:hAnsi="Verdana" w:cs="Calibri"/>
          <w:sz w:val="22"/>
          <w:szCs w:val="22"/>
        </w:rPr>
        <w:t xml:space="preserve"> (Cowen &amp; Blond, 2018) and draws on an interpretation by Landman Economics of PwC’s 2017 report, ‘Remote Gambling Phase II’. Using a database of 10,635 online gamblers, PwC recorded average number of betting days per year, average number of bets per day and average bet sizes according to their PGSI classification. Landman used these results to estimate the proportion of ‘industry profits’ generated in the study sample from ‘non-problem gamblers’, ‘low risk gamblers’, ‘moderate risk gamblers’ and ‘problem </w:t>
      </w:r>
      <w:r w:rsidRPr="00E17121">
        <w:rPr>
          <w:rFonts w:ascii="Verdana" w:hAnsi="Verdana" w:cs="Calibri"/>
          <w:sz w:val="22"/>
          <w:szCs w:val="22"/>
        </w:rPr>
        <w:t>gamblers’</w:t>
      </w:r>
      <w:r w:rsidRPr="00E17121">
        <w:rPr>
          <w:rFonts w:ascii="Verdana" w:hAnsi="Verdana" w:cs="Calibri"/>
          <w:sz w:val="22"/>
          <w:szCs w:val="22"/>
        </w:rPr>
        <w:t xml:space="preserve">. </w:t>
      </w:r>
      <w:r w:rsidRPr="00E17121">
        <w:rPr>
          <w:rFonts w:ascii="Verdana" w:hAnsi="Verdana" w:cs="Calibri"/>
          <w:sz w:val="22"/>
          <w:szCs w:val="22"/>
        </w:rPr>
        <w:t>Respublica</w:t>
      </w:r>
      <w:r w:rsidRPr="00E17121">
        <w:rPr>
          <w:rFonts w:ascii="Verdana" w:hAnsi="Verdana" w:cs="Calibri"/>
          <w:sz w:val="22"/>
          <w:szCs w:val="22"/>
        </w:rPr>
        <w:t xml:space="preserve"> then juxtaposed this distribution with the prevalence of ‘problem’ and ‘at risk’ gambling in the total population. There are </w:t>
      </w:r>
      <w:r w:rsidRPr="00E17121">
        <w:rPr>
          <w:rFonts w:ascii="Verdana" w:hAnsi="Verdana" w:cs="Calibri"/>
          <w:sz w:val="22"/>
          <w:szCs w:val="22"/>
        </w:rPr>
        <w:t>a number of</w:t>
      </w:r>
      <w:r w:rsidRPr="00E17121">
        <w:rPr>
          <w:rFonts w:ascii="Verdana" w:hAnsi="Verdana" w:cs="Calibri"/>
          <w:sz w:val="22"/>
          <w:szCs w:val="22"/>
        </w:rPr>
        <w:t xml:space="preserve"> obvious problems with this exercise and how it has been used by the House of Lords committee, the GLP and others:</w:t>
      </w:r>
    </w:p>
    <w:p w:rsidR="0065621B" w:rsidRPr="00E17121" w:rsidP="00E17121">
      <w:pPr>
        <w:pStyle w:val="ListParagraph"/>
        <w:numPr>
          <w:ilvl w:val="0"/>
          <w:numId w:val="4"/>
        </w:numPr>
        <w:rPr>
          <w:rFonts w:ascii="Verdana" w:hAnsi="Verdana" w:cs="Calibri"/>
          <w:sz w:val="22"/>
          <w:szCs w:val="22"/>
        </w:rPr>
      </w:pPr>
      <w:r w:rsidRPr="00E17121">
        <w:rPr>
          <w:rFonts w:ascii="Verdana" w:hAnsi="Verdana" w:cs="Calibri"/>
          <w:sz w:val="22"/>
          <w:szCs w:val="22"/>
        </w:rPr>
        <w:t>The PwC data refers to remote gambling only and not the entire gambling industry;</w:t>
      </w:r>
    </w:p>
    <w:p w:rsidR="0065621B" w:rsidRPr="00E17121" w:rsidP="00E17121">
      <w:pPr>
        <w:pStyle w:val="ListParagraph"/>
        <w:numPr>
          <w:ilvl w:val="0"/>
          <w:numId w:val="4"/>
        </w:numPr>
        <w:rPr>
          <w:rFonts w:ascii="Verdana" w:hAnsi="Verdana" w:cs="Calibri"/>
          <w:sz w:val="22"/>
          <w:szCs w:val="22"/>
        </w:rPr>
      </w:pPr>
      <w:r w:rsidRPr="00E17121">
        <w:rPr>
          <w:rFonts w:ascii="Verdana" w:hAnsi="Verdana" w:cs="Calibri"/>
          <w:sz w:val="22"/>
          <w:szCs w:val="22"/>
        </w:rPr>
        <w:t xml:space="preserve">It involves analysis of daily staking levels rather than revenue or profit. As the Patterns of Play study (Forrest &amp; McHale, 2022) showed, money staked is a poor guide to actual spending (e.g. </w:t>
      </w:r>
      <w:r w:rsidRPr="00E17121">
        <w:rPr>
          <w:rFonts w:ascii="Verdana" w:hAnsi="Verdana" w:cs="Calibri"/>
          <w:sz w:val="22"/>
          <w:szCs w:val="22"/>
        </w:rPr>
        <w:t>due to the effect</w:t>
      </w:r>
      <w:r w:rsidRPr="00E17121">
        <w:rPr>
          <w:rFonts w:ascii="Verdana" w:hAnsi="Verdana" w:cs="Calibri"/>
          <w:sz w:val="22"/>
          <w:szCs w:val="22"/>
        </w:rPr>
        <w:t xml:space="preserve"> of ‘recycling winnings’), particularly when the type of gambling (betting or gaming) and its margins are unknown. </w:t>
      </w:r>
    </w:p>
    <w:p w:rsidR="0065621B" w:rsidRPr="00E17121" w:rsidP="00E17121">
      <w:pPr>
        <w:pStyle w:val="ListParagraph"/>
        <w:numPr>
          <w:ilvl w:val="0"/>
          <w:numId w:val="4"/>
        </w:numPr>
        <w:rPr>
          <w:rFonts w:ascii="Verdana" w:hAnsi="Verdana" w:cs="Calibri"/>
          <w:sz w:val="22"/>
          <w:szCs w:val="22"/>
        </w:rPr>
      </w:pPr>
      <w:r w:rsidRPr="00E17121">
        <w:rPr>
          <w:rFonts w:ascii="Verdana" w:hAnsi="Verdana" w:cs="Calibri"/>
          <w:sz w:val="22"/>
          <w:szCs w:val="22"/>
        </w:rPr>
        <w:t>The PGSI ‘at risk’ classifications do not denote risk of becoming a problem gambler. Instead, they indicate low and moderate risk of ‘adverse consequences’ from gambling.</w:t>
      </w:r>
    </w:p>
    <w:p w:rsidR="0065621B" w:rsidRPr="00E17121" w:rsidP="00E17121">
      <w:pPr>
        <w:rPr>
          <w:rFonts w:ascii="Verdana" w:hAnsi="Verdana" w:cs="Calibri"/>
          <w:sz w:val="22"/>
          <w:szCs w:val="22"/>
        </w:rPr>
      </w:pPr>
      <w:r w:rsidRPr="00E17121">
        <w:rPr>
          <w:rFonts w:ascii="Verdana" w:hAnsi="Verdana" w:cs="Calibri"/>
          <w:sz w:val="22"/>
          <w:szCs w:val="22"/>
        </w:rPr>
        <w:t xml:space="preserve">These however are relatively minor issues when viewed alongside two more fundamental problems. The first of these is that the PwC researchers deliberately over-recruited ‘problem gamblers’ in their study because that was the group whose behaviours they wished to model. Their report contains repeated references to this </w:t>
      </w:r>
      <w:r w:rsidRPr="00E17121">
        <w:rPr>
          <w:rFonts w:ascii="Verdana" w:hAnsi="Verdana" w:cs="Calibri"/>
          <w:i/>
          <w:iCs/>
          <w:sz w:val="22"/>
          <w:szCs w:val="22"/>
        </w:rPr>
        <w:t>“intentional bias”.</w:t>
      </w:r>
      <w:r w:rsidRPr="00E17121">
        <w:rPr>
          <w:rFonts w:ascii="Verdana" w:hAnsi="Verdana" w:cs="Calibri"/>
          <w:sz w:val="22"/>
          <w:szCs w:val="22"/>
        </w:rPr>
        <w:t xml:space="preserve"> On page 17 for example, the authors observe that </w:t>
      </w:r>
      <w:r w:rsidRPr="00E17121">
        <w:rPr>
          <w:rFonts w:ascii="Verdana" w:hAnsi="Verdana" w:cs="Calibri"/>
          <w:i/>
          <w:iCs/>
          <w:sz w:val="22"/>
          <w:szCs w:val="22"/>
        </w:rPr>
        <w:t xml:space="preserve">“the sample was explicitly skewed to avoid very infrequent bettors and increase the proportion of problem gamblers”. </w:t>
      </w:r>
      <w:r w:rsidRPr="00E17121">
        <w:rPr>
          <w:rFonts w:ascii="Verdana" w:hAnsi="Verdana" w:cs="Calibri"/>
          <w:sz w:val="22"/>
          <w:szCs w:val="22"/>
        </w:rPr>
        <w:t>Respublica’s</w:t>
      </w:r>
      <w:r w:rsidRPr="00E17121">
        <w:rPr>
          <w:rFonts w:ascii="Verdana" w:hAnsi="Verdana" w:cs="Calibri"/>
          <w:sz w:val="22"/>
          <w:szCs w:val="22"/>
        </w:rPr>
        <w:t xml:space="preserve"> failure to mention this suggests a worrying inattention to detail or worse.</w:t>
      </w:r>
    </w:p>
    <w:p w:rsidR="0065621B" w:rsidRPr="00E17121" w:rsidP="00E17121">
      <w:pPr>
        <w:rPr>
          <w:rFonts w:ascii="Verdana" w:hAnsi="Verdana" w:cs="Calibri"/>
          <w:sz w:val="22"/>
          <w:szCs w:val="22"/>
        </w:rPr>
      </w:pPr>
      <w:r w:rsidRPr="00E17121">
        <w:rPr>
          <w:rFonts w:ascii="Verdana" w:hAnsi="Verdana" w:cs="Calibri"/>
          <w:sz w:val="22"/>
          <w:szCs w:val="22"/>
        </w:rPr>
        <w:t>As chart 1 (below) illustrates, a majority (63%) of the accounts analysed belonged to people with a PGSI score of 1 or more (compared with 26% of online gamblers in the 2015 Health Surveys; and 18% in the most recent Health Survey for England).</w:t>
      </w:r>
    </w:p>
    <w:p w:rsidR="0065621B" w:rsidRPr="00E17121" w:rsidP="00E17121">
      <w:pPr>
        <w:rPr>
          <w:rFonts w:ascii="Verdana" w:hAnsi="Verdana"/>
          <w:sz w:val="22"/>
          <w:szCs w:val="22"/>
        </w:rPr>
      </w:pPr>
      <w:r w:rsidRPr="00E17121">
        <w:rPr>
          <w:rFonts w:ascii="Verdana" w:hAnsi="Verdana"/>
          <w:noProof/>
          <w:sz w:val="22"/>
          <w:szCs w:val="22"/>
        </w:rPr>
        <w:drawing>
          <wp:inline distT="0" distB="0" distL="0" distR="0">
            <wp:extent cx="5486400" cy="3200400"/>
            <wp:effectExtent l="0" t="0" r="0" b="0"/>
            <wp:docPr id="20949560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5621B" w:rsidRPr="00E17121" w:rsidP="00E17121">
      <w:pPr>
        <w:rPr>
          <w:rFonts w:ascii="Verdana" w:hAnsi="Verdana" w:cs="Calibri"/>
          <w:sz w:val="22"/>
          <w:szCs w:val="22"/>
        </w:rPr>
      </w:pPr>
      <w:r w:rsidRPr="00E17121">
        <w:rPr>
          <w:rFonts w:ascii="Verdana" w:hAnsi="Verdana" w:cs="Calibri"/>
          <w:sz w:val="22"/>
          <w:szCs w:val="22"/>
        </w:rPr>
        <w:t xml:space="preserve">Landman rather speculatively (given sample skew) applied the staking behaviour of customers in the PwC study (number of betting days x number of daily bets x average bet size) to PGSI prevalence estimates from the 2015 Health Surveys. This exercise suggests that around 55% of online stakes in 2015 may have been attributable to the 26% of online gamblers with a PGSI score of one or more (i.e. ‘at risk’ or ‘problem’ gamblers). The reason it is 55% and not 60% is because Landman (or </w:t>
      </w:r>
      <w:r w:rsidRPr="00E17121">
        <w:rPr>
          <w:rFonts w:ascii="Verdana" w:hAnsi="Verdana" w:cs="Calibri"/>
          <w:sz w:val="22"/>
          <w:szCs w:val="22"/>
        </w:rPr>
        <w:t>Respublica</w:t>
      </w:r>
      <w:r w:rsidRPr="00E17121">
        <w:rPr>
          <w:rFonts w:ascii="Verdana" w:hAnsi="Verdana" w:cs="Calibri"/>
          <w:sz w:val="22"/>
          <w:szCs w:val="22"/>
        </w:rPr>
        <w:t>) used an inflated figure for PGSI ‘problem gambling’ among online gamblers (5.1% rather than 3.3%). Updating the exercise for the most recent Health Survey figures produces a ratio of 38% of stakes from the 18% of online gamblers with a PGSI score above zero. While these figures indicate higher than average staking by ‘problem’ and ‘at risk’ gamblers, it is a markedly different picture to the claims of the GLP – and cannot be used to infer spending or ‘profit’.</w:t>
      </w:r>
    </w:p>
    <w:p w:rsidR="0065621B" w:rsidRPr="00E17121" w:rsidP="00E17121">
      <w:pPr>
        <w:rPr>
          <w:rFonts w:ascii="Verdana" w:hAnsi="Verdana" w:cs="Calibri"/>
          <w:sz w:val="22"/>
          <w:szCs w:val="22"/>
        </w:rPr>
      </w:pPr>
      <w:r w:rsidRPr="00E17121">
        <w:rPr>
          <w:rFonts w:ascii="Verdana" w:hAnsi="Verdana" w:cs="Calibri"/>
          <w:sz w:val="22"/>
          <w:szCs w:val="22"/>
        </w:rPr>
        <w:t xml:space="preserve">To get from ‘55% from 26%’ to ‘60% from 5%’ required a remarkably simple sleight of hand. </w:t>
      </w:r>
      <w:r w:rsidRPr="00E17121">
        <w:rPr>
          <w:rFonts w:ascii="Verdana" w:hAnsi="Verdana" w:cs="Calibri"/>
          <w:sz w:val="22"/>
          <w:szCs w:val="22"/>
        </w:rPr>
        <w:t>Respublica</w:t>
      </w:r>
      <w:r w:rsidRPr="00E17121">
        <w:rPr>
          <w:rFonts w:ascii="Verdana" w:hAnsi="Verdana" w:cs="Calibri"/>
          <w:sz w:val="22"/>
          <w:szCs w:val="22"/>
        </w:rPr>
        <w:t xml:space="preserve"> simply swapped the estimate of PGSI ‘at risk’ and ‘problem’ gamblers in the 2015 Health Surveys sample of online gamblers for the estimate within the entire population – </w:t>
      </w:r>
      <w:r w:rsidRPr="00E17121">
        <w:rPr>
          <w:rFonts w:ascii="Verdana" w:hAnsi="Verdana" w:cs="Calibri"/>
          <w:i/>
          <w:iCs/>
          <w:sz w:val="22"/>
          <w:szCs w:val="22"/>
        </w:rPr>
        <w:t>including the 37% of people who had not gambled at all</w:t>
      </w:r>
      <w:r w:rsidRPr="00E17121">
        <w:rPr>
          <w:rFonts w:ascii="Verdana" w:hAnsi="Verdana" w:cs="Calibri"/>
          <w:sz w:val="22"/>
          <w:szCs w:val="22"/>
        </w:rPr>
        <w:t xml:space="preserve"> – a patent absurdity.</w:t>
      </w:r>
    </w:p>
    <w:p w:rsidR="002D1DBB" w:rsidRPr="00E17121" w:rsidP="00E17121">
      <w:pPr>
        <w:rPr>
          <w:rFonts w:ascii="Verdana" w:hAnsi="Verdana" w:cs="Calibri"/>
          <w:sz w:val="22"/>
          <w:szCs w:val="22"/>
        </w:rPr>
      </w:pPr>
      <w:r w:rsidRPr="00E17121">
        <w:rPr>
          <w:rFonts w:ascii="Verdana" w:hAnsi="Verdana" w:cs="Calibri"/>
          <w:sz w:val="22"/>
          <w:szCs w:val="22"/>
        </w:rPr>
        <w:br w:type="page"/>
      </w:r>
    </w:p>
    <w:p w:rsidR="002D1DBB" w:rsidRPr="00E17121" w:rsidP="00E17121">
      <w:pPr>
        <w:rPr>
          <w:rFonts w:ascii="Verdana" w:hAnsi="Verdana" w:cs="Calibri"/>
          <w:b/>
          <w:bCs/>
          <w:sz w:val="22"/>
          <w:szCs w:val="22"/>
        </w:rPr>
      </w:pPr>
      <w:r w:rsidRPr="00E17121">
        <w:rPr>
          <w:rFonts w:ascii="Verdana" w:hAnsi="Verdana" w:cs="Calibri"/>
          <w:b/>
          <w:bCs/>
          <w:sz w:val="22"/>
          <w:szCs w:val="22"/>
        </w:rPr>
        <w:t>References</w:t>
      </w:r>
    </w:p>
    <w:p w:rsidR="0065621B" w:rsidRPr="00E17121" w:rsidP="00E17121">
      <w:pPr>
        <w:rPr>
          <w:rFonts w:ascii="Verdana" w:hAnsi="Verdana" w:cs="Calibri"/>
          <w:sz w:val="22"/>
          <w:szCs w:val="22"/>
        </w:rPr>
      </w:pPr>
      <w:r w:rsidRPr="00E17121">
        <w:rPr>
          <w:rFonts w:ascii="Verdana" w:hAnsi="Verdana" w:cs="Calibri"/>
          <w:sz w:val="22"/>
          <w:szCs w:val="22"/>
        </w:rPr>
        <w:t xml:space="preserve">Babalola, G., Denson, S., Donaghy, S., Green, E., </w:t>
      </w:r>
      <w:r w:rsidRPr="00E17121">
        <w:rPr>
          <w:rFonts w:ascii="Verdana" w:hAnsi="Verdana" w:cs="Calibri"/>
          <w:sz w:val="22"/>
          <w:szCs w:val="22"/>
        </w:rPr>
        <w:t>Gommon</w:t>
      </w:r>
      <w:r w:rsidRPr="00E17121">
        <w:rPr>
          <w:rFonts w:ascii="Verdana" w:hAnsi="Verdana" w:cs="Calibri"/>
          <w:sz w:val="22"/>
          <w:szCs w:val="22"/>
        </w:rPr>
        <w:t>, J., Puig-Peiro, R., Regan, M., Simpson, J. &amp; Tierney, R. (2023) The economic and social cost of harms associated with gambling in England: Evidence update 2023. Office for Health Improvement and Disparities.</w:t>
      </w:r>
    </w:p>
    <w:p w:rsidR="000F7AEE" w:rsidRPr="00E17121" w:rsidP="00E17121">
      <w:pPr>
        <w:rPr>
          <w:rFonts w:ascii="Verdana" w:hAnsi="Verdana" w:cs="Calibri"/>
          <w:sz w:val="22"/>
          <w:szCs w:val="22"/>
        </w:rPr>
      </w:pPr>
      <w:r w:rsidRPr="00E17121">
        <w:rPr>
          <w:rFonts w:ascii="Verdana" w:hAnsi="Verdana" w:cs="Calibri"/>
          <w:sz w:val="22"/>
          <w:szCs w:val="22"/>
        </w:rPr>
        <w:t xml:space="preserve">Cowen, T. &amp; Blond, P. (2018) Online Gambling: Addicted to Addiction. </w:t>
      </w:r>
      <w:r w:rsidRPr="00E17121" w:rsidR="00FC21AF">
        <w:rPr>
          <w:rFonts w:ascii="Verdana" w:hAnsi="Verdana" w:cs="Calibri"/>
          <w:sz w:val="22"/>
          <w:szCs w:val="22"/>
        </w:rPr>
        <w:t>Respublica</w:t>
      </w:r>
      <w:r w:rsidRPr="00E17121" w:rsidR="00FC21AF">
        <w:rPr>
          <w:rFonts w:ascii="Verdana" w:hAnsi="Verdana" w:cs="Calibri"/>
          <w:sz w:val="22"/>
          <w:szCs w:val="22"/>
        </w:rPr>
        <w:t>.</w:t>
      </w:r>
    </w:p>
    <w:p w:rsidR="00FB6D78" w:rsidRPr="00E17121" w:rsidP="00E17121">
      <w:pPr>
        <w:rPr>
          <w:rFonts w:ascii="Verdana" w:hAnsi="Verdana" w:cs="Calibri"/>
          <w:sz w:val="22"/>
          <w:szCs w:val="22"/>
        </w:rPr>
      </w:pPr>
      <w:r w:rsidRPr="00E17121">
        <w:rPr>
          <w:rFonts w:ascii="Verdana" w:hAnsi="Verdana" w:cs="Calibri"/>
          <w:sz w:val="22"/>
          <w:szCs w:val="22"/>
        </w:rPr>
        <w:t>Forrest, D. &amp; McHale, I. (2022)</w:t>
      </w:r>
      <w:r w:rsidRPr="00E17121" w:rsidR="00A60D4F">
        <w:rPr>
          <w:rFonts w:ascii="Verdana" w:hAnsi="Verdana" w:cs="Calibri"/>
          <w:sz w:val="22"/>
          <w:szCs w:val="22"/>
        </w:rPr>
        <w:t xml:space="preserve"> Patterns of Play. Technical report 2: </w:t>
      </w:r>
      <w:r w:rsidRPr="00E17121" w:rsidR="00004490">
        <w:rPr>
          <w:rFonts w:ascii="Verdana" w:hAnsi="Verdana" w:cs="Calibri"/>
          <w:sz w:val="22"/>
          <w:szCs w:val="22"/>
        </w:rPr>
        <w:t>Survey Data File.</w:t>
      </w:r>
    </w:p>
    <w:p w:rsidR="00680407" w:rsidRPr="00E17121" w:rsidP="00E17121">
      <w:pPr>
        <w:rPr>
          <w:rFonts w:ascii="Verdana" w:hAnsi="Verdana" w:cs="Calibri"/>
          <w:sz w:val="22"/>
          <w:szCs w:val="22"/>
        </w:rPr>
      </w:pPr>
      <w:r w:rsidRPr="00E17121">
        <w:rPr>
          <w:rFonts w:ascii="Verdana" w:hAnsi="Verdana" w:cs="Calibri"/>
          <w:sz w:val="22"/>
          <w:szCs w:val="22"/>
        </w:rPr>
        <w:t>Gambling Commission (2024). Young People and Gambling Survey, 2023. [data collection]. UK Data Service. SN: 9190, DOI: http://doi.org/10.5255/UKDA-SN-9190-1</w:t>
      </w:r>
    </w:p>
    <w:p w:rsidR="003916F6" w:rsidRPr="00E17121" w:rsidP="00E17121">
      <w:pPr>
        <w:rPr>
          <w:rFonts w:ascii="Verdana" w:hAnsi="Verdana" w:cs="Calibri"/>
          <w:sz w:val="22"/>
          <w:szCs w:val="22"/>
        </w:rPr>
      </w:pPr>
      <w:r w:rsidRPr="00E17121">
        <w:rPr>
          <w:rFonts w:ascii="Verdana" w:hAnsi="Verdana" w:cs="Calibri"/>
          <w:sz w:val="22"/>
          <w:szCs w:val="22"/>
        </w:rPr>
        <w:t>Humpherson, E. (2025) Ed Humpherson to Chris Mullin: Supporting appropriate use of gambling-related harms evidence review. Office for Statistics Regulation.</w:t>
      </w:r>
    </w:p>
    <w:p w:rsidR="00210D83" w:rsidRPr="00E17121" w:rsidP="00E17121">
      <w:pPr>
        <w:rPr>
          <w:rFonts w:ascii="Verdana" w:hAnsi="Verdana" w:cs="Calibri"/>
          <w:sz w:val="22"/>
          <w:szCs w:val="22"/>
        </w:rPr>
      </w:pPr>
      <w:r w:rsidRPr="00E17121">
        <w:rPr>
          <w:rFonts w:ascii="Verdana" w:hAnsi="Verdana" w:cs="Calibri"/>
          <w:sz w:val="22"/>
          <w:szCs w:val="22"/>
        </w:rPr>
        <w:t>PwC (2017) Remote Gambling Researc</w:t>
      </w:r>
      <w:r w:rsidRPr="00E17121" w:rsidR="00B5633B">
        <w:rPr>
          <w:rFonts w:ascii="Verdana" w:hAnsi="Verdana" w:cs="Calibri"/>
          <w:sz w:val="22"/>
          <w:szCs w:val="22"/>
        </w:rPr>
        <w:t xml:space="preserve">h: Interim report on Phase II. </w:t>
      </w:r>
      <w:r w:rsidRPr="00E17121" w:rsidR="00B5633B">
        <w:rPr>
          <w:rFonts w:ascii="Verdana" w:hAnsi="Verdana" w:cs="Calibri"/>
          <w:sz w:val="22"/>
          <w:szCs w:val="22"/>
        </w:rPr>
        <w:t>GambleAware</w:t>
      </w:r>
      <w:r w:rsidRPr="00E17121" w:rsidR="00B5633B">
        <w:rPr>
          <w:rFonts w:ascii="Verdana" w:hAnsi="Verdana" w:cs="Calibri"/>
          <w:sz w:val="22"/>
          <w:szCs w:val="22"/>
        </w:rPr>
        <w:t>.</w:t>
      </w:r>
    </w:p>
    <w:p w:rsidR="00C71057" w:rsidRPr="00E17121" w:rsidP="00E17121">
      <w:pPr>
        <w:rPr>
          <w:rFonts w:ascii="Verdana" w:hAnsi="Verdana" w:cs="Calibri"/>
          <w:sz w:val="22"/>
          <w:szCs w:val="22"/>
        </w:rPr>
      </w:pPr>
      <w:r w:rsidRPr="00E17121">
        <w:rPr>
          <w:rFonts w:ascii="Verdana" w:hAnsi="Verdana" w:cs="Calibri"/>
          <w:sz w:val="22"/>
          <w:szCs w:val="22"/>
        </w:rPr>
        <w:t xml:space="preserve">Rhodes, A. (2023) </w:t>
      </w:r>
      <w:r w:rsidRPr="00E17121" w:rsidR="009F6B0F">
        <w:rPr>
          <w:rFonts w:ascii="Verdana" w:hAnsi="Verdana" w:cs="Calibri"/>
          <w:sz w:val="22"/>
          <w:szCs w:val="22"/>
        </w:rPr>
        <w:t>Letter to Culture, Media and Sport Select Committee, 29</w:t>
      </w:r>
      <w:r w:rsidRPr="00E17121" w:rsidR="009F6B0F">
        <w:rPr>
          <w:rFonts w:ascii="Verdana" w:hAnsi="Verdana" w:cs="Calibri"/>
          <w:sz w:val="22"/>
          <w:szCs w:val="22"/>
          <w:vertAlign w:val="superscript"/>
        </w:rPr>
        <w:t>th</w:t>
      </w:r>
      <w:r w:rsidRPr="00E17121" w:rsidR="009F6B0F">
        <w:rPr>
          <w:rFonts w:ascii="Verdana" w:hAnsi="Verdana" w:cs="Calibri"/>
          <w:sz w:val="22"/>
          <w:szCs w:val="22"/>
        </w:rPr>
        <w:t xml:space="preserve"> August 2023. Gambling Commission.</w:t>
      </w:r>
    </w:p>
    <w:p w:rsidR="00E17121" w:rsidRPr="00E17121" w:rsidP="00E17121">
      <w:pPr>
        <w:rPr>
          <w:rFonts w:ascii="Verdana" w:hAnsi="Verdana" w:cs="Calibri"/>
          <w:sz w:val="22"/>
          <w:szCs w:val="22"/>
        </w:rPr>
      </w:pPr>
    </w:p>
    <w:p w:rsidR="00E17121" w:rsidRPr="00E17121" w:rsidP="00E17121">
      <w:pPr>
        <w:rPr>
          <w:rFonts w:ascii="Verdana" w:hAnsi="Verdana"/>
          <w:i/>
          <w:iCs/>
          <w:sz w:val="22"/>
          <w:szCs w:val="22"/>
        </w:rPr>
      </w:pPr>
      <w:r w:rsidRPr="00E17121">
        <w:rPr>
          <w:rFonts w:ascii="Verdana" w:hAnsi="Verdana" w:cs="Calibri"/>
          <w:i/>
          <w:iCs/>
          <w:sz w:val="22"/>
          <w:szCs w:val="22"/>
        </w:rP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8F5F8D"/>
    <w:multiLevelType w:val="hybridMultilevel"/>
    <w:tmpl w:val="952A0AF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9B4ED0"/>
    <w:multiLevelType w:val="hybridMultilevel"/>
    <w:tmpl w:val="BEB83404"/>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C107DD5"/>
    <w:multiLevelType w:val="hybridMultilevel"/>
    <w:tmpl w:val="4C5E3A7E"/>
    <w:lvl w:ilvl="0">
      <w:start w:val="1"/>
      <w:numFmt w:val="low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6C4D2429"/>
    <w:multiLevelType w:val="hybridMultilevel"/>
    <w:tmpl w:val="85941B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877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7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7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7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7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7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7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7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7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7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7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7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7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7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7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7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7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776"/>
    <w:rPr>
      <w:rFonts w:eastAsiaTheme="majorEastAsia" w:cstheme="majorBidi"/>
      <w:color w:val="272727" w:themeColor="text1" w:themeTint="D8"/>
    </w:rPr>
  </w:style>
  <w:style w:type="paragraph" w:styleId="Title">
    <w:name w:val="Title"/>
    <w:basedOn w:val="Normal"/>
    <w:next w:val="Normal"/>
    <w:link w:val="TitleChar"/>
    <w:uiPriority w:val="10"/>
    <w:qFormat/>
    <w:rsid w:val="000877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7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7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7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776"/>
    <w:pPr>
      <w:spacing w:before="160"/>
      <w:jc w:val="center"/>
    </w:pPr>
    <w:rPr>
      <w:i/>
      <w:iCs/>
      <w:color w:val="404040" w:themeColor="text1" w:themeTint="BF"/>
    </w:rPr>
  </w:style>
  <w:style w:type="character" w:customStyle="1" w:styleId="QuoteChar">
    <w:name w:val="Quote Char"/>
    <w:basedOn w:val="DefaultParagraphFont"/>
    <w:link w:val="Quote"/>
    <w:uiPriority w:val="29"/>
    <w:rsid w:val="00087776"/>
    <w:rPr>
      <w:i/>
      <w:iCs/>
      <w:color w:val="404040" w:themeColor="text1" w:themeTint="BF"/>
    </w:rPr>
  </w:style>
  <w:style w:type="paragraph" w:styleId="ListParagraph">
    <w:name w:val="List Paragraph"/>
    <w:basedOn w:val="Normal"/>
    <w:uiPriority w:val="34"/>
    <w:qFormat/>
    <w:rsid w:val="00087776"/>
    <w:pPr>
      <w:ind w:left="720"/>
      <w:contextualSpacing/>
    </w:pPr>
  </w:style>
  <w:style w:type="character" w:styleId="IntenseEmphasis">
    <w:name w:val="Intense Emphasis"/>
    <w:basedOn w:val="DefaultParagraphFont"/>
    <w:uiPriority w:val="21"/>
    <w:qFormat/>
    <w:rsid w:val="00087776"/>
    <w:rPr>
      <w:i/>
      <w:iCs/>
      <w:color w:val="0F4761" w:themeColor="accent1" w:themeShade="BF"/>
    </w:rPr>
  </w:style>
  <w:style w:type="paragraph" w:styleId="IntenseQuote">
    <w:name w:val="Intense Quote"/>
    <w:basedOn w:val="Normal"/>
    <w:next w:val="Normal"/>
    <w:link w:val="IntenseQuoteChar"/>
    <w:uiPriority w:val="30"/>
    <w:qFormat/>
    <w:rsid w:val="000877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776"/>
    <w:rPr>
      <w:i/>
      <w:iCs/>
      <w:color w:val="0F4761" w:themeColor="accent1" w:themeShade="BF"/>
    </w:rPr>
  </w:style>
  <w:style w:type="character" w:styleId="IntenseReference">
    <w:name w:val="Intense Reference"/>
    <w:basedOn w:val="DefaultParagraphFont"/>
    <w:uiPriority w:val="32"/>
    <w:qFormat/>
    <w:rsid w:val="00087776"/>
    <w:rPr>
      <w:b/>
      <w:bCs/>
      <w:smallCaps/>
      <w:color w:val="0F4761" w:themeColor="accent1" w:themeShade="BF"/>
      <w:spacing w:val="5"/>
    </w:rPr>
  </w:style>
  <w:style w:type="paragraph" w:styleId="Header">
    <w:name w:val="header"/>
    <w:basedOn w:val="Normal"/>
    <w:link w:val="HeaderChar"/>
    <w:uiPriority w:val="99"/>
    <w:unhideWhenUsed/>
    <w:rsid w:val="009E5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67C"/>
  </w:style>
  <w:style w:type="paragraph" w:styleId="Footer">
    <w:name w:val="footer"/>
    <w:basedOn w:val="Normal"/>
    <w:link w:val="FooterChar"/>
    <w:uiPriority w:val="99"/>
    <w:unhideWhenUsed/>
    <w:rsid w:val="009E5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hart" Target="charts/chart1.xml" /><Relationship Id="rId5" Type="http://schemas.openxmlformats.org/officeDocument/2006/relationships/chart" Target="charts/chart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charts/_rels/chart1.xml.rels>&#65279;<?xml version="1.0" encoding="utf-8" standalone="yes"?><Relationships xmlns="http://schemas.openxmlformats.org/package/2006/relationships"><Relationship Id="rId1" Type="http://schemas.openxmlformats.org/officeDocument/2006/relationships/oleObject" Target="https://d.docs.live.net/d9edf98eebb8713a/Documents/DWresearch/HoL-prep-June2026.xlsx" TargetMode="External" /></Relationships>
</file>

<file path=word/charts/_rels/chart2.xml.rels>&#65279;<?xml version="1.0" encoding="utf-8" standalone="yes"?><Relationships xmlns="http://schemas.openxmlformats.org/package/2006/relationships"><Relationship Id="rId1" Type="http://schemas.openxmlformats.org/officeDocument/2006/relationships/package" Target="../embeddings/Microsoft_Office_Excel_Worksheet1.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80"/>
              <a:t>Gambling participation rates for DSM-IV-MR-J 'problem gamblers' (YPGS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2060"/>
            </a:solidFill>
            <a:ln>
              <a:solidFill>
                <a:srgbClr val="002060"/>
              </a:solidFill>
            </a:ln>
            <a:effectLst/>
          </c:spPr>
          <c:invertIfNegative val="0"/>
          <c:cat>
            <c:strRef>
              <c:f>'YPGS2023_PG (2)'!$W$32:$W$44</c:f>
              <c:strCache>
                <c:ptCount val="13"/>
                <c:pt idx="0">
                  <c:v>Amusements</c:v>
                </c:pt>
                <c:pt idx="1">
                  <c:v>Private bet</c:v>
                </c:pt>
                <c:pt idx="2">
                  <c:v>Cards</c:v>
                </c:pt>
                <c:pt idx="3">
                  <c:v>Any lottery</c:v>
                </c:pt>
                <c:pt idx="4">
                  <c:v>Fruit machines</c:v>
                </c:pt>
                <c:pt idx="5">
                  <c:v>Bingo at holiday</c:v>
                </c:pt>
                <c:pt idx="6">
                  <c:v>Machines in LBOS</c:v>
                </c:pt>
                <c:pt idx="7">
                  <c:v>Online bet</c:v>
                </c:pt>
                <c:pt idx="8">
                  <c:v>Casino</c:v>
                </c:pt>
                <c:pt idx="9">
                  <c:v>Bet at LBO</c:v>
                </c:pt>
                <c:pt idx="10">
                  <c:v>Online bingo</c:v>
                </c:pt>
                <c:pt idx="11">
                  <c:v>Online casino</c:v>
                </c:pt>
                <c:pt idx="12">
                  <c:v>Bingo at bingo</c:v>
                </c:pt>
              </c:strCache>
            </c:strRef>
          </c:cat>
          <c:val>
            <c:numRef>
              <c:f>'YPGS2023_PG (2)'!$Y$32:$Y$44</c:f>
              <c:numCache>
                <c:formatCode>0.0%</c:formatCode>
                <c:ptCount val="13"/>
                <c:pt idx="0">
                  <c:v>0.64</c:v>
                </c:pt>
                <c:pt idx="1">
                  <c:v>0.56000000000000005</c:v>
                </c:pt>
                <c:pt idx="2">
                  <c:v>0.4</c:v>
                </c:pt>
                <c:pt idx="3">
                  <c:v>0.4</c:v>
                </c:pt>
                <c:pt idx="4">
                  <c:v>0.36</c:v>
                </c:pt>
                <c:pt idx="5">
                  <c:v>0.28000000000000003</c:v>
                </c:pt>
                <c:pt idx="6">
                  <c:v>0.24</c:v>
                </c:pt>
                <c:pt idx="7">
                  <c:v>0.24</c:v>
                </c:pt>
                <c:pt idx="8">
                  <c:v>0.24</c:v>
                </c:pt>
                <c:pt idx="9">
                  <c:v>0.2</c:v>
                </c:pt>
                <c:pt idx="10">
                  <c:v>0.2</c:v>
                </c:pt>
                <c:pt idx="11">
                  <c:v>0.2</c:v>
                </c:pt>
                <c:pt idx="12">
                  <c:v>0.12</c:v>
                </c:pt>
              </c:numCache>
            </c:numRef>
          </c:val>
          <c:extLst>
            <c:ext xmlns:c16="http://schemas.microsoft.com/office/drawing/2014/chart" uri="{C3380CC4-5D6E-409C-BE32-E72D297353CC}">
              <c16:uniqueId val="{00000000-BB9E-4D19-B3D8-C6585FC84CEF}"/>
            </c:ext>
          </c:extLst>
        </c:ser>
        <c:dLbls>
          <c:showLegendKey val="0"/>
          <c:showVal val="0"/>
          <c:showCatName val="0"/>
          <c:showSerName val="0"/>
          <c:showPercent val="0"/>
          <c:showBubbleSize val="0"/>
        </c:dLbls>
        <c:gapWidth val="219"/>
        <c:overlap val="-27"/>
        <c:axId val="1323861663"/>
        <c:axId val="1323862623"/>
      </c:barChart>
      <c:catAx>
        <c:axId val="1323861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3862623"/>
        <c:crosses val="autoZero"/>
        <c:auto val="1"/>
        <c:lblAlgn val="ctr"/>
        <c:lblOffset val="100"/>
        <c:noMultiLvlLbl val="0"/>
      </c:catAx>
      <c:valAx>
        <c:axId val="13238626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38616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80">
                <a:latin typeface="Calibri" panose="020F0502020204030204" pitchFamily="34" charset="0"/>
                <a:cs typeface="Calibri" panose="020F0502020204030204" pitchFamily="34" charset="0"/>
              </a:rPr>
              <a:t>Comparison of PGSI</a:t>
            </a:r>
            <a:r>
              <a:rPr lang="en-GB" sz="1080" baseline="0">
                <a:latin typeface="Calibri" panose="020F0502020204030204" pitchFamily="34" charset="0"/>
                <a:cs typeface="Calibri" panose="020F0502020204030204" pitchFamily="34" charset="0"/>
              </a:rPr>
              <a:t> classifications - PwC study and Health Surveys</a:t>
            </a:r>
            <a:endParaRPr lang="en-GB" sz="1080">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Sheet1!$B$1</c:f>
              <c:strCache>
                <c:ptCount val="1"/>
                <c:pt idx="0">
                  <c:v>Problem</c:v>
                </c:pt>
              </c:strCache>
            </c:strRef>
          </c:tx>
          <c:spPr>
            <a:solidFill>
              <a:srgbClr val="7030A0"/>
            </a:solidFill>
            <a:ln>
              <a:noFill/>
            </a:ln>
            <a:effectLst/>
          </c:spPr>
          <c:invertIfNegative val="0"/>
          <c:cat>
            <c:strRef>
              <c:f>Sheet1!$A$2:$A$6</c:f>
              <c:strCache>
                <c:ptCount val="5"/>
                <c:pt idx="0">
                  <c:v>PwC 2017</c:v>
                </c:pt>
                <c:pt idx="1">
                  <c:v>HS 2015</c:v>
                </c:pt>
                <c:pt idx="2">
                  <c:v>HS 2016</c:v>
                </c:pt>
                <c:pt idx="3">
                  <c:v>HSE 2018</c:v>
                </c:pt>
                <c:pt idx="4">
                  <c:v>HSE 2021</c:v>
                </c:pt>
              </c:strCache>
            </c:strRef>
          </c:cat>
          <c:val>
            <c:numRef>
              <c:f>Sheet1!$B$2:$B$6</c:f>
              <c:numCache>
                <c:formatCode>General</c:formatCode>
                <c:ptCount val="5"/>
                <c:pt idx="0">
                  <c:v>6.35</c:v>
                </c:pt>
                <c:pt idx="1">
                  <c:v>3.3</c:v>
                </c:pt>
                <c:pt idx="2">
                  <c:v>2.92</c:v>
                </c:pt>
                <c:pt idx="3">
                  <c:v>3</c:v>
                </c:pt>
                <c:pt idx="4">
                  <c:v>1</c:v>
                </c:pt>
              </c:numCache>
            </c:numRef>
          </c:val>
          <c:extLst>
            <c:ext xmlns:c16="http://schemas.microsoft.com/office/drawing/2014/chart" uri="{C3380CC4-5D6E-409C-BE32-E72D297353CC}">
              <c16:uniqueId val="{00000000-DA1A-4259-AE56-486F46985420}"/>
            </c:ext>
          </c:extLst>
        </c:ser>
        <c:ser>
          <c:idx val="1"/>
          <c:order val="1"/>
          <c:tx>
            <c:strRef>
              <c:f>Sheet1!$C$1</c:f>
              <c:strCache>
                <c:ptCount val="1"/>
                <c:pt idx="0">
                  <c:v>Moderate risk</c:v>
                </c:pt>
              </c:strCache>
            </c:strRef>
          </c:tx>
          <c:spPr>
            <a:solidFill>
              <a:srgbClr val="002060"/>
            </a:solidFill>
            <a:ln>
              <a:noFill/>
            </a:ln>
            <a:effectLst/>
          </c:spPr>
          <c:invertIfNegative val="0"/>
          <c:cat>
            <c:strRef>
              <c:f>Sheet1!$A$2:$A$6</c:f>
              <c:strCache>
                <c:ptCount val="5"/>
                <c:pt idx="0">
                  <c:v>PwC 2017</c:v>
                </c:pt>
                <c:pt idx="1">
                  <c:v>HS 2015</c:v>
                </c:pt>
                <c:pt idx="2">
                  <c:v>HS 2016</c:v>
                </c:pt>
                <c:pt idx="3">
                  <c:v>HSE 2018</c:v>
                </c:pt>
                <c:pt idx="4">
                  <c:v>HSE 2021</c:v>
                </c:pt>
              </c:strCache>
            </c:strRef>
          </c:cat>
          <c:val>
            <c:numRef>
              <c:f>Sheet1!$C$2:$C$6</c:f>
              <c:numCache>
                <c:formatCode>General</c:formatCode>
                <c:ptCount val="5"/>
                <c:pt idx="0">
                  <c:v>22.6</c:v>
                </c:pt>
                <c:pt idx="1">
                  <c:v>7</c:v>
                </c:pt>
                <c:pt idx="2">
                  <c:v>8.4</c:v>
                </c:pt>
                <c:pt idx="3">
                  <c:v>5.8</c:v>
                </c:pt>
                <c:pt idx="4">
                  <c:v>4.3</c:v>
                </c:pt>
              </c:numCache>
            </c:numRef>
          </c:val>
          <c:extLst>
            <c:ext xmlns:c16="http://schemas.microsoft.com/office/drawing/2014/chart" uri="{C3380CC4-5D6E-409C-BE32-E72D297353CC}">
              <c16:uniqueId val="{00000001-DA1A-4259-AE56-486F46985420}"/>
            </c:ext>
          </c:extLst>
        </c:ser>
        <c:ser>
          <c:idx val="2"/>
          <c:order val="2"/>
          <c:tx>
            <c:strRef>
              <c:f>Sheet1!$D$1</c:f>
              <c:strCache>
                <c:ptCount val="1"/>
                <c:pt idx="0">
                  <c:v>Low risk</c:v>
                </c:pt>
              </c:strCache>
            </c:strRef>
          </c:tx>
          <c:spPr>
            <a:solidFill>
              <a:schemeClr val="tx2">
                <a:lumMod val="25000"/>
                <a:lumOff val="75000"/>
              </a:schemeClr>
            </a:solidFill>
            <a:ln>
              <a:noFill/>
            </a:ln>
            <a:effectLst/>
          </c:spPr>
          <c:invertIfNegative val="0"/>
          <c:cat>
            <c:strRef>
              <c:f>Sheet1!$A$2:$A$6</c:f>
              <c:strCache>
                <c:ptCount val="5"/>
                <c:pt idx="0">
                  <c:v>PwC 2017</c:v>
                </c:pt>
                <c:pt idx="1">
                  <c:v>HS 2015</c:v>
                </c:pt>
                <c:pt idx="2">
                  <c:v>HS 2016</c:v>
                </c:pt>
                <c:pt idx="3">
                  <c:v>HSE 2018</c:v>
                </c:pt>
                <c:pt idx="4">
                  <c:v>HSE 2021</c:v>
                </c:pt>
              </c:strCache>
            </c:strRef>
          </c:cat>
          <c:val>
            <c:numRef>
              <c:f>Sheet1!$D$2:$D$6</c:f>
              <c:numCache>
                <c:formatCode>General</c:formatCode>
                <c:ptCount val="5"/>
                <c:pt idx="0">
                  <c:v>33.94</c:v>
                </c:pt>
                <c:pt idx="1">
                  <c:v>16</c:v>
                </c:pt>
                <c:pt idx="2">
                  <c:v>16.100000000000001</c:v>
                </c:pt>
                <c:pt idx="3">
                  <c:v>17.600000000000001</c:v>
                </c:pt>
                <c:pt idx="4">
                  <c:v>12.9</c:v>
                </c:pt>
              </c:numCache>
            </c:numRef>
          </c:val>
          <c:extLst>
            <c:ext xmlns:c16="http://schemas.microsoft.com/office/drawing/2014/chart" uri="{C3380CC4-5D6E-409C-BE32-E72D297353CC}">
              <c16:uniqueId val="{00000002-DA1A-4259-AE56-486F46985420}"/>
            </c:ext>
          </c:extLst>
        </c:ser>
        <c:dLbls>
          <c:showLegendKey val="0"/>
          <c:showVal val="0"/>
          <c:showCatName val="0"/>
          <c:showSerName val="0"/>
          <c:showPercent val="0"/>
          <c:showBubbleSize val="0"/>
        </c:dLbls>
        <c:gapWidth val="219"/>
        <c:overlap val="-27"/>
        <c:axId val="800809864"/>
        <c:axId val="800805288"/>
      </c:barChart>
      <c:catAx>
        <c:axId val="800809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800805288"/>
        <c:crosses val="autoZero"/>
        <c:auto val="1"/>
        <c:lblAlgn val="ctr"/>
        <c:lblOffset val="100"/>
        <c:noMultiLvlLbl val="0"/>
      </c:catAx>
      <c:valAx>
        <c:axId val="800805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GB">
                    <a:latin typeface="Calibri" panose="020F0502020204030204" pitchFamily="34" charset="0"/>
                    <a:cs typeface="Calibri" panose="020F0502020204030204" pitchFamily="34" charset="0"/>
                  </a:rPr>
                  <a:t>% sample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800809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GAM0012</dc:title>
  <cp:revision>0</cp:revision>
</cp:coreProperties>
</file>