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83632" w:rsidRPr="00222AE9" w:rsidP="0097533C">
      <w:pPr>
        <w:jc w:val="both"/>
        <w:rPr>
          <w:rFonts w:ascii="Verdana" w:hAnsi="Verdana"/>
          <w:b/>
          <w:bCs/>
          <w:sz w:val="28"/>
          <w:szCs w:val="28"/>
        </w:rPr>
      </w:pPr>
      <w:r w:rsidRPr="00222AE9">
        <w:rPr>
          <w:rFonts w:ascii="Verdana" w:hAnsi="Verdana"/>
          <w:b/>
          <w:bCs/>
          <w:sz w:val="28"/>
          <w:szCs w:val="28"/>
        </w:rPr>
        <w:t xml:space="preserve">Written evidence </w:t>
      </w:r>
      <w:r w:rsidRPr="00222AE9" w:rsidR="00222AE9">
        <w:rPr>
          <w:rFonts w:ascii="Verdana" w:hAnsi="Verdana"/>
          <w:b/>
          <w:bCs/>
          <w:sz w:val="28"/>
          <w:szCs w:val="28"/>
        </w:rPr>
        <w:t>f</w:t>
      </w:r>
      <w:r w:rsidRPr="00222AE9">
        <w:rPr>
          <w:rFonts w:ascii="Verdana" w:hAnsi="Verdana"/>
          <w:b/>
          <w:bCs/>
          <w:sz w:val="28"/>
          <w:szCs w:val="28"/>
        </w:rPr>
        <w:t>r</w:t>
      </w:r>
      <w:r w:rsidRPr="00222AE9" w:rsidR="00222AE9">
        <w:rPr>
          <w:rFonts w:ascii="Verdana" w:hAnsi="Verdana"/>
          <w:b/>
          <w:bCs/>
          <w:sz w:val="28"/>
          <w:szCs w:val="28"/>
        </w:rPr>
        <w:t>om</w:t>
      </w:r>
      <w:r w:rsidRPr="00222AE9">
        <w:rPr>
          <w:rFonts w:ascii="Verdana" w:hAnsi="Verdana"/>
          <w:b/>
          <w:bCs/>
          <w:sz w:val="28"/>
          <w:szCs w:val="28"/>
        </w:rPr>
        <w:t xml:space="preserve"> </w:t>
      </w:r>
      <w:r w:rsidRPr="00222AE9">
        <w:rPr>
          <w:rFonts w:ascii="Verdana" w:hAnsi="Verdana"/>
          <w:b/>
          <w:bCs/>
          <w:sz w:val="28"/>
          <w:szCs w:val="28"/>
        </w:rPr>
        <w:t>the Amusement and Gaming Association (</w:t>
      </w:r>
      <w:r w:rsidRPr="00222AE9">
        <w:rPr>
          <w:rFonts w:ascii="Verdana" w:hAnsi="Verdana"/>
          <w:b/>
          <w:bCs/>
          <w:sz w:val="28"/>
          <w:szCs w:val="28"/>
        </w:rPr>
        <w:t>Bacta</w:t>
      </w:r>
      <w:r w:rsidRPr="00222AE9" w:rsidR="00222AE9">
        <w:rPr>
          <w:rFonts w:ascii="Verdana" w:hAnsi="Verdana"/>
          <w:b/>
          <w:bCs/>
          <w:sz w:val="28"/>
          <w:szCs w:val="28"/>
        </w:rPr>
        <w:t>) (GAM0011)</w:t>
      </w:r>
    </w:p>
    <w:p w:rsidR="00E400CC" w:rsidRPr="00222AE9" w:rsidP="0097533C">
      <w:pPr>
        <w:jc w:val="both"/>
        <w:rPr>
          <w:rFonts w:ascii="Verdana" w:hAnsi="Verdana"/>
          <w:i/>
          <w:iCs/>
          <w:sz w:val="22"/>
          <w:szCs w:val="22"/>
        </w:rPr>
      </w:pPr>
      <w:r w:rsidRPr="00222AE9">
        <w:rPr>
          <w:rFonts w:ascii="Verdana" w:hAnsi="Verdana"/>
          <w:i/>
          <w:iCs/>
          <w:sz w:val="22"/>
          <w:szCs w:val="22"/>
        </w:rPr>
        <w:t>Research</w:t>
      </w:r>
    </w:p>
    <w:p w:rsidR="00E400CC" w:rsidRPr="00222AE9" w:rsidP="0097533C">
      <w:pPr>
        <w:pStyle w:val="ListParagraph"/>
        <w:numPr>
          <w:ilvl w:val="0"/>
          <w:numId w:val="1"/>
        </w:numPr>
        <w:contextualSpacing w:val="0"/>
        <w:jc w:val="both"/>
        <w:rPr>
          <w:rFonts w:ascii="Verdana" w:hAnsi="Verdana"/>
          <w:sz w:val="22"/>
          <w:szCs w:val="22"/>
        </w:rPr>
      </w:pPr>
      <w:r w:rsidRPr="00222AE9">
        <w:rPr>
          <w:rFonts w:ascii="Verdana" w:hAnsi="Verdana"/>
          <w:sz w:val="22"/>
          <w:szCs w:val="22"/>
        </w:rPr>
        <w:t>The 2020 special inquiry committee recommended that the Government “commission independent research to establish the links between gambling advertising and gambling related harm for both adults and children”.</w:t>
      </w:r>
      <w:r>
        <w:rPr>
          <w:rStyle w:val="FootnoteReference"/>
          <w:rFonts w:ascii="Verdana" w:hAnsi="Verdana"/>
          <w:sz w:val="22"/>
          <w:szCs w:val="22"/>
        </w:rPr>
        <w:footnoteReference w:id="2"/>
      </w:r>
      <w:r w:rsidRPr="00222AE9">
        <w:rPr>
          <w:rFonts w:ascii="Verdana" w:hAnsi="Verdana"/>
          <w:sz w:val="22"/>
          <w:szCs w:val="22"/>
        </w:rPr>
        <w:t xml:space="preserve"> As of May 2026, how clear is the evidence of a causal link between gambling advertising by licensed operators (in all its forms) and:</w:t>
      </w:r>
    </w:p>
    <w:p w:rsidR="00E400CC" w:rsidRPr="00222AE9" w:rsidP="0097533C">
      <w:pPr>
        <w:pStyle w:val="ListParagraph"/>
        <w:numPr>
          <w:ilvl w:val="0"/>
          <w:numId w:val="2"/>
        </w:numPr>
        <w:contextualSpacing w:val="0"/>
        <w:jc w:val="both"/>
        <w:rPr>
          <w:rFonts w:ascii="Verdana" w:hAnsi="Verdana"/>
          <w:sz w:val="22"/>
          <w:szCs w:val="22"/>
        </w:rPr>
      </w:pPr>
      <w:r w:rsidRPr="00222AE9">
        <w:rPr>
          <w:rFonts w:ascii="Verdana" w:hAnsi="Verdana"/>
          <w:sz w:val="22"/>
          <w:szCs w:val="22"/>
        </w:rPr>
        <w:t>increased gambling participation by adults;</w:t>
      </w:r>
    </w:p>
    <w:p w:rsidR="00E400CC" w:rsidRPr="00222AE9" w:rsidP="0097533C">
      <w:pPr>
        <w:pStyle w:val="ListParagraph"/>
        <w:numPr>
          <w:ilvl w:val="0"/>
          <w:numId w:val="2"/>
        </w:numPr>
        <w:contextualSpacing w:val="0"/>
        <w:jc w:val="both"/>
        <w:rPr>
          <w:rFonts w:ascii="Verdana" w:hAnsi="Verdana"/>
          <w:sz w:val="22"/>
          <w:szCs w:val="22"/>
        </w:rPr>
      </w:pPr>
      <w:r w:rsidRPr="00222AE9">
        <w:rPr>
          <w:rFonts w:ascii="Verdana" w:hAnsi="Verdana"/>
          <w:sz w:val="22"/>
          <w:szCs w:val="22"/>
        </w:rPr>
        <w:t>increased incidence of problem gambling amongst adults; and,</w:t>
      </w:r>
    </w:p>
    <w:p w:rsidR="00E400CC" w:rsidRPr="00222AE9" w:rsidP="0097533C">
      <w:pPr>
        <w:pStyle w:val="ListParagraph"/>
        <w:numPr>
          <w:ilvl w:val="0"/>
          <w:numId w:val="2"/>
        </w:numPr>
        <w:contextualSpacing w:val="0"/>
        <w:jc w:val="both"/>
        <w:rPr>
          <w:rFonts w:ascii="Verdana" w:hAnsi="Verdana"/>
          <w:sz w:val="22"/>
          <w:szCs w:val="22"/>
        </w:rPr>
      </w:pPr>
      <w:r w:rsidRPr="00222AE9">
        <w:rPr>
          <w:rFonts w:ascii="Verdana" w:hAnsi="Verdana"/>
          <w:sz w:val="22"/>
          <w:szCs w:val="22"/>
        </w:rPr>
        <w:t>increased gambling participation by under-18s?</w:t>
      </w:r>
    </w:p>
    <w:p w:rsidR="001029BE" w:rsidRPr="00222AE9" w:rsidP="0097533C">
      <w:pPr>
        <w:jc w:val="both"/>
        <w:rPr>
          <w:rFonts w:ascii="Verdana" w:hAnsi="Verdana"/>
          <w:sz w:val="22"/>
          <w:szCs w:val="22"/>
        </w:rPr>
      </w:pPr>
      <w:r w:rsidRPr="00222AE9">
        <w:rPr>
          <w:rFonts w:ascii="Verdana" w:hAnsi="Verdana"/>
          <w:sz w:val="22"/>
          <w:szCs w:val="22"/>
        </w:rPr>
        <w:t>Bacta primarily represents land-based gambling and amusement businesses, including Adult Gaming Centres (AGCs), Family Entertainment Centres (FECs), manufacturers and suppliers.</w:t>
      </w:r>
      <w:r w:rsidRPr="00222AE9" w:rsidR="003060FD">
        <w:rPr>
          <w:rFonts w:ascii="Verdana" w:hAnsi="Verdana"/>
          <w:sz w:val="22"/>
          <w:szCs w:val="22"/>
        </w:rPr>
        <w:t xml:space="preserve"> Many of our members use advertising in the ordinary course of business, including venue signage, posters, local media, radio, television, outdoor advertising and digital channels.</w:t>
      </w:r>
    </w:p>
    <w:p w:rsidR="003060FD" w:rsidRPr="00222AE9" w:rsidP="003060FD">
      <w:pPr>
        <w:jc w:val="both"/>
        <w:rPr>
          <w:rFonts w:ascii="Verdana" w:hAnsi="Verdana"/>
          <w:sz w:val="22"/>
          <w:szCs w:val="22"/>
        </w:rPr>
      </w:pPr>
      <w:r w:rsidRPr="00222AE9">
        <w:rPr>
          <w:rFonts w:ascii="Verdana" w:hAnsi="Verdana"/>
          <w:sz w:val="22"/>
          <w:szCs w:val="22"/>
        </w:rPr>
        <w:t>Advertising has an important commercial function. It raises awareness of lawful products and services, helps customers identify licensed and regulated operators, and allows legitimate businesses to compete. It should therefore not be assumed that reducing advertising by licensed operators is automatically a net consumer protection gain.</w:t>
      </w:r>
    </w:p>
    <w:p w:rsidR="003060FD" w:rsidRPr="00222AE9" w:rsidP="003060FD">
      <w:pPr>
        <w:jc w:val="both"/>
        <w:rPr>
          <w:rFonts w:ascii="Verdana" w:hAnsi="Verdana"/>
          <w:sz w:val="22"/>
          <w:szCs w:val="22"/>
        </w:rPr>
      </w:pPr>
      <w:r w:rsidRPr="00222AE9">
        <w:rPr>
          <w:rFonts w:ascii="Verdana" w:hAnsi="Verdana"/>
          <w:sz w:val="22"/>
          <w:szCs w:val="22"/>
        </w:rPr>
        <w:t xml:space="preserve">The key policy question is not whether advertising can increase awareness or participation. Plainly, advertising is intended to make consumers aware of products and services. The more difficult question is whether advertising by licensed operators </w:t>
      </w:r>
      <w:r w:rsidRPr="00222AE9">
        <w:rPr>
          <w:rFonts w:ascii="Verdana" w:hAnsi="Verdana"/>
          <w:sz w:val="22"/>
          <w:szCs w:val="22"/>
        </w:rPr>
        <w:t>is a significant causal driver of gambling-related harm or underage gambling</w:t>
      </w:r>
      <w:r w:rsidRPr="00222AE9">
        <w:rPr>
          <w:rFonts w:ascii="Verdana" w:hAnsi="Verdana"/>
          <w:sz w:val="22"/>
          <w:szCs w:val="22"/>
        </w:rPr>
        <w:t>.</w:t>
      </w:r>
    </w:p>
    <w:p w:rsidR="003060FD" w:rsidRPr="00222AE9" w:rsidP="003060FD">
      <w:pPr>
        <w:jc w:val="both"/>
        <w:rPr>
          <w:rFonts w:ascii="Verdana" w:hAnsi="Verdana"/>
          <w:sz w:val="22"/>
          <w:szCs w:val="22"/>
        </w:rPr>
      </w:pPr>
      <w:r w:rsidRPr="00222AE9">
        <w:rPr>
          <w:rFonts w:ascii="Verdana" w:hAnsi="Verdana"/>
          <w:sz w:val="22"/>
          <w:szCs w:val="22"/>
        </w:rPr>
        <w:t>Bacta’s view is that policy in this area should be based on robust evidence of causation rather than broad assumptions or correlations. Gambling behaviour is influenced by a wide range of factors, including individual vulnerability, personal circumstances, affordability, social environment and access to illegal or unregulated gambling. Advertising is one factor within that wider picture, but the evidence base remains complex.</w:t>
      </w:r>
    </w:p>
    <w:p w:rsidR="003060FD" w:rsidRPr="00222AE9" w:rsidP="003060FD">
      <w:pPr>
        <w:jc w:val="both"/>
        <w:rPr>
          <w:rFonts w:ascii="Verdana" w:hAnsi="Verdana"/>
          <w:sz w:val="22"/>
          <w:szCs w:val="22"/>
        </w:rPr>
      </w:pPr>
      <w:r w:rsidRPr="00222AE9">
        <w:rPr>
          <w:rFonts w:ascii="Verdana" w:hAnsi="Verdana"/>
          <w:sz w:val="22"/>
          <w:szCs w:val="22"/>
        </w:rPr>
        <w:t xml:space="preserve">It is also important to recognise that licensed gambling advertising in Great Britain is already subject to significant regulation. Operators must comply with the Gambling Commission’s Licence Conditions and Codes of Practice, Gambling Commission guidance, the Advertising Standards Authority and CAP/BCAP Codes. </w:t>
      </w:r>
      <w:r w:rsidRPr="00222AE9">
        <w:rPr>
          <w:rFonts w:ascii="Verdana" w:hAnsi="Verdana"/>
          <w:sz w:val="22"/>
          <w:szCs w:val="22"/>
        </w:rPr>
        <w:t xml:space="preserve">These bodies have enforcement </w:t>
      </w:r>
      <w:r w:rsidRPr="00222AE9">
        <w:rPr>
          <w:rFonts w:ascii="Verdana" w:hAnsi="Verdana"/>
          <w:sz w:val="22"/>
          <w:szCs w:val="22"/>
        </w:rPr>
        <w:t>powers</w:t>
      </w:r>
      <w:r w:rsidRPr="00222AE9">
        <w:rPr>
          <w:rFonts w:ascii="Verdana" w:hAnsi="Verdana"/>
          <w:sz w:val="22"/>
          <w:szCs w:val="22"/>
        </w:rPr>
        <w:t xml:space="preserve"> and the framework has real consequences for operators who fall short.</w:t>
      </w:r>
    </w:p>
    <w:p w:rsidR="003060FD" w:rsidRPr="00222AE9" w:rsidP="0097533C">
      <w:pPr>
        <w:jc w:val="both"/>
        <w:rPr>
          <w:rFonts w:ascii="Verdana" w:hAnsi="Verdana"/>
          <w:sz w:val="22"/>
          <w:szCs w:val="22"/>
        </w:rPr>
      </w:pPr>
      <w:r w:rsidRPr="00222AE9">
        <w:rPr>
          <w:rFonts w:ascii="Verdana" w:hAnsi="Verdana"/>
          <w:sz w:val="22"/>
          <w:szCs w:val="22"/>
        </w:rPr>
        <w:t>M</w:t>
      </w:r>
      <w:r w:rsidRPr="00222AE9" w:rsidR="00D725DF">
        <w:rPr>
          <w:rFonts w:ascii="Verdana" w:hAnsi="Verdana"/>
          <w:sz w:val="22"/>
          <w:szCs w:val="22"/>
        </w:rPr>
        <w:t xml:space="preserve">any licensed operators already use safeguards which go beyond minimum legal requirements. These may include copy review processes, age-gating tools, customer suppression lists, self-exclusion suppression for direct marketing and safer gambling messaging. Any further intervention should consider whether existing tools can be strengthened or applied more consistently before broad restrictions are introduced. </w:t>
      </w:r>
      <w:r w:rsidRPr="00222AE9">
        <w:rPr>
          <w:rFonts w:ascii="Verdana" w:hAnsi="Verdana"/>
          <w:sz w:val="22"/>
          <w:szCs w:val="22"/>
        </w:rPr>
        <w:t xml:space="preserve">Any further </w:t>
      </w:r>
      <w:r w:rsidRPr="00222AE9" w:rsidR="00C96E62">
        <w:rPr>
          <w:rFonts w:ascii="Verdana" w:hAnsi="Verdana"/>
          <w:sz w:val="22"/>
          <w:szCs w:val="22"/>
        </w:rPr>
        <w:t>intervention</w:t>
      </w:r>
      <w:r w:rsidRPr="00222AE9">
        <w:rPr>
          <w:rFonts w:ascii="Verdana" w:hAnsi="Verdana"/>
          <w:sz w:val="22"/>
          <w:szCs w:val="22"/>
        </w:rPr>
        <w:t xml:space="preserve"> should therefore be clearly justified, evidence-led and proportionate to the risk identified.</w:t>
      </w:r>
    </w:p>
    <w:p w:rsidR="00E400CC" w:rsidRPr="00222AE9" w:rsidP="003060FD">
      <w:pPr>
        <w:pStyle w:val="ListParagraph"/>
        <w:numPr>
          <w:ilvl w:val="0"/>
          <w:numId w:val="1"/>
        </w:numPr>
        <w:contextualSpacing w:val="0"/>
        <w:jc w:val="both"/>
        <w:rPr>
          <w:rFonts w:ascii="Verdana" w:hAnsi="Verdana"/>
          <w:sz w:val="22"/>
          <w:szCs w:val="22"/>
        </w:rPr>
      </w:pPr>
      <w:r w:rsidRPr="00222AE9">
        <w:rPr>
          <w:rFonts w:ascii="Verdana" w:hAnsi="Verdana"/>
          <w:sz w:val="22"/>
          <w:szCs w:val="22"/>
        </w:rPr>
        <w:t xml:space="preserve">In </w:t>
      </w:r>
      <w:r w:rsidRPr="00222AE9" w:rsidR="00F27938">
        <w:rPr>
          <w:rFonts w:ascii="Verdana" w:hAnsi="Verdana"/>
          <w:sz w:val="22"/>
          <w:szCs w:val="22"/>
        </w:rPr>
        <w:t>July</w:t>
      </w:r>
      <w:r w:rsidRPr="00222AE9">
        <w:rPr>
          <w:rFonts w:ascii="Verdana" w:hAnsi="Verdana"/>
          <w:sz w:val="22"/>
          <w:szCs w:val="22"/>
        </w:rPr>
        <w:t xml:space="preserve"> 2025, the Government stated that “more </w:t>
      </w:r>
      <w:r w:rsidRPr="00222AE9">
        <w:rPr>
          <w:rFonts w:ascii="Verdana" w:hAnsi="Verdana"/>
          <w:sz w:val="22"/>
          <w:szCs w:val="22"/>
        </w:rPr>
        <w:t>high quality</w:t>
      </w:r>
      <w:r w:rsidRPr="00222AE9">
        <w:rPr>
          <w:rFonts w:ascii="Verdana" w:hAnsi="Verdana"/>
          <w:sz w:val="22"/>
          <w:szCs w:val="22"/>
        </w:rPr>
        <w:t xml:space="preserve"> research on the impacts of gambling advertising is needed and there are a range of evidence gaps that need to be addressed”.</w:t>
      </w:r>
      <w:r>
        <w:rPr>
          <w:rStyle w:val="FootnoteReference"/>
          <w:rFonts w:ascii="Verdana" w:hAnsi="Verdana"/>
          <w:sz w:val="22"/>
          <w:szCs w:val="22"/>
        </w:rPr>
        <w:footnoteReference w:id="3"/>
      </w:r>
    </w:p>
    <w:p w:rsidR="00BD54BF" w:rsidRPr="00222AE9" w:rsidP="0097533C">
      <w:pPr>
        <w:pStyle w:val="ListParagraph"/>
        <w:numPr>
          <w:ilvl w:val="1"/>
          <w:numId w:val="1"/>
        </w:numPr>
        <w:contextualSpacing w:val="0"/>
        <w:jc w:val="both"/>
        <w:rPr>
          <w:rFonts w:ascii="Verdana" w:hAnsi="Verdana"/>
          <w:sz w:val="22"/>
          <w:szCs w:val="22"/>
        </w:rPr>
      </w:pPr>
      <w:r w:rsidRPr="00222AE9">
        <w:rPr>
          <w:rFonts w:ascii="Verdana" w:eastAsia="Times New Roman" w:hAnsi="Verdana"/>
          <w:sz w:val="22"/>
          <w:szCs w:val="22"/>
        </w:rPr>
        <w:t>What evidence gaps are there and to what extent is this characterisation of the evidence base justified?</w:t>
      </w:r>
    </w:p>
    <w:p w:rsidR="0021477E" w:rsidRPr="00222AE9" w:rsidP="0021477E">
      <w:pPr>
        <w:jc w:val="both"/>
        <w:rPr>
          <w:rFonts w:ascii="Verdana" w:hAnsi="Verdana"/>
          <w:sz w:val="22"/>
          <w:szCs w:val="22"/>
        </w:rPr>
      </w:pPr>
      <w:r w:rsidRPr="00222AE9">
        <w:rPr>
          <w:rFonts w:ascii="Verdana" w:hAnsi="Verdana"/>
          <w:sz w:val="22"/>
          <w:szCs w:val="22"/>
        </w:rPr>
        <w:t>Bacta agrees that further high-quality research would be useful and believes the Government is right to recognise continuing evidence gaps.</w:t>
      </w:r>
    </w:p>
    <w:p w:rsidR="0021477E" w:rsidRPr="00222AE9" w:rsidP="0021477E">
      <w:pPr>
        <w:jc w:val="both"/>
        <w:rPr>
          <w:rFonts w:ascii="Verdana" w:hAnsi="Verdana"/>
          <w:sz w:val="22"/>
          <w:szCs w:val="22"/>
        </w:rPr>
      </w:pPr>
      <w:r w:rsidRPr="00222AE9">
        <w:rPr>
          <w:rFonts w:ascii="Verdana" w:hAnsi="Verdana"/>
          <w:sz w:val="22"/>
          <w:szCs w:val="22"/>
        </w:rPr>
        <w:t>The key evidence gaps include:</w:t>
      </w:r>
    </w:p>
    <w:p w:rsidR="0021477E" w:rsidRPr="00222AE9" w:rsidP="0021477E">
      <w:pPr>
        <w:pStyle w:val="ListParagraph"/>
        <w:numPr>
          <w:ilvl w:val="0"/>
          <w:numId w:val="13"/>
        </w:numPr>
        <w:jc w:val="both"/>
        <w:rPr>
          <w:rFonts w:ascii="Verdana" w:hAnsi="Verdana"/>
          <w:sz w:val="22"/>
          <w:szCs w:val="22"/>
        </w:rPr>
      </w:pPr>
      <w:r w:rsidRPr="00222AE9">
        <w:rPr>
          <w:rFonts w:ascii="Verdana" w:hAnsi="Verdana"/>
          <w:sz w:val="22"/>
          <w:szCs w:val="22"/>
        </w:rPr>
        <w:t>Whether advertising by licensed operators causes gambling-related harm, as distinct from increasing awareness of legal products and venues.</w:t>
      </w:r>
    </w:p>
    <w:p w:rsidR="0021477E" w:rsidRPr="00222AE9" w:rsidP="0021477E">
      <w:pPr>
        <w:pStyle w:val="ListParagraph"/>
        <w:numPr>
          <w:ilvl w:val="0"/>
          <w:numId w:val="13"/>
        </w:numPr>
        <w:jc w:val="both"/>
        <w:rPr>
          <w:rFonts w:ascii="Verdana" w:hAnsi="Verdana"/>
          <w:sz w:val="22"/>
          <w:szCs w:val="22"/>
        </w:rPr>
      </w:pPr>
      <w:r w:rsidRPr="00222AE9">
        <w:rPr>
          <w:rFonts w:ascii="Verdana" w:hAnsi="Verdana"/>
          <w:sz w:val="22"/>
          <w:szCs w:val="22"/>
        </w:rPr>
        <w:t>The relative impact of different advertising channels, including posters, venue signage, local media, radio, television, online advertising, sponsorship and direct marketing.</w:t>
      </w:r>
    </w:p>
    <w:p w:rsidR="0021477E" w:rsidRPr="00222AE9" w:rsidP="0021477E">
      <w:pPr>
        <w:pStyle w:val="ListParagraph"/>
        <w:numPr>
          <w:ilvl w:val="0"/>
          <w:numId w:val="13"/>
        </w:numPr>
        <w:jc w:val="both"/>
        <w:rPr>
          <w:rFonts w:ascii="Verdana" w:hAnsi="Verdana"/>
          <w:sz w:val="22"/>
          <w:szCs w:val="22"/>
        </w:rPr>
      </w:pPr>
      <w:r w:rsidRPr="00222AE9">
        <w:rPr>
          <w:rFonts w:ascii="Verdana" w:hAnsi="Verdana"/>
          <w:sz w:val="22"/>
          <w:szCs w:val="22"/>
        </w:rPr>
        <w:t>The extent to which advertising restrictions affect channelisation.</w:t>
      </w:r>
    </w:p>
    <w:p w:rsidR="0021477E" w:rsidRPr="00222AE9" w:rsidP="0021477E">
      <w:pPr>
        <w:pStyle w:val="ListParagraph"/>
        <w:numPr>
          <w:ilvl w:val="0"/>
          <w:numId w:val="13"/>
        </w:numPr>
        <w:jc w:val="both"/>
        <w:rPr>
          <w:rFonts w:ascii="Verdana" w:hAnsi="Verdana"/>
          <w:sz w:val="22"/>
          <w:szCs w:val="22"/>
        </w:rPr>
      </w:pPr>
      <w:r w:rsidRPr="00222AE9">
        <w:rPr>
          <w:rFonts w:ascii="Verdana" w:hAnsi="Verdana"/>
          <w:sz w:val="22"/>
          <w:szCs w:val="22"/>
        </w:rPr>
        <w:t>The impact of advertising restrictions on the visibility and attractiveness of illegal, unlicensed or offshore operators.</w:t>
      </w:r>
    </w:p>
    <w:p w:rsidR="0021477E" w:rsidRPr="00222AE9" w:rsidP="0021477E">
      <w:pPr>
        <w:pStyle w:val="ListParagraph"/>
        <w:numPr>
          <w:ilvl w:val="0"/>
          <w:numId w:val="13"/>
        </w:numPr>
        <w:jc w:val="both"/>
        <w:rPr>
          <w:rFonts w:ascii="Verdana" w:hAnsi="Verdana"/>
          <w:sz w:val="22"/>
          <w:szCs w:val="22"/>
        </w:rPr>
      </w:pPr>
      <w:r w:rsidRPr="00222AE9">
        <w:rPr>
          <w:rFonts w:ascii="Verdana" w:hAnsi="Verdana"/>
          <w:sz w:val="22"/>
          <w:szCs w:val="22"/>
        </w:rPr>
        <w:t>The extent to which existing regulation by the Gambling Commission and ASA is already addressing the main risks.</w:t>
      </w:r>
    </w:p>
    <w:p w:rsidR="0021477E" w:rsidRPr="00222AE9" w:rsidP="0021477E">
      <w:pPr>
        <w:jc w:val="both"/>
        <w:rPr>
          <w:rFonts w:ascii="Verdana" w:hAnsi="Verdana"/>
          <w:sz w:val="22"/>
          <w:szCs w:val="22"/>
        </w:rPr>
      </w:pPr>
      <w:r w:rsidRPr="00222AE9">
        <w:rPr>
          <w:rFonts w:ascii="Verdana" w:hAnsi="Verdana"/>
          <w:sz w:val="22"/>
          <w:szCs w:val="22"/>
        </w:rPr>
        <w:t xml:space="preserve">By “channelisation”, Bacta means the proportion of customers who gamble with licensed and regulated operators rather than with illegal, unlicensed or offshore operators. </w:t>
      </w:r>
      <w:r w:rsidRPr="00222AE9" w:rsidR="00235056">
        <w:rPr>
          <w:rFonts w:ascii="Verdana" w:hAnsi="Verdana"/>
          <w:sz w:val="22"/>
          <w:szCs w:val="22"/>
        </w:rPr>
        <w:t xml:space="preserve">This </w:t>
      </w:r>
      <w:r w:rsidRPr="00222AE9">
        <w:rPr>
          <w:rFonts w:ascii="Verdana" w:hAnsi="Verdana"/>
          <w:sz w:val="22"/>
          <w:szCs w:val="22"/>
        </w:rPr>
        <w:t xml:space="preserve">is important because </w:t>
      </w:r>
      <w:r w:rsidRPr="00222AE9" w:rsidR="00235056">
        <w:rPr>
          <w:rFonts w:ascii="Verdana" w:hAnsi="Verdana"/>
          <w:sz w:val="22"/>
          <w:szCs w:val="22"/>
        </w:rPr>
        <w:t xml:space="preserve">it is imperative </w:t>
      </w:r>
      <w:r w:rsidRPr="00222AE9" w:rsidR="00D6340F">
        <w:rPr>
          <w:rFonts w:ascii="Verdana" w:hAnsi="Verdana"/>
          <w:sz w:val="22"/>
          <w:szCs w:val="22"/>
        </w:rPr>
        <w:t xml:space="preserve">that </w:t>
      </w:r>
      <w:r w:rsidRPr="00222AE9" w:rsidR="00235056">
        <w:rPr>
          <w:rFonts w:ascii="Verdana" w:hAnsi="Verdana"/>
          <w:sz w:val="22"/>
          <w:szCs w:val="22"/>
        </w:rPr>
        <w:t xml:space="preserve">gambling is kept </w:t>
      </w:r>
      <w:r w:rsidRPr="00222AE9">
        <w:rPr>
          <w:rFonts w:ascii="Verdana" w:hAnsi="Verdana"/>
          <w:sz w:val="22"/>
          <w:szCs w:val="22"/>
        </w:rPr>
        <w:t>inside the British regulatory framework, where operators are subject to age verification, self-exclusion, customer interaction, safer gambling controls, anti-money laundering requirements, advertising rules and Gambling Commission oversight.</w:t>
      </w:r>
    </w:p>
    <w:p w:rsidR="001029BE" w:rsidRPr="00222AE9" w:rsidP="0021477E">
      <w:pPr>
        <w:jc w:val="both"/>
        <w:rPr>
          <w:rFonts w:ascii="Verdana" w:hAnsi="Verdana"/>
          <w:sz w:val="22"/>
          <w:szCs w:val="22"/>
        </w:rPr>
      </w:pPr>
      <w:r w:rsidRPr="00222AE9">
        <w:rPr>
          <w:rFonts w:ascii="Verdana" w:hAnsi="Verdana"/>
          <w:sz w:val="22"/>
          <w:szCs w:val="22"/>
        </w:rPr>
        <w:t>Any assessment of advertising regulation must consider not only whether restrictions reduce the visibility of gambling, but whether they reduce the visibility of licensed operators while leaving illegal operators more prominent.</w:t>
      </w:r>
    </w:p>
    <w:p w:rsidR="00E400CC" w:rsidRPr="00222AE9" w:rsidP="0097533C">
      <w:pPr>
        <w:pStyle w:val="ListParagraph"/>
        <w:numPr>
          <w:ilvl w:val="1"/>
          <w:numId w:val="1"/>
        </w:numPr>
        <w:contextualSpacing w:val="0"/>
        <w:jc w:val="both"/>
        <w:rPr>
          <w:rFonts w:ascii="Verdana" w:hAnsi="Verdana"/>
          <w:sz w:val="22"/>
          <w:szCs w:val="22"/>
        </w:rPr>
      </w:pPr>
      <w:r w:rsidRPr="00222AE9">
        <w:rPr>
          <w:rFonts w:ascii="Verdana" w:hAnsi="Verdana"/>
          <w:sz w:val="22"/>
          <w:szCs w:val="22"/>
        </w:rPr>
        <w:t>What methodological problems are associated with definitively establishing a causal link in the above areas?</w:t>
      </w:r>
    </w:p>
    <w:p w:rsidR="00A0395E" w:rsidRPr="00222AE9" w:rsidP="00A0395E">
      <w:pPr>
        <w:jc w:val="both"/>
        <w:rPr>
          <w:rFonts w:ascii="Verdana" w:hAnsi="Verdana"/>
          <w:sz w:val="22"/>
          <w:szCs w:val="22"/>
        </w:rPr>
      </w:pPr>
      <w:r w:rsidRPr="00222AE9">
        <w:rPr>
          <w:rFonts w:ascii="Verdana" w:hAnsi="Verdana"/>
          <w:sz w:val="22"/>
          <w:szCs w:val="22"/>
        </w:rPr>
        <w:t>Establishing causality is difficult because gambling behaviour is affected by multiple overlapping factors. These include personal circumstances, income, vulnerability, product availability, product design, peer influence, advertising exposure, online accessibility, venue environment and prior gambling behaviour.</w:t>
      </w:r>
    </w:p>
    <w:p w:rsidR="00A0395E" w:rsidRPr="00222AE9" w:rsidP="00A0395E">
      <w:pPr>
        <w:jc w:val="both"/>
        <w:rPr>
          <w:rFonts w:ascii="Verdana" w:hAnsi="Verdana"/>
          <w:sz w:val="22"/>
          <w:szCs w:val="22"/>
        </w:rPr>
      </w:pPr>
    </w:p>
    <w:p w:rsidR="00A0395E" w:rsidRPr="00222AE9" w:rsidP="00A0395E">
      <w:pPr>
        <w:jc w:val="both"/>
        <w:rPr>
          <w:rFonts w:ascii="Verdana" w:hAnsi="Verdana"/>
          <w:sz w:val="22"/>
          <w:szCs w:val="22"/>
        </w:rPr>
      </w:pPr>
      <w:r w:rsidRPr="00222AE9">
        <w:rPr>
          <w:rFonts w:ascii="Verdana" w:hAnsi="Verdana"/>
          <w:sz w:val="22"/>
          <w:szCs w:val="22"/>
        </w:rPr>
        <w:t>There is also a risk that research conflates awareness, participation and harm. These are different things. Advertising may make an adult customer aware of a licensed venue, but that does not mean it has caused harmful gambling behaviour.</w:t>
      </w:r>
    </w:p>
    <w:p w:rsidR="001029BE" w:rsidRPr="00222AE9" w:rsidP="00A0395E">
      <w:pPr>
        <w:jc w:val="both"/>
        <w:rPr>
          <w:rFonts w:ascii="Verdana" w:hAnsi="Verdana"/>
          <w:sz w:val="22"/>
          <w:szCs w:val="22"/>
        </w:rPr>
      </w:pPr>
      <w:r w:rsidRPr="00222AE9">
        <w:rPr>
          <w:rFonts w:ascii="Verdana" w:hAnsi="Verdana"/>
          <w:sz w:val="22"/>
          <w:szCs w:val="22"/>
        </w:rPr>
        <w:t>Research also needs to account for the illegal market. If restrictions on licensed advertising reduce awareness of legal operators, while illegal operators continue to advertise through less regulated channels, the consumer protection outcome may be negative.</w:t>
      </w:r>
    </w:p>
    <w:p w:rsidR="00A21005" w:rsidRPr="00222AE9" w:rsidP="00A0395E">
      <w:pPr>
        <w:jc w:val="both"/>
        <w:rPr>
          <w:rFonts w:ascii="Verdana" w:hAnsi="Verdana"/>
          <w:sz w:val="22"/>
          <w:szCs w:val="22"/>
        </w:rPr>
      </w:pPr>
      <w:r w:rsidRPr="00222AE9">
        <w:rPr>
          <w:rFonts w:ascii="Verdana" w:hAnsi="Verdana"/>
          <w:sz w:val="22"/>
          <w:szCs w:val="22"/>
        </w:rPr>
        <w:t>A further methodological challenge is time. Where an individual is exposed to advertising and later develops problematic gambling behaviour, it is difficult to establish that the original exposure caused the later harm. A time lag introduces multiple intervening variables, including personal circumstances, financial pressures, social environment and prior gambling behaviour. This makes it particularly important that research distinguishes between exposure, awareness, participation and harm.</w:t>
      </w:r>
    </w:p>
    <w:p w:rsidR="00164CEC" w:rsidRPr="00222AE9" w:rsidP="00A0395E">
      <w:pPr>
        <w:jc w:val="both"/>
        <w:rPr>
          <w:rFonts w:ascii="Verdana" w:hAnsi="Verdana"/>
          <w:sz w:val="22"/>
          <w:szCs w:val="22"/>
        </w:rPr>
      </w:pPr>
      <w:r w:rsidRPr="00222AE9">
        <w:rPr>
          <w:rFonts w:ascii="Verdana" w:hAnsi="Verdana"/>
          <w:sz w:val="22"/>
          <w:szCs w:val="22"/>
        </w:rPr>
        <w:t>There are also significant recall and attribution challenges. Research participants may not accurately remember which adverts, sponsorships, promotions or safer gambling messages they have seen, when they saw them, or how those exposures affected behaviour. Where exposure is cumulative across multiple channels over time, it becomes especially difficult to identify whether any single advert or advertising format had a measurable causal effect.</w:t>
      </w:r>
    </w:p>
    <w:p w:rsidR="00E400CC" w:rsidRPr="00222AE9" w:rsidP="0097533C">
      <w:pPr>
        <w:pStyle w:val="ListParagraph"/>
        <w:numPr>
          <w:ilvl w:val="1"/>
          <w:numId w:val="1"/>
        </w:numPr>
        <w:contextualSpacing w:val="0"/>
        <w:jc w:val="both"/>
        <w:rPr>
          <w:rFonts w:ascii="Verdana" w:hAnsi="Verdana"/>
          <w:sz w:val="22"/>
          <w:szCs w:val="22"/>
        </w:rPr>
      </w:pPr>
      <w:r w:rsidRPr="00222AE9">
        <w:rPr>
          <w:rFonts w:ascii="Verdana" w:hAnsi="Verdana"/>
          <w:sz w:val="22"/>
          <w:szCs w:val="22"/>
        </w:rPr>
        <w:t>Can further research, such as the use of different techniques or larger samples, overcome these barriers to provide policymakers with meaningful further insight?</w:t>
      </w:r>
    </w:p>
    <w:p w:rsidR="00897109" w:rsidRPr="00222AE9" w:rsidP="00897109">
      <w:pPr>
        <w:jc w:val="both"/>
        <w:rPr>
          <w:rFonts w:ascii="Verdana" w:hAnsi="Verdana"/>
          <w:sz w:val="22"/>
          <w:szCs w:val="22"/>
        </w:rPr>
      </w:pPr>
      <w:r w:rsidRPr="00222AE9">
        <w:rPr>
          <w:rFonts w:ascii="Verdana" w:hAnsi="Verdana"/>
          <w:sz w:val="22"/>
          <w:szCs w:val="22"/>
        </w:rPr>
        <w:t>Further research can improve understanding, particularly where it distinguishes properly between product types, advertising channels, customer groups and licensed versus illegal operators.</w:t>
      </w:r>
    </w:p>
    <w:p w:rsidR="00897109" w:rsidRPr="00222AE9" w:rsidP="00897109">
      <w:pPr>
        <w:jc w:val="both"/>
        <w:rPr>
          <w:rFonts w:ascii="Verdana" w:hAnsi="Verdana"/>
          <w:sz w:val="22"/>
          <w:szCs w:val="22"/>
        </w:rPr>
      </w:pPr>
      <w:r w:rsidRPr="00222AE9">
        <w:rPr>
          <w:rFonts w:ascii="Verdana" w:hAnsi="Verdana"/>
          <w:sz w:val="22"/>
          <w:szCs w:val="22"/>
        </w:rPr>
        <w:t>Larger samples, longitudinal studies and more granular analysis may provide useful insight. However, there will remain limits to the extent to which advertising alone can be isolated from wider behavioural, social and economic factors.</w:t>
      </w:r>
    </w:p>
    <w:p w:rsidR="00897109" w:rsidRPr="00222AE9" w:rsidP="00897109">
      <w:pPr>
        <w:jc w:val="both"/>
        <w:rPr>
          <w:rFonts w:ascii="Verdana" w:hAnsi="Verdana"/>
          <w:sz w:val="22"/>
          <w:szCs w:val="22"/>
        </w:rPr>
      </w:pPr>
      <w:r w:rsidRPr="00222AE9">
        <w:rPr>
          <w:rFonts w:ascii="Verdana" w:hAnsi="Verdana"/>
          <w:sz w:val="22"/>
          <w:szCs w:val="22"/>
        </w:rPr>
        <w:t>For that reason, policy should be cautious. Further research should inform proportionate and targeted interventions, rather than broad restrictions that risk unintended consequences.</w:t>
      </w:r>
    </w:p>
    <w:p w:rsidR="00E400CC" w:rsidRPr="00222AE9" w:rsidP="0097533C">
      <w:pPr>
        <w:pStyle w:val="ListParagraph"/>
        <w:numPr>
          <w:ilvl w:val="1"/>
          <w:numId w:val="1"/>
        </w:numPr>
        <w:contextualSpacing w:val="0"/>
        <w:jc w:val="both"/>
        <w:rPr>
          <w:rFonts w:ascii="Verdana" w:hAnsi="Verdana"/>
          <w:sz w:val="22"/>
          <w:szCs w:val="22"/>
        </w:rPr>
      </w:pPr>
      <w:r w:rsidRPr="00222AE9">
        <w:rPr>
          <w:rFonts w:ascii="Verdana" w:hAnsi="Verdana"/>
          <w:sz w:val="22"/>
          <w:szCs w:val="22"/>
        </w:rPr>
        <w:t>Is the Government justified in awaiting the outcome of further research before proceeding with policy action?</w:t>
      </w:r>
    </w:p>
    <w:p w:rsidR="00C04A10" w:rsidRPr="00222AE9" w:rsidP="00C04A10">
      <w:pPr>
        <w:jc w:val="both"/>
        <w:rPr>
          <w:rFonts w:ascii="Verdana" w:hAnsi="Verdana"/>
          <w:sz w:val="22"/>
          <w:szCs w:val="22"/>
        </w:rPr>
      </w:pPr>
      <w:r w:rsidRPr="00222AE9">
        <w:rPr>
          <w:rFonts w:ascii="Verdana" w:hAnsi="Verdana"/>
          <w:sz w:val="22"/>
          <w:szCs w:val="22"/>
        </w:rPr>
        <w:t>Yes. Given the complexity of the evidence base and the existing regulatory framework, Government is justified in seeking further evidence before introducing major new restrictions.</w:t>
      </w:r>
    </w:p>
    <w:p w:rsidR="00C04A10" w:rsidRPr="00222AE9" w:rsidP="00C04A10">
      <w:pPr>
        <w:jc w:val="both"/>
        <w:rPr>
          <w:rFonts w:ascii="Verdana" w:hAnsi="Verdana"/>
          <w:sz w:val="22"/>
          <w:szCs w:val="22"/>
        </w:rPr>
      </w:pPr>
      <w:r w:rsidRPr="00222AE9">
        <w:rPr>
          <w:rFonts w:ascii="Verdana" w:hAnsi="Verdana"/>
          <w:sz w:val="22"/>
          <w:szCs w:val="22"/>
        </w:rPr>
        <w:t>This is particularly important because poorly targeted restrictions could harm legitimate operators, reduce consumer awareness of licensed and supervised venues, and increase the relative prominence of illegal operators. That would weaken, rather than strengthen, consumer protection.</w:t>
      </w:r>
    </w:p>
    <w:p w:rsidR="00E400CC" w:rsidRPr="00222AE9" w:rsidP="0097533C">
      <w:pPr>
        <w:jc w:val="both"/>
        <w:rPr>
          <w:rFonts w:ascii="Verdana" w:hAnsi="Verdana"/>
          <w:i/>
          <w:iCs/>
          <w:sz w:val="22"/>
          <w:szCs w:val="22"/>
        </w:rPr>
      </w:pPr>
      <w:r w:rsidRPr="00222AE9">
        <w:rPr>
          <w:rFonts w:ascii="Verdana" w:hAnsi="Verdana"/>
          <w:i/>
          <w:iCs/>
          <w:sz w:val="22"/>
          <w:szCs w:val="22"/>
        </w:rPr>
        <w:t>International comparisons:</w:t>
      </w:r>
    </w:p>
    <w:p w:rsidR="00E400CC" w:rsidRPr="00222AE9" w:rsidP="0097533C">
      <w:pPr>
        <w:pStyle w:val="ListParagraph"/>
        <w:numPr>
          <w:ilvl w:val="0"/>
          <w:numId w:val="1"/>
        </w:numPr>
        <w:contextualSpacing w:val="0"/>
        <w:jc w:val="both"/>
        <w:rPr>
          <w:rFonts w:ascii="Verdana" w:hAnsi="Verdana"/>
          <w:sz w:val="22"/>
          <w:szCs w:val="22"/>
        </w:rPr>
      </w:pPr>
      <w:r w:rsidRPr="00222AE9">
        <w:rPr>
          <w:rFonts w:ascii="Verdana" w:hAnsi="Verdana"/>
          <w:sz w:val="22"/>
          <w:szCs w:val="22"/>
        </w:rPr>
        <w:t>In a Westminster Hall debate on 23 April 2026, the Government stated that the UK should be “guided by the lessons that [other] jurisdictions offer, and we should consider what has and has not worked.”</w:t>
      </w:r>
      <w:r>
        <w:rPr>
          <w:rStyle w:val="FootnoteReference"/>
          <w:rFonts w:ascii="Verdana" w:hAnsi="Verdana"/>
          <w:sz w:val="22"/>
          <w:szCs w:val="22"/>
        </w:rPr>
        <w:footnoteReference w:id="4"/>
      </w:r>
    </w:p>
    <w:p w:rsidR="00E400CC" w:rsidRPr="00222AE9" w:rsidP="0097533C">
      <w:pPr>
        <w:pStyle w:val="ListParagraph"/>
        <w:numPr>
          <w:ilvl w:val="0"/>
          <w:numId w:val="4"/>
        </w:numPr>
        <w:contextualSpacing w:val="0"/>
        <w:jc w:val="both"/>
        <w:rPr>
          <w:rFonts w:ascii="Verdana" w:hAnsi="Verdana"/>
          <w:sz w:val="22"/>
          <w:szCs w:val="22"/>
        </w:rPr>
      </w:pPr>
      <w:r w:rsidRPr="00222AE9">
        <w:rPr>
          <w:rFonts w:ascii="Verdana" w:hAnsi="Verdana"/>
          <w:sz w:val="22"/>
          <w:szCs w:val="22"/>
        </w:rPr>
        <w:t>How does the regulation of gambling advertising in Great Britain compare with the approach taken by comparable international jurisdictions in Europe and elsewhere?</w:t>
      </w:r>
    </w:p>
    <w:p w:rsidR="00A84C0D" w:rsidRPr="00222AE9" w:rsidP="00A84C0D">
      <w:pPr>
        <w:jc w:val="both"/>
        <w:rPr>
          <w:rFonts w:ascii="Verdana" w:hAnsi="Verdana"/>
          <w:sz w:val="22"/>
          <w:szCs w:val="22"/>
        </w:rPr>
      </w:pPr>
      <w:r w:rsidRPr="00222AE9">
        <w:rPr>
          <w:rFonts w:ascii="Verdana" w:hAnsi="Verdana"/>
          <w:sz w:val="22"/>
          <w:szCs w:val="22"/>
        </w:rPr>
        <w:t>Bacta does not seek to provide a full comparative analysis of international advertising regimes. However, one clear lesson from international gambling regulation is that restrictions must be assessed against their impact on channelisation.</w:t>
      </w:r>
    </w:p>
    <w:p w:rsidR="00A84C0D" w:rsidRPr="00222AE9" w:rsidP="00A84C0D">
      <w:pPr>
        <w:jc w:val="both"/>
        <w:rPr>
          <w:rFonts w:ascii="Verdana" w:hAnsi="Verdana"/>
          <w:sz w:val="22"/>
          <w:szCs w:val="22"/>
        </w:rPr>
      </w:pPr>
      <w:r w:rsidRPr="00222AE9">
        <w:rPr>
          <w:rFonts w:ascii="Verdana" w:hAnsi="Verdana"/>
          <w:sz w:val="22"/>
          <w:szCs w:val="22"/>
        </w:rPr>
        <w:t>That means considering whether customers remain within the licensed and regulated market, or whether restrictions make illegal, unlicensed or offshore operators more attractive or more visible.</w:t>
      </w:r>
    </w:p>
    <w:p w:rsidR="00A84C0D" w:rsidRPr="00222AE9" w:rsidP="00A84C0D">
      <w:pPr>
        <w:jc w:val="both"/>
        <w:rPr>
          <w:rFonts w:ascii="Verdana" w:hAnsi="Verdana"/>
          <w:sz w:val="22"/>
          <w:szCs w:val="22"/>
        </w:rPr>
      </w:pPr>
      <w:r w:rsidRPr="00222AE9">
        <w:rPr>
          <w:rFonts w:ascii="Verdana" w:hAnsi="Verdana"/>
          <w:sz w:val="22"/>
          <w:szCs w:val="22"/>
        </w:rPr>
        <w:t>If licensed operators are prevented from advertising effectively, consumers may find it harder to distinguish between legal businesses that comply with British regulation and illegal alternatives that do not. This is especially important online, where illegal operators can target British consumers without complying with British requirements on age verification, self-exclusion, safer gambling, anti-money laundering, advertising standards or customer redress.</w:t>
      </w:r>
    </w:p>
    <w:p w:rsidR="00A84C0D" w:rsidRPr="00222AE9" w:rsidP="00A84C0D">
      <w:pPr>
        <w:jc w:val="both"/>
        <w:rPr>
          <w:rFonts w:ascii="Verdana" w:hAnsi="Verdana"/>
          <w:sz w:val="22"/>
          <w:szCs w:val="22"/>
        </w:rPr>
      </w:pPr>
      <w:r w:rsidRPr="00222AE9">
        <w:rPr>
          <w:rFonts w:ascii="Verdana" w:hAnsi="Verdana"/>
          <w:sz w:val="22"/>
          <w:szCs w:val="22"/>
        </w:rPr>
        <w:t>Great Britain already has a mature advertising framework, with oversight from both the Gambling Commission and the ASA. Before adopting measures from other jurisdictions, policymakers should examine whether those measures have reduced harm, whether they have affected the legal market, and whether they have displaced customers towards illegal operators.</w:t>
      </w:r>
    </w:p>
    <w:p w:rsidR="00887F0C" w:rsidRPr="00222AE9" w:rsidP="0097533C">
      <w:pPr>
        <w:jc w:val="both"/>
        <w:rPr>
          <w:rFonts w:ascii="Verdana" w:hAnsi="Verdana"/>
          <w:i/>
          <w:iCs/>
          <w:sz w:val="22"/>
          <w:szCs w:val="22"/>
        </w:rPr>
      </w:pPr>
      <w:r w:rsidRPr="00222AE9">
        <w:rPr>
          <w:rFonts w:ascii="Verdana" w:hAnsi="Verdana"/>
          <w:i/>
          <w:iCs/>
          <w:sz w:val="22"/>
          <w:szCs w:val="22"/>
        </w:rPr>
        <w:t>Economic impacts</w:t>
      </w:r>
    </w:p>
    <w:p w:rsidR="00887F0C" w:rsidRPr="00222AE9" w:rsidP="0097533C">
      <w:pPr>
        <w:pStyle w:val="ListParagraph"/>
        <w:numPr>
          <w:ilvl w:val="0"/>
          <w:numId w:val="1"/>
        </w:numPr>
        <w:spacing w:line="276" w:lineRule="auto"/>
        <w:contextualSpacing w:val="0"/>
        <w:jc w:val="both"/>
        <w:rPr>
          <w:rFonts w:ascii="Verdana" w:hAnsi="Verdana"/>
          <w:sz w:val="22"/>
          <w:szCs w:val="22"/>
        </w:rPr>
      </w:pPr>
      <w:r w:rsidRPr="00222AE9">
        <w:rPr>
          <w:rFonts w:ascii="Verdana" w:hAnsi="Verdana"/>
          <w:sz w:val="22"/>
          <w:szCs w:val="22"/>
        </w:rPr>
        <w:t>What would be the economic disbenefits of further restrictions on gambling advertising by licensed operators, and could these be effectively mitigated?</w:t>
      </w:r>
    </w:p>
    <w:p w:rsidR="001029BE" w:rsidRPr="00222AE9" w:rsidP="0097533C">
      <w:pPr>
        <w:spacing w:line="276" w:lineRule="auto"/>
        <w:jc w:val="both"/>
        <w:rPr>
          <w:rFonts w:ascii="Verdana" w:hAnsi="Verdana"/>
          <w:sz w:val="22"/>
          <w:szCs w:val="22"/>
        </w:rPr>
      </w:pPr>
      <w:r w:rsidRPr="00222AE9">
        <w:rPr>
          <w:rFonts w:ascii="Verdana" w:hAnsi="Verdana"/>
          <w:sz w:val="22"/>
          <w:szCs w:val="22"/>
        </w:rPr>
        <w:t>Further restrictions on advertising by licensed operators may reduce the visibility and competitiveness of the regulated market.</w:t>
      </w:r>
    </w:p>
    <w:p w:rsidR="00172E80" w:rsidRPr="00222AE9" w:rsidP="0097533C">
      <w:pPr>
        <w:spacing w:line="276" w:lineRule="auto"/>
        <w:jc w:val="both"/>
        <w:rPr>
          <w:rFonts w:ascii="Verdana" w:hAnsi="Verdana"/>
          <w:sz w:val="22"/>
          <w:szCs w:val="22"/>
        </w:rPr>
      </w:pPr>
      <w:r w:rsidRPr="00222AE9">
        <w:rPr>
          <w:rFonts w:ascii="Verdana" w:hAnsi="Verdana"/>
          <w:sz w:val="22"/>
          <w:szCs w:val="22"/>
        </w:rPr>
        <w:t>For Bacta members, advertising is not limited to large national media campaigns. It includes local posters, shopfront materials, customer communications, radio, television, outdoor advertising and promotional material that helps customers understand what is available in safe, supervised and regulated premises.</w:t>
      </w:r>
    </w:p>
    <w:p w:rsidR="001029BE" w:rsidRPr="00222AE9" w:rsidP="0097533C">
      <w:pPr>
        <w:spacing w:line="276" w:lineRule="auto"/>
        <w:jc w:val="both"/>
        <w:rPr>
          <w:rFonts w:ascii="Verdana" w:hAnsi="Verdana"/>
          <w:sz w:val="22"/>
          <w:szCs w:val="22"/>
        </w:rPr>
      </w:pPr>
      <w:r w:rsidRPr="00222AE9">
        <w:rPr>
          <w:rFonts w:ascii="Verdana" w:hAnsi="Verdana"/>
          <w:sz w:val="22"/>
          <w:szCs w:val="22"/>
        </w:rPr>
        <w:t>Potential economic impacts could include reduced revenues, lower investment, reduced employment and lower tax receipts. There is also a risk that restrictions increase the relative prominence of illegal operators who do not contribute to the public finances or comply with British consumer protection requirements.</w:t>
      </w:r>
    </w:p>
    <w:p w:rsidR="009E4312" w:rsidRPr="00222AE9" w:rsidP="0097533C">
      <w:pPr>
        <w:spacing w:line="276" w:lineRule="auto"/>
        <w:jc w:val="both"/>
        <w:rPr>
          <w:rFonts w:ascii="Verdana" w:hAnsi="Verdana"/>
          <w:sz w:val="22"/>
          <w:szCs w:val="22"/>
        </w:rPr>
      </w:pPr>
      <w:r w:rsidRPr="00222AE9">
        <w:rPr>
          <w:rFonts w:ascii="Verdana" w:hAnsi="Verdana"/>
          <w:sz w:val="22"/>
          <w:szCs w:val="22"/>
        </w:rPr>
        <w:t>The risk is particularly acute for land-based operators. Bacta members operate physical premises, employ local staff, pay UK taxes, comply with licensing requirements and invest in supervised environments. Reducing their ability to communicate with lawful adult customers would risk weakening businesses that are already operating under significant cost and regulatory pressure.</w:t>
      </w:r>
    </w:p>
    <w:p w:rsidR="00887F0C" w:rsidRPr="00222AE9" w:rsidP="009E4312">
      <w:pPr>
        <w:pStyle w:val="ListParagraph"/>
        <w:numPr>
          <w:ilvl w:val="0"/>
          <w:numId w:val="1"/>
        </w:numPr>
        <w:spacing w:line="276" w:lineRule="auto"/>
        <w:contextualSpacing w:val="0"/>
        <w:jc w:val="both"/>
        <w:rPr>
          <w:rFonts w:ascii="Verdana" w:hAnsi="Verdana"/>
          <w:sz w:val="22"/>
          <w:szCs w:val="22"/>
        </w:rPr>
      </w:pPr>
      <w:r w:rsidRPr="00222AE9">
        <w:rPr>
          <w:rFonts w:ascii="Verdana" w:hAnsi="Verdana"/>
          <w:sz w:val="22"/>
          <w:szCs w:val="22"/>
        </w:rPr>
        <w:t>Are there any other observations you would like to make about the potential disadvantages of tightening gambling regulation?</w:t>
      </w:r>
    </w:p>
    <w:p w:rsidR="001029BE" w:rsidRPr="00222AE9" w:rsidP="0097533C">
      <w:pPr>
        <w:spacing w:line="276" w:lineRule="auto"/>
        <w:jc w:val="both"/>
        <w:rPr>
          <w:rFonts w:ascii="Verdana" w:hAnsi="Verdana"/>
          <w:sz w:val="22"/>
          <w:szCs w:val="22"/>
        </w:rPr>
      </w:pPr>
      <w:r w:rsidRPr="00222AE9">
        <w:rPr>
          <w:rFonts w:ascii="Verdana" w:hAnsi="Verdana"/>
          <w:sz w:val="22"/>
          <w:szCs w:val="22"/>
        </w:rPr>
        <w:t>More broadly, Bacta believes gambling regulation should remain proportionate, evidence-based and targeted.</w:t>
      </w:r>
    </w:p>
    <w:p w:rsidR="0094076D" w:rsidRPr="00222AE9" w:rsidP="0097533C">
      <w:pPr>
        <w:spacing w:line="276" w:lineRule="auto"/>
        <w:jc w:val="both"/>
        <w:rPr>
          <w:rFonts w:ascii="Verdana" w:hAnsi="Verdana"/>
          <w:sz w:val="22"/>
          <w:szCs w:val="22"/>
        </w:rPr>
      </w:pPr>
      <w:r w:rsidRPr="00222AE9">
        <w:rPr>
          <w:rFonts w:ascii="Verdana" w:hAnsi="Verdana"/>
          <w:sz w:val="22"/>
          <w:szCs w:val="22"/>
        </w:rPr>
        <w:t>Bacta members already operate within one of the most heavily regulated gambling markets in the world. Licensed land-based venues are staffed, supervised and subject to requirements on age verification, self-exclusion, customer interaction, anti-money laundering and safer gambling.</w:t>
      </w:r>
    </w:p>
    <w:p w:rsidR="00FF0E4A" w:rsidRPr="00222AE9" w:rsidP="00FF0E4A">
      <w:pPr>
        <w:spacing w:line="276" w:lineRule="auto"/>
        <w:jc w:val="both"/>
        <w:rPr>
          <w:rFonts w:ascii="Verdana" w:hAnsi="Verdana"/>
          <w:sz w:val="22"/>
          <w:szCs w:val="22"/>
        </w:rPr>
      </w:pPr>
      <w:r w:rsidRPr="00222AE9">
        <w:rPr>
          <w:rFonts w:ascii="Verdana" w:hAnsi="Verdana"/>
          <w:sz w:val="22"/>
          <w:szCs w:val="22"/>
        </w:rPr>
        <w:t xml:space="preserve">The regulated gambling sector </w:t>
      </w:r>
      <w:r w:rsidRPr="00222AE9">
        <w:rPr>
          <w:rFonts w:ascii="Verdana" w:hAnsi="Verdana"/>
          <w:sz w:val="22"/>
          <w:szCs w:val="22"/>
        </w:rPr>
        <w:t xml:space="preserve">also </w:t>
      </w:r>
      <w:r w:rsidRPr="00222AE9">
        <w:rPr>
          <w:rFonts w:ascii="Verdana" w:hAnsi="Verdana"/>
          <w:sz w:val="22"/>
          <w:szCs w:val="22"/>
        </w:rPr>
        <w:t xml:space="preserve">supports significant employment, investment and tax revenues. </w:t>
      </w:r>
      <w:r w:rsidRPr="00222AE9">
        <w:rPr>
          <w:rFonts w:ascii="Verdana" w:hAnsi="Verdana"/>
          <w:sz w:val="22"/>
          <w:szCs w:val="22"/>
        </w:rPr>
        <w:t>Further restrictions on licensed advertising should not therefore be introduced unless there is clear evidence that they would reduce harm and would not undermine consumer awareness of lawful, regulated and supervised venues.</w:t>
      </w:r>
    </w:p>
    <w:p w:rsidR="001029BE" w:rsidRPr="00222AE9" w:rsidP="00FF0E4A">
      <w:pPr>
        <w:spacing w:line="276" w:lineRule="auto"/>
        <w:jc w:val="both"/>
        <w:rPr>
          <w:rFonts w:ascii="Verdana" w:hAnsi="Verdana"/>
          <w:sz w:val="22"/>
          <w:szCs w:val="22"/>
        </w:rPr>
      </w:pPr>
      <w:r w:rsidRPr="00222AE9">
        <w:rPr>
          <w:rFonts w:ascii="Verdana" w:hAnsi="Verdana"/>
          <w:sz w:val="22"/>
          <w:szCs w:val="22"/>
        </w:rPr>
        <w:t>It is also important to recognise the difference between licensed and illegal operators. Licensed operators can be regulated, inspected and held accountable. Illegal operators cannot. A regulatory approach that makes the legal market less visible, less competitive or less able to communicate with customers may increase risk rather than reduce it.</w:t>
      </w:r>
    </w:p>
    <w:p w:rsidR="00FF0E4A" w:rsidRPr="00222AE9" w:rsidP="0097533C">
      <w:pPr>
        <w:spacing w:line="276" w:lineRule="auto"/>
        <w:jc w:val="both"/>
        <w:rPr>
          <w:rFonts w:ascii="Verdana" w:hAnsi="Verdana"/>
          <w:sz w:val="22"/>
          <w:szCs w:val="22"/>
        </w:rPr>
      </w:pPr>
    </w:p>
    <w:p w:rsidR="00E400CC" w:rsidRPr="00222AE9" w:rsidP="0097533C">
      <w:pPr>
        <w:jc w:val="both"/>
        <w:rPr>
          <w:rFonts w:ascii="Verdana" w:hAnsi="Verdana"/>
          <w:i/>
          <w:iCs/>
          <w:sz w:val="22"/>
          <w:szCs w:val="22"/>
        </w:rPr>
      </w:pPr>
      <w:r w:rsidRPr="00222AE9">
        <w:rPr>
          <w:rFonts w:ascii="Verdana" w:hAnsi="Verdana"/>
          <w:i/>
          <w:iCs/>
          <w:sz w:val="22"/>
          <w:szCs w:val="22"/>
        </w:rPr>
        <w:t>Safer gambling messaging</w:t>
      </w:r>
    </w:p>
    <w:p w:rsidR="00E400CC" w:rsidRPr="00222AE9" w:rsidP="0097533C">
      <w:pPr>
        <w:pStyle w:val="ListParagraph"/>
        <w:numPr>
          <w:ilvl w:val="0"/>
          <w:numId w:val="1"/>
        </w:numPr>
        <w:ind w:left="714" w:hanging="357"/>
        <w:contextualSpacing w:val="0"/>
        <w:jc w:val="both"/>
        <w:rPr>
          <w:rFonts w:ascii="Verdana" w:hAnsi="Verdana"/>
          <w:sz w:val="22"/>
          <w:szCs w:val="22"/>
        </w:rPr>
      </w:pPr>
      <w:r w:rsidRPr="00222AE9">
        <w:rPr>
          <w:rFonts w:ascii="Verdana" w:hAnsi="Verdana"/>
          <w:sz w:val="22"/>
          <w:szCs w:val="22"/>
        </w:rPr>
        <w:t>Would an increase in the proportion of gambling adverts containing safer gambling messaging, or improvements in the form of this messaging, contribute to a reduction in gambling-related harm?</w:t>
      </w:r>
    </w:p>
    <w:p w:rsidR="00E9538C" w:rsidRPr="00222AE9" w:rsidP="00E9538C">
      <w:pPr>
        <w:jc w:val="both"/>
        <w:rPr>
          <w:rFonts w:ascii="Verdana" w:hAnsi="Verdana"/>
          <w:sz w:val="22"/>
          <w:szCs w:val="22"/>
        </w:rPr>
      </w:pPr>
      <w:r w:rsidRPr="00222AE9">
        <w:rPr>
          <w:rFonts w:ascii="Verdana" w:hAnsi="Verdana"/>
          <w:sz w:val="22"/>
          <w:szCs w:val="22"/>
        </w:rPr>
        <w:t xml:space="preserve">Bacta supports effective and evidence-based safer gambling messaging. However, messaging should form part of a wider framework rather than being treated as a complete </w:t>
      </w:r>
      <w:r w:rsidRPr="00222AE9">
        <w:rPr>
          <w:rFonts w:ascii="Verdana" w:hAnsi="Verdana"/>
          <w:sz w:val="22"/>
          <w:szCs w:val="22"/>
        </w:rPr>
        <w:t>solution in itself</w:t>
      </w:r>
      <w:r w:rsidRPr="00222AE9">
        <w:rPr>
          <w:rFonts w:ascii="Verdana" w:hAnsi="Verdana"/>
          <w:sz w:val="22"/>
          <w:szCs w:val="22"/>
        </w:rPr>
        <w:t>.</w:t>
      </w:r>
    </w:p>
    <w:p w:rsidR="00E9538C" w:rsidRPr="00222AE9" w:rsidP="00E9538C">
      <w:pPr>
        <w:jc w:val="both"/>
        <w:rPr>
          <w:rFonts w:ascii="Verdana" w:hAnsi="Verdana"/>
          <w:sz w:val="22"/>
          <w:szCs w:val="22"/>
        </w:rPr>
      </w:pPr>
      <w:r w:rsidRPr="00222AE9">
        <w:rPr>
          <w:rFonts w:ascii="Verdana" w:hAnsi="Verdana"/>
          <w:sz w:val="22"/>
          <w:szCs w:val="22"/>
        </w:rPr>
        <w:t>Bacta members already use safer gambling and support messaging in venues, including posters, leaflets, digital displays, machine messaging and staff-led interventions. Members also operate within the requirements and guidance set by the Gambling Commission, ASA and other relevant bodies.</w:t>
      </w:r>
    </w:p>
    <w:p w:rsidR="00E9538C" w:rsidRPr="00222AE9" w:rsidP="00E9538C">
      <w:pPr>
        <w:jc w:val="both"/>
        <w:rPr>
          <w:rFonts w:ascii="Verdana" w:hAnsi="Verdana"/>
          <w:sz w:val="22"/>
          <w:szCs w:val="22"/>
        </w:rPr>
      </w:pPr>
      <w:r w:rsidRPr="00222AE9">
        <w:rPr>
          <w:rFonts w:ascii="Verdana" w:hAnsi="Verdana"/>
          <w:sz w:val="22"/>
          <w:szCs w:val="22"/>
        </w:rPr>
        <w:t>In our sector, the most effective consumer protection comes from the combination of:</w:t>
      </w:r>
    </w:p>
    <w:p w:rsidR="00E9538C" w:rsidRPr="00222AE9" w:rsidP="00E9538C">
      <w:pPr>
        <w:pStyle w:val="ListParagraph"/>
        <w:numPr>
          <w:ilvl w:val="0"/>
          <w:numId w:val="14"/>
        </w:numPr>
        <w:jc w:val="both"/>
        <w:rPr>
          <w:rFonts w:ascii="Verdana" w:hAnsi="Verdana"/>
          <w:sz w:val="22"/>
          <w:szCs w:val="22"/>
        </w:rPr>
      </w:pPr>
      <w:r w:rsidRPr="00222AE9">
        <w:rPr>
          <w:rFonts w:ascii="Verdana" w:hAnsi="Verdana"/>
          <w:sz w:val="22"/>
          <w:szCs w:val="22"/>
        </w:rPr>
        <w:t>Clear safer gambling information.</w:t>
      </w:r>
    </w:p>
    <w:p w:rsidR="00E9538C" w:rsidRPr="00222AE9" w:rsidP="00E9538C">
      <w:pPr>
        <w:pStyle w:val="ListParagraph"/>
        <w:numPr>
          <w:ilvl w:val="0"/>
          <w:numId w:val="14"/>
        </w:numPr>
        <w:jc w:val="both"/>
        <w:rPr>
          <w:rFonts w:ascii="Verdana" w:hAnsi="Verdana"/>
          <w:sz w:val="22"/>
          <w:szCs w:val="22"/>
        </w:rPr>
      </w:pPr>
      <w:r w:rsidRPr="00222AE9">
        <w:rPr>
          <w:rFonts w:ascii="Verdana" w:hAnsi="Verdana"/>
          <w:sz w:val="22"/>
          <w:szCs w:val="22"/>
        </w:rPr>
        <w:t>Staff training.</w:t>
      </w:r>
    </w:p>
    <w:p w:rsidR="00E9538C" w:rsidRPr="00222AE9" w:rsidP="00E9538C">
      <w:pPr>
        <w:pStyle w:val="ListParagraph"/>
        <w:numPr>
          <w:ilvl w:val="0"/>
          <w:numId w:val="14"/>
        </w:numPr>
        <w:jc w:val="both"/>
        <w:rPr>
          <w:rFonts w:ascii="Verdana" w:hAnsi="Verdana"/>
          <w:sz w:val="22"/>
          <w:szCs w:val="22"/>
        </w:rPr>
      </w:pPr>
      <w:r w:rsidRPr="00222AE9">
        <w:rPr>
          <w:rFonts w:ascii="Verdana" w:hAnsi="Verdana"/>
          <w:sz w:val="22"/>
          <w:szCs w:val="22"/>
        </w:rPr>
        <w:t>Self-exclusion.</w:t>
      </w:r>
    </w:p>
    <w:p w:rsidR="00E9538C" w:rsidRPr="00222AE9" w:rsidP="00E9538C">
      <w:pPr>
        <w:pStyle w:val="ListParagraph"/>
        <w:numPr>
          <w:ilvl w:val="0"/>
          <w:numId w:val="14"/>
        </w:numPr>
        <w:jc w:val="both"/>
        <w:rPr>
          <w:rFonts w:ascii="Verdana" w:hAnsi="Verdana"/>
          <w:sz w:val="22"/>
          <w:szCs w:val="22"/>
        </w:rPr>
      </w:pPr>
      <w:r w:rsidRPr="00222AE9">
        <w:rPr>
          <w:rFonts w:ascii="Verdana" w:hAnsi="Verdana"/>
          <w:sz w:val="22"/>
          <w:szCs w:val="22"/>
        </w:rPr>
        <w:t>Customer interaction.</w:t>
      </w:r>
    </w:p>
    <w:p w:rsidR="00E9538C" w:rsidRPr="00222AE9" w:rsidP="00E9538C">
      <w:pPr>
        <w:pStyle w:val="ListParagraph"/>
        <w:numPr>
          <w:ilvl w:val="0"/>
          <w:numId w:val="14"/>
        </w:numPr>
        <w:jc w:val="both"/>
        <w:rPr>
          <w:rFonts w:ascii="Verdana" w:hAnsi="Verdana"/>
          <w:sz w:val="22"/>
          <w:szCs w:val="22"/>
        </w:rPr>
      </w:pPr>
      <w:r w:rsidRPr="00222AE9">
        <w:rPr>
          <w:rFonts w:ascii="Verdana" w:hAnsi="Verdana"/>
          <w:sz w:val="22"/>
          <w:szCs w:val="22"/>
        </w:rPr>
        <w:t>Venue supervision.</w:t>
      </w:r>
    </w:p>
    <w:p w:rsidR="00E9538C" w:rsidRPr="00222AE9" w:rsidP="00E9538C">
      <w:pPr>
        <w:pStyle w:val="ListParagraph"/>
        <w:numPr>
          <w:ilvl w:val="0"/>
          <w:numId w:val="14"/>
        </w:numPr>
        <w:jc w:val="both"/>
        <w:rPr>
          <w:rFonts w:ascii="Verdana" w:hAnsi="Verdana"/>
          <w:sz w:val="22"/>
          <w:szCs w:val="22"/>
        </w:rPr>
      </w:pPr>
      <w:r w:rsidRPr="00222AE9">
        <w:rPr>
          <w:rFonts w:ascii="Verdana" w:hAnsi="Verdana"/>
          <w:sz w:val="22"/>
          <w:szCs w:val="22"/>
        </w:rPr>
        <w:t>Signposting to support.</w:t>
      </w:r>
    </w:p>
    <w:p w:rsidR="00E9538C" w:rsidRPr="00222AE9" w:rsidP="00E9538C">
      <w:pPr>
        <w:pStyle w:val="ListParagraph"/>
        <w:numPr>
          <w:ilvl w:val="0"/>
          <w:numId w:val="14"/>
        </w:numPr>
        <w:jc w:val="both"/>
        <w:rPr>
          <w:rFonts w:ascii="Verdana" w:hAnsi="Verdana"/>
          <w:sz w:val="22"/>
          <w:szCs w:val="22"/>
        </w:rPr>
      </w:pPr>
      <w:r w:rsidRPr="00222AE9">
        <w:rPr>
          <w:rFonts w:ascii="Verdana" w:hAnsi="Verdana"/>
          <w:sz w:val="22"/>
          <w:szCs w:val="22"/>
        </w:rPr>
        <w:t>Machine-based player prompts.</w:t>
      </w:r>
    </w:p>
    <w:p w:rsidR="00E9538C" w:rsidRPr="00222AE9" w:rsidP="00E9538C">
      <w:pPr>
        <w:jc w:val="both"/>
        <w:rPr>
          <w:rFonts w:ascii="Verdana" w:hAnsi="Verdana"/>
          <w:sz w:val="22"/>
          <w:szCs w:val="22"/>
        </w:rPr>
      </w:pPr>
      <w:r w:rsidRPr="00222AE9">
        <w:rPr>
          <w:rFonts w:ascii="Verdana" w:hAnsi="Verdana"/>
          <w:sz w:val="22"/>
          <w:szCs w:val="22"/>
        </w:rPr>
        <w:t>The staffed nature of Bacta member venues is a core protection. Customers in land-based venues are in supervised environments where trained staff can observe behaviour, interact with customers and intervene where appropriate.</w:t>
      </w:r>
    </w:p>
    <w:p w:rsidR="00E9538C" w:rsidRPr="00222AE9" w:rsidP="00E9538C">
      <w:pPr>
        <w:jc w:val="both"/>
        <w:rPr>
          <w:rFonts w:ascii="Verdana" w:hAnsi="Verdana"/>
          <w:sz w:val="22"/>
          <w:szCs w:val="22"/>
        </w:rPr>
      </w:pPr>
      <w:r w:rsidRPr="00222AE9">
        <w:rPr>
          <w:rFonts w:ascii="Verdana" w:hAnsi="Verdana"/>
          <w:sz w:val="22"/>
          <w:szCs w:val="22"/>
        </w:rPr>
        <w:t>Bacta has also undertaken significant work to strengthen player protection across the sector, including enhanced staff training, strengthened self-exclusion procedures, improved in-venue messaging, collaboration with support organisations and the introduction of machine-based self-exclusion prompts.</w:t>
      </w:r>
    </w:p>
    <w:p w:rsidR="001029BE" w:rsidRPr="00222AE9" w:rsidP="00E9538C">
      <w:pPr>
        <w:jc w:val="both"/>
        <w:rPr>
          <w:rFonts w:ascii="Verdana" w:hAnsi="Verdana"/>
          <w:sz w:val="22"/>
          <w:szCs w:val="22"/>
        </w:rPr>
      </w:pPr>
      <w:r w:rsidRPr="00222AE9">
        <w:rPr>
          <w:rFonts w:ascii="Verdana" w:hAnsi="Verdana"/>
          <w:sz w:val="22"/>
          <w:szCs w:val="22"/>
        </w:rPr>
        <w:t>Messaging has value, but it is most effective when combined with practical safeguards, trained staff and clear routes to support.</w:t>
      </w:r>
    </w:p>
    <w:p w:rsidR="00DA015F" w:rsidRPr="00222AE9" w:rsidP="0097533C">
      <w:pPr>
        <w:pStyle w:val="ListParagraph"/>
        <w:numPr>
          <w:ilvl w:val="0"/>
          <w:numId w:val="1"/>
        </w:numPr>
        <w:spacing w:line="240" w:lineRule="auto"/>
        <w:contextualSpacing w:val="0"/>
        <w:jc w:val="both"/>
        <w:rPr>
          <w:rFonts w:ascii="Verdana" w:hAnsi="Verdana"/>
          <w:sz w:val="22"/>
          <w:szCs w:val="22"/>
        </w:rPr>
      </w:pPr>
      <w:r w:rsidRPr="00222AE9">
        <w:rPr>
          <w:rFonts w:ascii="Verdana" w:eastAsia="Times New Roman" w:hAnsi="Verdana"/>
          <w:sz w:val="22"/>
          <w:szCs w:val="22"/>
        </w:rPr>
        <w:t xml:space="preserve">Following </w:t>
      </w:r>
      <w:r w:rsidRPr="00222AE9">
        <w:rPr>
          <w:rFonts w:ascii="Verdana" w:eastAsia="Times New Roman" w:hAnsi="Verdana"/>
          <w:sz w:val="22"/>
          <w:szCs w:val="22"/>
        </w:rPr>
        <w:t>GambleAware’s</w:t>
      </w:r>
      <w:r w:rsidRPr="00222AE9">
        <w:rPr>
          <w:rFonts w:ascii="Verdana" w:eastAsia="Times New Roman" w:hAnsi="Verdana"/>
          <w:sz w:val="22"/>
          <w:szCs w:val="22"/>
        </w:rPr>
        <w:t xml:space="preserve"> recent closure,</w:t>
      </w:r>
      <w:r>
        <w:rPr>
          <w:rStyle w:val="FootnoteReference"/>
          <w:rFonts w:ascii="Verdana" w:eastAsia="Times New Roman" w:hAnsi="Verdana"/>
          <w:sz w:val="22"/>
          <w:szCs w:val="22"/>
        </w:rPr>
        <w:footnoteReference w:id="5"/>
      </w:r>
      <w:r w:rsidRPr="00222AE9" w:rsidR="00E16F88">
        <w:rPr>
          <w:rFonts w:ascii="Verdana" w:eastAsia="Times New Roman" w:hAnsi="Verdana"/>
          <w:sz w:val="22"/>
          <w:szCs w:val="22"/>
        </w:rPr>
        <w:t> </w:t>
      </w:r>
      <w:r w:rsidRPr="00222AE9">
        <w:rPr>
          <w:rFonts w:ascii="Verdana" w:eastAsia="Times New Roman" w:hAnsi="Verdana"/>
          <w:sz w:val="22"/>
          <w:szCs w:val="22"/>
        </w:rPr>
        <w:t>w</w:t>
      </w:r>
      <w:r w:rsidRPr="00222AE9" w:rsidR="00827639">
        <w:rPr>
          <w:rFonts w:ascii="Verdana" w:eastAsia="Times New Roman" w:hAnsi="Verdana"/>
          <w:sz w:val="22"/>
          <w:szCs w:val="22"/>
        </w:rPr>
        <w:t xml:space="preserve">hat steps </w:t>
      </w:r>
      <w:r w:rsidRPr="00222AE9" w:rsidR="00BC00D0">
        <w:rPr>
          <w:rFonts w:ascii="Verdana" w:eastAsia="Times New Roman" w:hAnsi="Verdana"/>
          <w:sz w:val="22"/>
          <w:szCs w:val="22"/>
        </w:rPr>
        <w:t>have been</w:t>
      </w:r>
      <w:r w:rsidRPr="00222AE9" w:rsidR="00827639">
        <w:rPr>
          <w:rFonts w:ascii="Verdana" w:eastAsia="Times New Roman" w:hAnsi="Verdana"/>
          <w:sz w:val="22"/>
          <w:szCs w:val="22"/>
        </w:rPr>
        <w:t xml:space="preserve"> taken to remove</w:t>
      </w:r>
      <w:r w:rsidRPr="00222AE9" w:rsidR="00EB452F">
        <w:rPr>
          <w:rFonts w:ascii="Verdana" w:eastAsia="Times New Roman" w:hAnsi="Verdana"/>
          <w:sz w:val="22"/>
          <w:szCs w:val="22"/>
        </w:rPr>
        <w:t xml:space="preserve"> </w:t>
      </w:r>
      <w:r w:rsidRPr="00222AE9" w:rsidR="00EB452F">
        <w:rPr>
          <w:rFonts w:ascii="Verdana" w:eastAsia="Times New Roman" w:hAnsi="Verdana"/>
          <w:sz w:val="22"/>
          <w:szCs w:val="22"/>
        </w:rPr>
        <w:t>GambleAware</w:t>
      </w:r>
      <w:r w:rsidRPr="00222AE9" w:rsidR="00EB452F">
        <w:rPr>
          <w:rFonts w:ascii="Verdana" w:eastAsia="Times New Roman" w:hAnsi="Verdana"/>
          <w:sz w:val="22"/>
          <w:szCs w:val="22"/>
        </w:rPr>
        <w:t xml:space="preserve"> and </w:t>
      </w:r>
      <w:r w:rsidRPr="00222AE9" w:rsidR="00827639">
        <w:rPr>
          <w:rFonts w:ascii="Verdana" w:eastAsia="Times New Roman" w:hAnsi="Verdana"/>
          <w:sz w:val="22"/>
          <w:szCs w:val="22"/>
        </w:rPr>
        <w:t>BeGambleAware</w:t>
      </w:r>
      <w:r w:rsidRPr="00222AE9" w:rsidR="00827639">
        <w:rPr>
          <w:rFonts w:ascii="Verdana" w:eastAsia="Times New Roman" w:hAnsi="Verdana"/>
          <w:sz w:val="22"/>
          <w:szCs w:val="22"/>
        </w:rPr>
        <w:t xml:space="preserve"> messaging from existing advertisements</w:t>
      </w:r>
      <w:r w:rsidRPr="00222AE9">
        <w:rPr>
          <w:rFonts w:ascii="Verdana" w:eastAsia="Times New Roman" w:hAnsi="Verdana"/>
          <w:sz w:val="22"/>
          <w:szCs w:val="22"/>
        </w:rPr>
        <w:t xml:space="preserve"> and to replace these with </w:t>
      </w:r>
      <w:r w:rsidRPr="00222AE9" w:rsidR="00AA3BE6">
        <w:rPr>
          <w:rFonts w:ascii="Verdana" w:eastAsia="Times New Roman" w:hAnsi="Verdana"/>
          <w:sz w:val="22"/>
          <w:szCs w:val="22"/>
        </w:rPr>
        <w:t xml:space="preserve">appropriate signposts to </w:t>
      </w:r>
      <w:r w:rsidRPr="00222AE9" w:rsidR="00E2317D">
        <w:rPr>
          <w:rFonts w:ascii="Verdana" w:eastAsia="Times New Roman" w:hAnsi="Verdana"/>
          <w:sz w:val="22"/>
          <w:szCs w:val="22"/>
        </w:rPr>
        <w:t>support</w:t>
      </w:r>
      <w:r w:rsidRPr="00222AE9" w:rsidR="00AA3BE6">
        <w:rPr>
          <w:rFonts w:ascii="Verdana" w:eastAsia="Times New Roman" w:hAnsi="Verdana"/>
          <w:sz w:val="22"/>
          <w:szCs w:val="22"/>
        </w:rPr>
        <w:t xml:space="preserve"> for </w:t>
      </w:r>
      <w:r w:rsidRPr="00222AE9" w:rsidR="00E2317D">
        <w:rPr>
          <w:rFonts w:ascii="Verdana" w:eastAsia="Times New Roman" w:hAnsi="Verdana"/>
          <w:sz w:val="22"/>
          <w:szCs w:val="22"/>
        </w:rPr>
        <w:t xml:space="preserve">those </w:t>
      </w:r>
      <w:r w:rsidRPr="00222AE9" w:rsidR="00C31A32">
        <w:rPr>
          <w:rFonts w:ascii="Verdana" w:eastAsia="Times New Roman" w:hAnsi="Verdana"/>
          <w:sz w:val="22"/>
          <w:szCs w:val="22"/>
        </w:rPr>
        <w:t>at risk of</w:t>
      </w:r>
      <w:r w:rsidRPr="00222AE9" w:rsidR="00E2317D">
        <w:rPr>
          <w:rFonts w:ascii="Verdana" w:eastAsia="Times New Roman" w:hAnsi="Verdana"/>
          <w:sz w:val="22"/>
          <w:szCs w:val="22"/>
        </w:rPr>
        <w:t xml:space="preserve"> gambling-related harm</w:t>
      </w:r>
      <w:r w:rsidRPr="00222AE9" w:rsidR="00827639">
        <w:rPr>
          <w:rFonts w:ascii="Verdana" w:eastAsia="Times New Roman" w:hAnsi="Verdana"/>
          <w:sz w:val="22"/>
          <w:szCs w:val="22"/>
        </w:rPr>
        <w:t>?</w:t>
      </w:r>
    </w:p>
    <w:p w:rsidR="002E4204" w:rsidRPr="00222AE9" w:rsidP="002E4204">
      <w:pPr>
        <w:spacing w:line="240" w:lineRule="auto"/>
        <w:jc w:val="both"/>
        <w:rPr>
          <w:rFonts w:ascii="Verdana" w:hAnsi="Verdana"/>
          <w:sz w:val="22"/>
          <w:szCs w:val="22"/>
        </w:rPr>
      </w:pPr>
      <w:r w:rsidRPr="00222AE9">
        <w:rPr>
          <w:rFonts w:ascii="Verdana" w:hAnsi="Verdana"/>
          <w:sz w:val="22"/>
          <w:szCs w:val="22"/>
        </w:rPr>
        <w:t>Bacta will continue to follow the direction of the Gambling Commission and other relevant bodies on safer gambling signposting.</w:t>
      </w:r>
    </w:p>
    <w:p w:rsidR="002E4204" w:rsidRPr="00222AE9" w:rsidP="002E4204">
      <w:pPr>
        <w:spacing w:line="240" w:lineRule="auto"/>
        <w:jc w:val="both"/>
        <w:rPr>
          <w:rFonts w:ascii="Verdana" w:hAnsi="Verdana"/>
          <w:sz w:val="22"/>
          <w:szCs w:val="22"/>
        </w:rPr>
      </w:pPr>
      <w:r w:rsidRPr="00222AE9">
        <w:rPr>
          <w:rFonts w:ascii="Verdana" w:hAnsi="Verdana"/>
          <w:sz w:val="22"/>
          <w:szCs w:val="22"/>
        </w:rPr>
        <w:t xml:space="preserve">Our understanding is that operators should </w:t>
      </w:r>
      <w:r w:rsidRPr="00222AE9" w:rsidR="00EA4125">
        <w:rPr>
          <w:rFonts w:ascii="Verdana" w:hAnsi="Verdana"/>
          <w:sz w:val="22"/>
          <w:szCs w:val="22"/>
        </w:rPr>
        <w:t xml:space="preserve">have clear </w:t>
      </w:r>
      <w:r w:rsidRPr="00222AE9">
        <w:rPr>
          <w:rFonts w:ascii="Verdana" w:hAnsi="Verdana"/>
          <w:sz w:val="22"/>
          <w:szCs w:val="22"/>
        </w:rPr>
        <w:t xml:space="preserve">instruction </w:t>
      </w:r>
      <w:r w:rsidRPr="00222AE9" w:rsidR="00EA4125">
        <w:rPr>
          <w:rFonts w:ascii="Verdana" w:hAnsi="Verdana"/>
          <w:sz w:val="22"/>
          <w:szCs w:val="22"/>
        </w:rPr>
        <w:t>from</w:t>
      </w:r>
      <w:r w:rsidRPr="00222AE9">
        <w:rPr>
          <w:rFonts w:ascii="Verdana" w:hAnsi="Verdana"/>
          <w:sz w:val="22"/>
          <w:szCs w:val="22"/>
        </w:rPr>
        <w:t xml:space="preserve"> the Gambling Commission or relevant authorities. It is important that any transition is managed carefully so customers continue to receive clear and accurate signposting to support.</w:t>
      </w:r>
    </w:p>
    <w:p w:rsidR="001029BE" w:rsidRPr="00222AE9" w:rsidP="002E4204">
      <w:pPr>
        <w:spacing w:line="240" w:lineRule="auto"/>
        <w:jc w:val="both"/>
        <w:rPr>
          <w:rFonts w:ascii="Verdana" w:hAnsi="Verdana"/>
          <w:sz w:val="22"/>
          <w:szCs w:val="22"/>
        </w:rPr>
      </w:pPr>
      <w:r w:rsidRPr="00222AE9">
        <w:rPr>
          <w:rFonts w:ascii="Verdana" w:hAnsi="Verdana"/>
          <w:sz w:val="22"/>
          <w:szCs w:val="22"/>
        </w:rPr>
        <w:t>Bacta will provide members with updated guidance and materials as required, ensuring that customers remain directed towards appropriate support services during any transition.</w:t>
      </w:r>
    </w:p>
    <w:p w:rsidR="00E400CC" w:rsidRPr="00222AE9" w:rsidP="0097533C">
      <w:pPr>
        <w:jc w:val="both"/>
        <w:rPr>
          <w:rFonts w:ascii="Verdana" w:hAnsi="Verdana"/>
          <w:i/>
          <w:iCs/>
          <w:sz w:val="22"/>
          <w:szCs w:val="22"/>
        </w:rPr>
      </w:pPr>
      <w:r w:rsidRPr="00222AE9">
        <w:rPr>
          <w:rFonts w:ascii="Verdana" w:hAnsi="Verdana"/>
          <w:i/>
          <w:iCs/>
          <w:sz w:val="22"/>
          <w:szCs w:val="22"/>
        </w:rPr>
        <w:t>Advertising in sport</w:t>
      </w:r>
    </w:p>
    <w:p w:rsidR="00E400CC" w:rsidRPr="00222AE9" w:rsidP="0097533C">
      <w:pPr>
        <w:pStyle w:val="ListParagraph"/>
        <w:numPr>
          <w:ilvl w:val="0"/>
          <w:numId w:val="1"/>
        </w:numPr>
        <w:contextualSpacing w:val="0"/>
        <w:jc w:val="both"/>
        <w:rPr>
          <w:rFonts w:ascii="Verdana" w:hAnsi="Verdana"/>
          <w:sz w:val="22"/>
          <w:szCs w:val="22"/>
        </w:rPr>
      </w:pPr>
      <w:r w:rsidRPr="00222AE9">
        <w:rPr>
          <w:rFonts w:ascii="Verdana" w:hAnsi="Verdana"/>
          <w:sz w:val="22"/>
          <w:szCs w:val="22"/>
        </w:rPr>
        <w:t>Have self-regulatory measures reduced exposure to gambling advertisements during live sports programmes?</w:t>
      </w:r>
    </w:p>
    <w:p w:rsidR="001029BE" w:rsidRPr="00222AE9" w:rsidP="0097533C">
      <w:pPr>
        <w:jc w:val="both"/>
        <w:rPr>
          <w:rFonts w:ascii="Verdana" w:hAnsi="Verdana"/>
          <w:sz w:val="22"/>
          <w:szCs w:val="22"/>
        </w:rPr>
      </w:pPr>
      <w:r w:rsidRPr="00222AE9">
        <w:rPr>
          <w:rFonts w:ascii="Verdana" w:hAnsi="Verdana"/>
          <w:sz w:val="22"/>
          <w:szCs w:val="22"/>
        </w:rPr>
        <w:t>Bacta does not have sufficient evidence to comment on the impact of sports advertising restrictions.</w:t>
      </w:r>
    </w:p>
    <w:p w:rsidR="004931A0" w:rsidRPr="00222AE9" w:rsidP="004931A0">
      <w:pPr>
        <w:jc w:val="both"/>
        <w:rPr>
          <w:rFonts w:ascii="Verdana" w:hAnsi="Verdana"/>
          <w:sz w:val="22"/>
          <w:szCs w:val="22"/>
        </w:rPr>
      </w:pPr>
      <w:r w:rsidRPr="00222AE9">
        <w:rPr>
          <w:rFonts w:ascii="Verdana" w:hAnsi="Verdana"/>
          <w:sz w:val="22"/>
          <w:szCs w:val="22"/>
        </w:rPr>
        <w:t>However, any assessment should consider the full advertising environment, including broadcast, sponsorship, online platforms, social media and illegal operators. It should also consider whether restrictions have reduced harmful exposure or simply displaced visibility from one channel to another.</w:t>
      </w:r>
    </w:p>
    <w:p w:rsidR="004931A0" w:rsidRPr="00222AE9" w:rsidP="004931A0">
      <w:pPr>
        <w:jc w:val="both"/>
        <w:rPr>
          <w:rFonts w:ascii="Verdana" w:hAnsi="Verdana"/>
          <w:sz w:val="22"/>
          <w:szCs w:val="22"/>
        </w:rPr>
      </w:pPr>
      <w:r w:rsidRPr="00222AE9">
        <w:rPr>
          <w:rFonts w:ascii="Verdana" w:hAnsi="Verdana"/>
          <w:sz w:val="22"/>
          <w:szCs w:val="22"/>
        </w:rPr>
        <w:t>It should be recognised that children are not only exposed to advertising before 9pm. A simple watershed approach may be increasingly outdated given modern viewing habits, streaming, social media and the fact that many under-18s consume media after 9pm.</w:t>
      </w:r>
    </w:p>
    <w:p w:rsidR="00E400CC" w:rsidRPr="00222AE9" w:rsidP="0097533C">
      <w:pPr>
        <w:pStyle w:val="ListParagraph"/>
        <w:numPr>
          <w:ilvl w:val="0"/>
          <w:numId w:val="1"/>
        </w:numPr>
        <w:contextualSpacing w:val="0"/>
        <w:jc w:val="both"/>
        <w:rPr>
          <w:rFonts w:ascii="Verdana" w:hAnsi="Verdana"/>
          <w:sz w:val="22"/>
          <w:szCs w:val="22"/>
        </w:rPr>
      </w:pPr>
      <w:r w:rsidRPr="00222AE9">
        <w:rPr>
          <w:rFonts w:ascii="Verdana" w:hAnsi="Verdana"/>
          <w:sz w:val="22"/>
          <w:szCs w:val="22"/>
        </w:rPr>
        <w:t>In light of</w:t>
      </w:r>
      <w:r w:rsidRPr="00222AE9">
        <w:rPr>
          <w:rFonts w:ascii="Verdana" w:hAnsi="Verdana"/>
          <w:sz w:val="22"/>
          <w:szCs w:val="22"/>
        </w:rPr>
        <w:t xml:space="preserve"> developments since 2020, what would be the advantages and disadvantages of:</w:t>
      </w:r>
    </w:p>
    <w:p w:rsidR="00E400CC" w:rsidRPr="00222AE9" w:rsidP="0097533C">
      <w:pPr>
        <w:pStyle w:val="ListParagraph"/>
        <w:numPr>
          <w:ilvl w:val="0"/>
          <w:numId w:val="6"/>
        </w:numPr>
        <w:spacing w:line="276" w:lineRule="auto"/>
        <w:contextualSpacing w:val="0"/>
        <w:jc w:val="both"/>
        <w:rPr>
          <w:rFonts w:ascii="Verdana" w:hAnsi="Verdana"/>
          <w:sz w:val="22"/>
          <w:szCs w:val="22"/>
        </w:rPr>
      </w:pPr>
      <w:r w:rsidRPr="00222AE9">
        <w:rPr>
          <w:rFonts w:ascii="Verdana" w:hAnsi="Verdana"/>
          <w:sz w:val="22"/>
          <w:szCs w:val="22"/>
        </w:rPr>
        <w:t>Prohibiting gambling advertising on sports kits and in or near sports venues (</w:t>
      </w:r>
      <w:r w:rsidRPr="00222AE9">
        <w:rPr>
          <w:rFonts w:ascii="Verdana" w:hAnsi="Verdana"/>
          <w:sz w:val="22"/>
          <w:szCs w:val="22"/>
        </w:rPr>
        <w:t>with the exception of</w:t>
      </w:r>
      <w:r w:rsidRPr="00222AE9">
        <w:rPr>
          <w:rFonts w:ascii="Verdana" w:hAnsi="Verdana"/>
          <w:sz w:val="22"/>
          <w:szCs w:val="22"/>
        </w:rPr>
        <w:t xml:space="preserve"> horseracing and greyhound racing), as recommended by the former committee;</w:t>
      </w:r>
      <w:r>
        <w:rPr>
          <w:rStyle w:val="FootnoteReference"/>
          <w:rFonts w:ascii="Verdana" w:hAnsi="Verdana"/>
          <w:sz w:val="22"/>
          <w:szCs w:val="22"/>
        </w:rPr>
        <w:footnoteReference w:id="6"/>
      </w:r>
    </w:p>
    <w:p w:rsidR="00E400CC" w:rsidRPr="00222AE9" w:rsidP="0097533C">
      <w:pPr>
        <w:pStyle w:val="ListParagraph"/>
        <w:numPr>
          <w:ilvl w:val="0"/>
          <w:numId w:val="6"/>
        </w:numPr>
        <w:spacing w:line="276" w:lineRule="auto"/>
        <w:contextualSpacing w:val="0"/>
        <w:jc w:val="both"/>
        <w:rPr>
          <w:rFonts w:ascii="Verdana" w:hAnsi="Verdana"/>
          <w:sz w:val="22"/>
          <w:szCs w:val="22"/>
        </w:rPr>
      </w:pPr>
      <w:r w:rsidRPr="00222AE9">
        <w:rPr>
          <w:rFonts w:ascii="Verdana" w:hAnsi="Verdana"/>
          <w:sz w:val="22"/>
          <w:szCs w:val="22"/>
        </w:rPr>
        <w:t>Prohibiting ‘bet to view’ inducements, as recommended by the former committee;</w:t>
      </w:r>
      <w:r>
        <w:rPr>
          <w:rStyle w:val="FootnoteReference"/>
          <w:rFonts w:ascii="Verdana" w:hAnsi="Verdana"/>
          <w:sz w:val="22"/>
          <w:szCs w:val="22"/>
        </w:rPr>
        <w:footnoteReference w:id="7"/>
      </w:r>
      <w:r w:rsidRPr="00222AE9">
        <w:rPr>
          <w:rFonts w:ascii="Verdana" w:hAnsi="Verdana"/>
          <w:sz w:val="22"/>
          <w:szCs w:val="22"/>
        </w:rPr>
        <w:t xml:space="preserve"> and,</w:t>
      </w:r>
    </w:p>
    <w:p w:rsidR="00E400CC" w:rsidRPr="00222AE9" w:rsidP="0097533C">
      <w:pPr>
        <w:pStyle w:val="ListParagraph"/>
        <w:numPr>
          <w:ilvl w:val="0"/>
          <w:numId w:val="6"/>
        </w:numPr>
        <w:spacing w:line="276" w:lineRule="auto"/>
        <w:contextualSpacing w:val="0"/>
        <w:jc w:val="both"/>
        <w:rPr>
          <w:rFonts w:ascii="Verdana" w:hAnsi="Verdana"/>
          <w:sz w:val="22"/>
          <w:szCs w:val="22"/>
        </w:rPr>
      </w:pPr>
      <w:r w:rsidRPr="00222AE9">
        <w:rPr>
          <w:rFonts w:ascii="Verdana" w:hAnsi="Verdana"/>
          <w:sz w:val="22"/>
          <w:szCs w:val="22"/>
        </w:rPr>
        <w:t>Introducing a mandatory element to the current voluntary restriction on broadcast adverts by gambling operators during live sports coverage?</w:t>
      </w:r>
    </w:p>
    <w:p w:rsidR="00A900DA" w:rsidRPr="00222AE9" w:rsidP="00A900DA">
      <w:pPr>
        <w:spacing w:line="276" w:lineRule="auto"/>
        <w:jc w:val="both"/>
        <w:rPr>
          <w:rFonts w:ascii="Verdana" w:hAnsi="Verdana"/>
          <w:sz w:val="22"/>
          <w:szCs w:val="22"/>
        </w:rPr>
      </w:pPr>
      <w:r w:rsidRPr="00222AE9">
        <w:rPr>
          <w:rFonts w:ascii="Verdana" w:hAnsi="Verdana"/>
          <w:sz w:val="22"/>
          <w:szCs w:val="22"/>
        </w:rPr>
        <w:t>Bacta does not represent sports betting operators and therefore has limited direct evidence on these measures.</w:t>
      </w:r>
    </w:p>
    <w:p w:rsidR="001029BE" w:rsidRPr="00222AE9" w:rsidP="00A900DA">
      <w:pPr>
        <w:spacing w:line="276" w:lineRule="auto"/>
        <w:jc w:val="both"/>
        <w:rPr>
          <w:rFonts w:ascii="Verdana" w:hAnsi="Verdana"/>
          <w:sz w:val="22"/>
          <w:szCs w:val="22"/>
        </w:rPr>
      </w:pPr>
      <w:r w:rsidRPr="00222AE9">
        <w:rPr>
          <w:rFonts w:ascii="Verdana" w:hAnsi="Verdana"/>
          <w:sz w:val="22"/>
          <w:szCs w:val="22"/>
        </w:rPr>
        <w:t xml:space="preserve">However, Bacta would caution against drawing artificial distinctions between sport and non-sport advertising without clear evidence. </w:t>
      </w:r>
    </w:p>
    <w:p w:rsidR="00E400CC" w:rsidRPr="00222AE9" w:rsidP="0097533C">
      <w:pPr>
        <w:spacing w:line="276" w:lineRule="auto"/>
        <w:jc w:val="both"/>
        <w:rPr>
          <w:rFonts w:ascii="Verdana" w:hAnsi="Verdana"/>
          <w:i/>
          <w:iCs/>
          <w:sz w:val="22"/>
          <w:szCs w:val="22"/>
        </w:rPr>
      </w:pPr>
      <w:r w:rsidRPr="00222AE9">
        <w:rPr>
          <w:rFonts w:ascii="Verdana" w:hAnsi="Verdana"/>
          <w:i/>
          <w:iCs/>
          <w:sz w:val="22"/>
          <w:szCs w:val="22"/>
        </w:rPr>
        <w:t>Broadcast advertising</w:t>
      </w:r>
    </w:p>
    <w:p w:rsidR="00E400CC" w:rsidRPr="00222AE9" w:rsidP="0097533C">
      <w:pPr>
        <w:pStyle w:val="ListParagraph"/>
        <w:numPr>
          <w:ilvl w:val="0"/>
          <w:numId w:val="1"/>
        </w:numPr>
        <w:spacing w:line="276" w:lineRule="auto"/>
        <w:contextualSpacing w:val="0"/>
        <w:jc w:val="both"/>
        <w:rPr>
          <w:rFonts w:ascii="Verdana" w:hAnsi="Verdana"/>
          <w:sz w:val="22"/>
          <w:szCs w:val="22"/>
        </w:rPr>
      </w:pPr>
      <w:r w:rsidRPr="00222AE9">
        <w:rPr>
          <w:rFonts w:ascii="Verdana" w:hAnsi="Verdana"/>
          <w:sz w:val="22"/>
          <w:szCs w:val="22"/>
        </w:rPr>
        <w:t>Would further restrictions on broadcast advertising in the pre-9pm watershed period, and application of similar restrictions to online advertising, reduce exposure of under-18s?</w:t>
      </w:r>
    </w:p>
    <w:p w:rsidR="00973776" w:rsidRPr="00222AE9" w:rsidP="00973776">
      <w:pPr>
        <w:spacing w:line="276" w:lineRule="auto"/>
        <w:jc w:val="both"/>
        <w:rPr>
          <w:rFonts w:ascii="Verdana" w:hAnsi="Verdana"/>
          <w:sz w:val="22"/>
          <w:szCs w:val="22"/>
        </w:rPr>
      </w:pPr>
      <w:r w:rsidRPr="00222AE9">
        <w:rPr>
          <w:rFonts w:ascii="Verdana" w:hAnsi="Verdana"/>
          <w:sz w:val="22"/>
          <w:szCs w:val="22"/>
        </w:rPr>
        <w:t>Further restrictions may reduce some exposure, but the likely effect should not be overstated.</w:t>
      </w:r>
    </w:p>
    <w:p w:rsidR="00973776" w:rsidRPr="00222AE9" w:rsidP="00973776">
      <w:pPr>
        <w:spacing w:line="276" w:lineRule="auto"/>
        <w:jc w:val="both"/>
        <w:rPr>
          <w:rFonts w:ascii="Verdana" w:hAnsi="Verdana"/>
          <w:sz w:val="22"/>
          <w:szCs w:val="22"/>
        </w:rPr>
      </w:pPr>
      <w:r w:rsidRPr="00222AE9">
        <w:rPr>
          <w:rFonts w:ascii="Verdana" w:hAnsi="Verdana"/>
          <w:sz w:val="22"/>
          <w:szCs w:val="22"/>
        </w:rPr>
        <w:t>The 9pm watershed is an increasingly blunt tool. Many under-18s watch television, streaming services, and online content after 9pm. Conversely, lawful adult audiences consume media throughout the day.</w:t>
      </w:r>
    </w:p>
    <w:p w:rsidR="00973776" w:rsidRPr="00222AE9" w:rsidP="00973776">
      <w:pPr>
        <w:spacing w:line="276" w:lineRule="auto"/>
        <w:jc w:val="both"/>
        <w:rPr>
          <w:rFonts w:ascii="Verdana" w:hAnsi="Verdana"/>
          <w:sz w:val="22"/>
          <w:szCs w:val="22"/>
        </w:rPr>
      </w:pPr>
      <w:r w:rsidRPr="00222AE9">
        <w:rPr>
          <w:rFonts w:ascii="Verdana" w:hAnsi="Verdana"/>
          <w:sz w:val="22"/>
          <w:szCs w:val="22"/>
        </w:rPr>
        <w:t xml:space="preserve">Some </w:t>
      </w:r>
      <w:r w:rsidRPr="00222AE9">
        <w:rPr>
          <w:rFonts w:ascii="Verdana" w:hAnsi="Verdana"/>
          <w:sz w:val="22"/>
          <w:szCs w:val="22"/>
        </w:rPr>
        <w:t>Bacta members use broadcast and radio advertising to promote lawful, regulated businesses. Any restrictions should therefore be evidence-led and carefully targeted. The test should be whether they materially reduce harm, not simply whether they reduce all visibility of licensed gambling businesses.</w:t>
      </w:r>
    </w:p>
    <w:p w:rsidR="001029BE" w:rsidRPr="00222AE9" w:rsidP="00973776">
      <w:pPr>
        <w:spacing w:line="276" w:lineRule="auto"/>
        <w:jc w:val="both"/>
        <w:rPr>
          <w:rFonts w:ascii="Verdana" w:hAnsi="Verdana"/>
          <w:sz w:val="22"/>
          <w:szCs w:val="22"/>
        </w:rPr>
      </w:pPr>
      <w:r w:rsidRPr="00222AE9">
        <w:rPr>
          <w:rFonts w:ascii="Verdana" w:hAnsi="Verdana"/>
          <w:sz w:val="22"/>
          <w:szCs w:val="22"/>
        </w:rPr>
        <w:t>It is also important that proposals do not unintentionally restrict safer gambling messaging, venue information or lawful customer communications.</w:t>
      </w:r>
    </w:p>
    <w:p w:rsidR="00E400CC" w:rsidRPr="00222AE9" w:rsidP="0097533C">
      <w:pPr>
        <w:pStyle w:val="ListParagraph"/>
        <w:numPr>
          <w:ilvl w:val="0"/>
          <w:numId w:val="1"/>
        </w:numPr>
        <w:spacing w:line="276" w:lineRule="auto"/>
        <w:contextualSpacing w:val="0"/>
        <w:jc w:val="both"/>
        <w:rPr>
          <w:rFonts w:ascii="Verdana" w:hAnsi="Verdana"/>
          <w:sz w:val="22"/>
          <w:szCs w:val="22"/>
        </w:rPr>
      </w:pPr>
      <w:r w:rsidRPr="00222AE9">
        <w:rPr>
          <w:rFonts w:ascii="Verdana" w:hAnsi="Verdana"/>
          <w:sz w:val="22"/>
          <w:szCs w:val="22"/>
        </w:rPr>
        <w:t>What would be the benefits and risks of a ban on sponsorship by gambling operators of non-sport TV and radio programmes?</w:t>
      </w:r>
    </w:p>
    <w:p w:rsidR="00C45472" w:rsidRPr="00222AE9" w:rsidP="00C45472">
      <w:pPr>
        <w:spacing w:line="276" w:lineRule="auto"/>
        <w:jc w:val="both"/>
        <w:rPr>
          <w:rFonts w:ascii="Verdana" w:hAnsi="Verdana"/>
          <w:sz w:val="22"/>
          <w:szCs w:val="22"/>
        </w:rPr>
      </w:pPr>
      <w:r w:rsidRPr="00222AE9">
        <w:rPr>
          <w:rFonts w:ascii="Verdana" w:hAnsi="Verdana"/>
          <w:sz w:val="22"/>
          <w:szCs w:val="22"/>
        </w:rPr>
        <w:t>Bacta does not believe there is a clear policy basis for distinguishing between sport and non-sport sponsorship without a detailed assessment of audience, product and risk.</w:t>
      </w:r>
    </w:p>
    <w:p w:rsidR="00C45472" w:rsidRPr="00222AE9" w:rsidP="00C45472">
      <w:pPr>
        <w:spacing w:line="276" w:lineRule="auto"/>
        <w:jc w:val="both"/>
        <w:rPr>
          <w:rFonts w:ascii="Verdana" w:hAnsi="Verdana"/>
          <w:sz w:val="22"/>
          <w:szCs w:val="22"/>
        </w:rPr>
      </w:pPr>
      <w:r w:rsidRPr="00222AE9">
        <w:rPr>
          <w:rFonts w:ascii="Verdana" w:hAnsi="Verdana"/>
          <w:sz w:val="22"/>
          <w:szCs w:val="22"/>
        </w:rPr>
        <w:t>A broad ban could reduce the ability of licensed operators to promote lawful services and safer gambling messages, while doing little to affect illegal operators.</w:t>
      </w:r>
    </w:p>
    <w:p w:rsidR="001029BE" w:rsidRPr="00222AE9" w:rsidP="00C45472">
      <w:pPr>
        <w:spacing w:line="276" w:lineRule="auto"/>
        <w:jc w:val="both"/>
        <w:rPr>
          <w:rFonts w:ascii="Verdana" w:hAnsi="Verdana"/>
          <w:sz w:val="22"/>
          <w:szCs w:val="22"/>
        </w:rPr>
      </w:pPr>
      <w:r w:rsidRPr="00222AE9">
        <w:rPr>
          <w:rFonts w:ascii="Verdana" w:hAnsi="Verdana"/>
          <w:sz w:val="22"/>
          <w:szCs w:val="22"/>
        </w:rPr>
        <w:t>Any such measure should be justified by clear evidence and should apply consistently across comparable risks.</w:t>
      </w:r>
    </w:p>
    <w:p w:rsidR="00E400CC" w:rsidRPr="00222AE9" w:rsidP="0097533C">
      <w:pPr>
        <w:spacing w:line="276" w:lineRule="auto"/>
        <w:jc w:val="both"/>
        <w:rPr>
          <w:rFonts w:ascii="Verdana" w:hAnsi="Verdana"/>
          <w:i/>
          <w:iCs/>
          <w:sz w:val="22"/>
          <w:szCs w:val="22"/>
        </w:rPr>
      </w:pPr>
      <w:r w:rsidRPr="00222AE9">
        <w:rPr>
          <w:rFonts w:ascii="Verdana" w:hAnsi="Verdana"/>
          <w:i/>
          <w:iCs/>
          <w:sz w:val="22"/>
          <w:szCs w:val="22"/>
        </w:rPr>
        <w:t>Inducements</w:t>
      </w:r>
    </w:p>
    <w:p w:rsidR="00E400CC" w:rsidRPr="00222AE9" w:rsidP="0097533C">
      <w:pPr>
        <w:pStyle w:val="ListParagraph"/>
        <w:numPr>
          <w:ilvl w:val="0"/>
          <w:numId w:val="1"/>
        </w:numPr>
        <w:contextualSpacing w:val="0"/>
        <w:jc w:val="both"/>
        <w:rPr>
          <w:rFonts w:ascii="Verdana" w:hAnsi="Verdana"/>
          <w:sz w:val="22"/>
          <w:szCs w:val="22"/>
        </w:rPr>
      </w:pPr>
      <w:r w:rsidRPr="00222AE9">
        <w:rPr>
          <w:rFonts w:ascii="Verdana" w:hAnsi="Verdana"/>
          <w:sz w:val="22"/>
          <w:szCs w:val="22"/>
        </w:rPr>
        <w:t>To what extent do early indications of the impact of the ban on mixing of products within incentives and the limit to wagering requirements, introduced on 19 January 2026,</w:t>
      </w:r>
      <w:r>
        <w:rPr>
          <w:rStyle w:val="FootnoteReference"/>
          <w:rFonts w:ascii="Verdana" w:hAnsi="Verdana"/>
          <w:sz w:val="22"/>
          <w:szCs w:val="22"/>
        </w:rPr>
        <w:footnoteReference w:id="8"/>
      </w:r>
      <w:r w:rsidRPr="00222AE9">
        <w:rPr>
          <w:rFonts w:ascii="Verdana" w:hAnsi="Verdana"/>
          <w:sz w:val="22"/>
          <w:szCs w:val="22"/>
        </w:rPr>
        <w:t xml:space="preserve"> suggest that this policy is reducing gambling-related harm?</w:t>
      </w:r>
    </w:p>
    <w:p w:rsidR="00C45472" w:rsidRPr="00222AE9" w:rsidP="00C45472">
      <w:pPr>
        <w:jc w:val="both"/>
        <w:rPr>
          <w:rFonts w:ascii="Verdana" w:hAnsi="Verdana"/>
          <w:sz w:val="22"/>
          <w:szCs w:val="22"/>
        </w:rPr>
      </w:pPr>
      <w:r w:rsidRPr="00222AE9">
        <w:rPr>
          <w:rFonts w:ascii="Verdana" w:hAnsi="Verdana"/>
          <w:sz w:val="22"/>
          <w:szCs w:val="22"/>
        </w:rPr>
        <w:t>It is too early to draw definitive conclusions.</w:t>
      </w:r>
    </w:p>
    <w:p w:rsidR="00C45472" w:rsidRPr="00222AE9" w:rsidP="00C45472">
      <w:pPr>
        <w:jc w:val="both"/>
        <w:rPr>
          <w:rFonts w:ascii="Verdana" w:hAnsi="Verdana"/>
          <w:sz w:val="22"/>
          <w:szCs w:val="22"/>
        </w:rPr>
      </w:pPr>
      <w:r w:rsidRPr="00222AE9">
        <w:rPr>
          <w:rFonts w:ascii="Verdana" w:hAnsi="Verdana"/>
          <w:sz w:val="22"/>
          <w:szCs w:val="22"/>
        </w:rPr>
        <w:t>Bacta would urge caution before using early or incomplete data to justify wider restrictions. Any assessment should consider not only whether the policy has changed behaviour within the licensed market, but also whether it has pushed customers towards illegal operators with fewer controls.</w:t>
      </w:r>
    </w:p>
    <w:p w:rsidR="00C45472" w:rsidRPr="00222AE9" w:rsidP="00C45472">
      <w:pPr>
        <w:jc w:val="both"/>
        <w:rPr>
          <w:rFonts w:ascii="Verdana" w:hAnsi="Verdana"/>
          <w:sz w:val="22"/>
          <w:szCs w:val="22"/>
        </w:rPr>
      </w:pPr>
      <w:r w:rsidRPr="00222AE9">
        <w:rPr>
          <w:rFonts w:ascii="Verdana" w:hAnsi="Verdana"/>
          <w:sz w:val="22"/>
          <w:szCs w:val="22"/>
        </w:rPr>
        <w:t>It is important that the evaluation distinguishes between reduced promotional activity and reduced harm. The two are not necessarily the same.</w:t>
      </w:r>
    </w:p>
    <w:p w:rsidR="00E400CC" w:rsidRPr="00222AE9" w:rsidP="0097533C">
      <w:pPr>
        <w:pStyle w:val="ListParagraph"/>
        <w:numPr>
          <w:ilvl w:val="0"/>
          <w:numId w:val="1"/>
        </w:numPr>
        <w:contextualSpacing w:val="0"/>
        <w:jc w:val="both"/>
        <w:rPr>
          <w:rFonts w:ascii="Verdana" w:hAnsi="Verdana"/>
          <w:sz w:val="22"/>
          <w:szCs w:val="22"/>
        </w:rPr>
      </w:pPr>
      <w:r w:rsidRPr="00222AE9">
        <w:rPr>
          <w:rFonts w:ascii="Verdana" w:hAnsi="Verdana"/>
          <w:sz w:val="22"/>
          <w:szCs w:val="22"/>
        </w:rPr>
        <w:t>Would a more comprehensive ban on inducements to start or continue gambling, as recommended by the former committee,</w:t>
      </w:r>
      <w:r>
        <w:rPr>
          <w:rStyle w:val="FootnoteReference"/>
          <w:rFonts w:ascii="Verdana" w:hAnsi="Verdana"/>
          <w:sz w:val="22"/>
          <w:szCs w:val="22"/>
        </w:rPr>
        <w:footnoteReference w:id="9"/>
      </w:r>
      <w:r w:rsidRPr="00222AE9">
        <w:rPr>
          <w:rFonts w:ascii="Verdana" w:hAnsi="Verdana"/>
          <w:sz w:val="22"/>
          <w:szCs w:val="22"/>
        </w:rPr>
        <w:t xml:space="preserve"> be more effective in reducing harm?</w:t>
      </w:r>
    </w:p>
    <w:p w:rsidR="007576F1" w:rsidRPr="00222AE9" w:rsidP="007576F1">
      <w:pPr>
        <w:jc w:val="both"/>
        <w:rPr>
          <w:rFonts w:ascii="Verdana" w:hAnsi="Verdana"/>
          <w:sz w:val="22"/>
          <w:szCs w:val="22"/>
        </w:rPr>
      </w:pPr>
      <w:r w:rsidRPr="00222AE9">
        <w:rPr>
          <w:rFonts w:ascii="Verdana" w:hAnsi="Verdana"/>
          <w:sz w:val="22"/>
          <w:szCs w:val="22"/>
        </w:rPr>
        <w:t>A comprehensive ban would carry significant risks and should not be introduced without clear evidence.</w:t>
      </w:r>
    </w:p>
    <w:p w:rsidR="007576F1" w:rsidRPr="00222AE9" w:rsidP="007576F1">
      <w:pPr>
        <w:jc w:val="both"/>
        <w:rPr>
          <w:rFonts w:ascii="Verdana" w:hAnsi="Verdana"/>
          <w:sz w:val="22"/>
          <w:szCs w:val="22"/>
        </w:rPr>
      </w:pPr>
      <w:r w:rsidRPr="00222AE9">
        <w:rPr>
          <w:rFonts w:ascii="Verdana" w:hAnsi="Verdana"/>
          <w:sz w:val="22"/>
          <w:szCs w:val="22"/>
        </w:rPr>
        <w:t>Inducements are already regulated. The key question is whether further restriction would reduce harm or simply make licensed operators less competitive than illegal alternatives.</w:t>
      </w:r>
    </w:p>
    <w:p w:rsidR="001029BE" w:rsidRPr="00222AE9" w:rsidP="007576F1">
      <w:pPr>
        <w:jc w:val="both"/>
        <w:rPr>
          <w:rFonts w:ascii="Verdana" w:hAnsi="Verdana"/>
          <w:sz w:val="22"/>
          <w:szCs w:val="22"/>
        </w:rPr>
      </w:pPr>
      <w:r w:rsidRPr="00222AE9">
        <w:rPr>
          <w:rFonts w:ascii="Verdana" w:hAnsi="Verdana"/>
          <w:sz w:val="22"/>
          <w:szCs w:val="22"/>
        </w:rPr>
        <w:t>Bacta would caution against measures that undermine legal operators’ ability to communicate with customers, promote lawful products or encourage customers to use regulated venues rather than illegal providers.</w:t>
      </w:r>
    </w:p>
    <w:p w:rsidR="00E400CC" w:rsidRPr="00222AE9" w:rsidP="0097533C">
      <w:pPr>
        <w:pStyle w:val="ListParagraph"/>
        <w:numPr>
          <w:ilvl w:val="0"/>
          <w:numId w:val="1"/>
        </w:numPr>
        <w:contextualSpacing w:val="0"/>
        <w:jc w:val="both"/>
        <w:rPr>
          <w:rFonts w:ascii="Verdana" w:hAnsi="Verdana"/>
          <w:sz w:val="22"/>
          <w:szCs w:val="22"/>
        </w:rPr>
      </w:pPr>
      <w:r w:rsidRPr="00222AE9">
        <w:rPr>
          <w:rFonts w:ascii="Verdana" w:hAnsi="Verdana"/>
          <w:sz w:val="22"/>
          <w:szCs w:val="22"/>
        </w:rPr>
        <w:t>Does the current regulatory framework for gambling advertising sufficiently account for the different levels of risk associated with different products, and risks linked to cross-selling?</w:t>
      </w:r>
    </w:p>
    <w:p w:rsidR="003B7EB9" w:rsidRPr="00222AE9" w:rsidP="003B7EB9">
      <w:pPr>
        <w:jc w:val="both"/>
        <w:rPr>
          <w:rFonts w:ascii="Verdana" w:hAnsi="Verdana"/>
          <w:sz w:val="22"/>
          <w:szCs w:val="22"/>
        </w:rPr>
      </w:pPr>
      <w:r w:rsidRPr="00222AE9">
        <w:rPr>
          <w:rFonts w:ascii="Verdana" w:hAnsi="Verdana"/>
          <w:sz w:val="22"/>
          <w:szCs w:val="22"/>
        </w:rPr>
        <w:t>The current framework already contains significant controls through the Gambling Commission, LCCP, ASA and CAP/BCAP Codes.</w:t>
      </w:r>
    </w:p>
    <w:p w:rsidR="003B7EB9" w:rsidRPr="00222AE9" w:rsidP="003B7EB9">
      <w:pPr>
        <w:jc w:val="both"/>
        <w:rPr>
          <w:rFonts w:ascii="Verdana" w:hAnsi="Verdana"/>
          <w:sz w:val="22"/>
          <w:szCs w:val="22"/>
        </w:rPr>
      </w:pPr>
      <w:r w:rsidRPr="00222AE9">
        <w:rPr>
          <w:rFonts w:ascii="Verdana" w:hAnsi="Verdana"/>
          <w:sz w:val="22"/>
          <w:szCs w:val="22"/>
        </w:rPr>
        <w:t>Bacta believes any further changes should be evidence-led and product-specific. Land-based, staffed and supervised venues should not be treated as equivalent to remote products with different risk profiles.</w:t>
      </w:r>
    </w:p>
    <w:p w:rsidR="003B7EB9" w:rsidRPr="00222AE9" w:rsidP="003B7EB9">
      <w:pPr>
        <w:jc w:val="both"/>
        <w:rPr>
          <w:rFonts w:ascii="Verdana" w:hAnsi="Verdana"/>
          <w:sz w:val="22"/>
          <w:szCs w:val="22"/>
        </w:rPr>
      </w:pPr>
      <w:r w:rsidRPr="00222AE9">
        <w:rPr>
          <w:rFonts w:ascii="Verdana" w:hAnsi="Verdana"/>
          <w:sz w:val="22"/>
          <w:szCs w:val="22"/>
        </w:rPr>
        <w:t xml:space="preserve">Direct marketing is also important to lawful operators and should not be unnecessarily restricted. Businesses need to communicate with customers who have chosen to hear from them, </w:t>
      </w:r>
      <w:r w:rsidRPr="00222AE9">
        <w:rPr>
          <w:rFonts w:ascii="Verdana" w:hAnsi="Verdana"/>
          <w:sz w:val="22"/>
          <w:szCs w:val="22"/>
        </w:rPr>
        <w:t>provided that</w:t>
      </w:r>
      <w:r w:rsidRPr="00222AE9">
        <w:rPr>
          <w:rFonts w:ascii="Verdana" w:hAnsi="Verdana"/>
          <w:sz w:val="22"/>
          <w:szCs w:val="22"/>
        </w:rPr>
        <w:t xml:space="preserve"> consent, safer gambling and data protection requirements are properly observed.</w:t>
      </w:r>
    </w:p>
    <w:p w:rsidR="00E400CC" w:rsidRPr="00222AE9" w:rsidP="0097533C">
      <w:pPr>
        <w:spacing w:line="276" w:lineRule="auto"/>
        <w:jc w:val="both"/>
        <w:rPr>
          <w:rFonts w:ascii="Verdana" w:hAnsi="Verdana"/>
          <w:i/>
          <w:iCs/>
          <w:sz w:val="22"/>
          <w:szCs w:val="22"/>
        </w:rPr>
      </w:pPr>
      <w:r w:rsidRPr="00222AE9">
        <w:rPr>
          <w:rFonts w:ascii="Verdana" w:hAnsi="Verdana"/>
          <w:i/>
          <w:iCs/>
          <w:sz w:val="22"/>
          <w:szCs w:val="22"/>
        </w:rPr>
        <w:t>Direct marketing</w:t>
      </w:r>
    </w:p>
    <w:p w:rsidR="00E400CC" w:rsidRPr="00222AE9" w:rsidP="0097533C">
      <w:pPr>
        <w:pStyle w:val="ListParagraph"/>
        <w:numPr>
          <w:ilvl w:val="0"/>
          <w:numId w:val="1"/>
        </w:numPr>
        <w:spacing w:line="276" w:lineRule="auto"/>
        <w:contextualSpacing w:val="0"/>
        <w:jc w:val="both"/>
        <w:rPr>
          <w:rFonts w:ascii="Verdana" w:hAnsi="Verdana"/>
          <w:sz w:val="22"/>
          <w:szCs w:val="22"/>
        </w:rPr>
      </w:pPr>
      <w:r w:rsidRPr="00222AE9">
        <w:rPr>
          <w:rFonts w:ascii="Verdana" w:hAnsi="Verdana"/>
          <w:sz w:val="22"/>
          <w:szCs w:val="22"/>
        </w:rPr>
        <w:t>In the first full year since its implementation in May 2025,</w:t>
      </w:r>
      <w:r>
        <w:rPr>
          <w:rStyle w:val="FootnoteReference"/>
          <w:rFonts w:ascii="Verdana" w:hAnsi="Verdana"/>
          <w:sz w:val="22"/>
          <w:szCs w:val="22"/>
        </w:rPr>
        <w:footnoteReference w:id="10"/>
      </w:r>
      <w:r w:rsidRPr="00222AE9">
        <w:rPr>
          <w:rFonts w:ascii="Verdana" w:hAnsi="Verdana"/>
          <w:sz w:val="22"/>
          <w:szCs w:val="22"/>
        </w:rPr>
        <w:t xml:space="preserve"> what evidence is there that the opt-in system for direct marketing on a per channel and per product basis has:</w:t>
      </w:r>
    </w:p>
    <w:p w:rsidR="00E400CC" w:rsidRPr="00222AE9" w:rsidP="0097533C">
      <w:pPr>
        <w:pStyle w:val="ListParagraph"/>
        <w:numPr>
          <w:ilvl w:val="0"/>
          <w:numId w:val="7"/>
        </w:numPr>
        <w:spacing w:line="276" w:lineRule="auto"/>
        <w:contextualSpacing w:val="0"/>
        <w:jc w:val="both"/>
        <w:rPr>
          <w:rFonts w:ascii="Verdana" w:hAnsi="Verdana"/>
          <w:sz w:val="22"/>
          <w:szCs w:val="22"/>
        </w:rPr>
      </w:pPr>
      <w:r w:rsidRPr="00222AE9">
        <w:rPr>
          <w:rFonts w:ascii="Verdana" w:hAnsi="Verdana"/>
          <w:sz w:val="22"/>
          <w:szCs w:val="22"/>
        </w:rPr>
        <w:t>reduced the number of such direct marketing communications; and,</w:t>
      </w:r>
    </w:p>
    <w:p w:rsidR="00E400CC" w:rsidRPr="00222AE9" w:rsidP="0097533C">
      <w:pPr>
        <w:pStyle w:val="ListParagraph"/>
        <w:numPr>
          <w:ilvl w:val="0"/>
          <w:numId w:val="7"/>
        </w:numPr>
        <w:spacing w:line="276" w:lineRule="auto"/>
        <w:contextualSpacing w:val="0"/>
        <w:jc w:val="both"/>
        <w:rPr>
          <w:rFonts w:ascii="Verdana" w:hAnsi="Verdana"/>
          <w:sz w:val="22"/>
          <w:szCs w:val="22"/>
        </w:rPr>
      </w:pPr>
      <w:r w:rsidRPr="00222AE9">
        <w:rPr>
          <w:rFonts w:ascii="Verdana" w:hAnsi="Verdana"/>
          <w:sz w:val="22"/>
          <w:szCs w:val="22"/>
        </w:rPr>
        <w:t>contributed to a reduction in gambling-related harm?</w:t>
      </w:r>
    </w:p>
    <w:p w:rsidR="00CB7A32" w:rsidRPr="00222AE9" w:rsidP="00CB7A32">
      <w:pPr>
        <w:spacing w:line="276" w:lineRule="auto"/>
        <w:jc w:val="both"/>
        <w:rPr>
          <w:rFonts w:ascii="Verdana" w:hAnsi="Verdana"/>
          <w:sz w:val="22"/>
          <w:szCs w:val="22"/>
        </w:rPr>
      </w:pPr>
      <w:r w:rsidRPr="00222AE9">
        <w:rPr>
          <w:rFonts w:ascii="Verdana" w:hAnsi="Verdana"/>
          <w:sz w:val="22"/>
          <w:szCs w:val="22"/>
        </w:rPr>
        <w:t>Bacta does not have sector-wide data on the impact of the May 2025 opt-in system.</w:t>
      </w:r>
    </w:p>
    <w:p w:rsidR="00CB7A32" w:rsidRPr="00222AE9" w:rsidP="00CB7A32">
      <w:pPr>
        <w:spacing w:line="276" w:lineRule="auto"/>
        <w:jc w:val="both"/>
        <w:rPr>
          <w:rFonts w:ascii="Verdana" w:hAnsi="Verdana"/>
          <w:sz w:val="22"/>
          <w:szCs w:val="22"/>
        </w:rPr>
      </w:pPr>
      <w:r w:rsidRPr="00222AE9">
        <w:rPr>
          <w:rFonts w:ascii="Verdana" w:hAnsi="Verdana"/>
          <w:sz w:val="22"/>
          <w:szCs w:val="22"/>
        </w:rPr>
        <w:t>However, any evaluation should distinguish between reduced communications and reduced harm. A fall in the number of communications is not, by itself, evidence of a reduction in gambling-related harm.</w:t>
      </w:r>
    </w:p>
    <w:p w:rsidR="00CB7A32" w:rsidRPr="00222AE9" w:rsidP="00CB7A32">
      <w:pPr>
        <w:spacing w:line="276" w:lineRule="auto"/>
        <w:jc w:val="both"/>
        <w:rPr>
          <w:rFonts w:ascii="Verdana" w:hAnsi="Verdana"/>
          <w:sz w:val="22"/>
          <w:szCs w:val="22"/>
        </w:rPr>
      </w:pPr>
      <w:r w:rsidRPr="00222AE9">
        <w:rPr>
          <w:rFonts w:ascii="Verdana" w:hAnsi="Verdana"/>
          <w:sz w:val="22"/>
          <w:szCs w:val="22"/>
        </w:rPr>
        <w:t>Direct marketing, where consent-based and properly regulated, allows licensed operators to communicate with customers transparently. It can also be used to provide safer gambling information, reminders, venue updates and support messaging.</w:t>
      </w:r>
    </w:p>
    <w:p w:rsidR="00CB7A32" w:rsidRPr="00222AE9" w:rsidP="00CB7A32">
      <w:pPr>
        <w:spacing w:line="276" w:lineRule="auto"/>
        <w:jc w:val="both"/>
        <w:rPr>
          <w:rFonts w:ascii="Verdana" w:hAnsi="Verdana"/>
          <w:sz w:val="22"/>
          <w:szCs w:val="22"/>
        </w:rPr>
      </w:pPr>
      <w:r w:rsidRPr="00222AE9">
        <w:rPr>
          <w:rFonts w:ascii="Verdana" w:hAnsi="Verdana"/>
          <w:sz w:val="22"/>
          <w:szCs w:val="22"/>
        </w:rPr>
        <w:t>Any future assessment should consider the value of lawful and consent-based communication, rather than treating all direct marketing as inherently harmful.</w:t>
      </w:r>
    </w:p>
    <w:p w:rsidR="00E400CC" w:rsidRPr="00222AE9" w:rsidP="0097533C">
      <w:pPr>
        <w:pStyle w:val="ListParagraph"/>
        <w:numPr>
          <w:ilvl w:val="0"/>
          <w:numId w:val="1"/>
        </w:numPr>
        <w:spacing w:line="276" w:lineRule="auto"/>
        <w:contextualSpacing w:val="0"/>
        <w:jc w:val="both"/>
        <w:rPr>
          <w:rFonts w:ascii="Verdana" w:hAnsi="Verdana"/>
          <w:sz w:val="22"/>
          <w:szCs w:val="22"/>
        </w:rPr>
      </w:pPr>
      <w:r w:rsidRPr="00222AE9">
        <w:rPr>
          <w:rFonts w:ascii="Verdana" w:hAnsi="Verdana"/>
          <w:sz w:val="22"/>
          <w:szCs w:val="22"/>
        </w:rPr>
        <w:t>In light of</w:t>
      </w:r>
      <w:r w:rsidRPr="00222AE9">
        <w:rPr>
          <w:rFonts w:ascii="Verdana" w:hAnsi="Verdana"/>
          <w:sz w:val="22"/>
          <w:szCs w:val="22"/>
        </w:rPr>
        <w:t xml:space="preserve"> current evidence, what would be the benefits and risks of:</w:t>
      </w:r>
    </w:p>
    <w:p w:rsidR="00E400CC" w:rsidRPr="00222AE9" w:rsidP="0097533C">
      <w:pPr>
        <w:pStyle w:val="ListParagraph"/>
        <w:numPr>
          <w:ilvl w:val="0"/>
          <w:numId w:val="8"/>
        </w:numPr>
        <w:spacing w:line="276" w:lineRule="auto"/>
        <w:contextualSpacing w:val="0"/>
        <w:jc w:val="both"/>
        <w:rPr>
          <w:rFonts w:ascii="Verdana" w:hAnsi="Verdana"/>
          <w:sz w:val="22"/>
          <w:szCs w:val="22"/>
        </w:rPr>
      </w:pPr>
      <w:r w:rsidRPr="00222AE9">
        <w:rPr>
          <w:rFonts w:ascii="Verdana" w:hAnsi="Verdana"/>
          <w:sz w:val="22"/>
          <w:szCs w:val="22"/>
        </w:rPr>
        <w:t>Restricting direct marketing to those opted in to VIP/HVC schemes, as recommended by the special inquiry committee;</w:t>
      </w:r>
      <w:r>
        <w:rPr>
          <w:rStyle w:val="FootnoteReference"/>
          <w:rFonts w:ascii="Verdana" w:hAnsi="Verdana"/>
          <w:sz w:val="22"/>
          <w:szCs w:val="22"/>
        </w:rPr>
        <w:footnoteReference w:id="11"/>
      </w:r>
      <w:r w:rsidRPr="00222AE9">
        <w:rPr>
          <w:rFonts w:ascii="Verdana" w:hAnsi="Verdana"/>
          <w:sz w:val="22"/>
          <w:szCs w:val="22"/>
        </w:rPr>
        <w:t xml:space="preserve"> or,</w:t>
      </w:r>
    </w:p>
    <w:p w:rsidR="00CB7A32" w:rsidRPr="00222AE9" w:rsidP="00CB7A32">
      <w:pPr>
        <w:pStyle w:val="ListParagraph"/>
        <w:numPr>
          <w:ilvl w:val="0"/>
          <w:numId w:val="8"/>
        </w:numPr>
        <w:spacing w:line="276" w:lineRule="auto"/>
        <w:contextualSpacing w:val="0"/>
        <w:jc w:val="both"/>
        <w:rPr>
          <w:rFonts w:ascii="Verdana" w:hAnsi="Verdana"/>
          <w:sz w:val="22"/>
          <w:szCs w:val="22"/>
        </w:rPr>
      </w:pPr>
      <w:r w:rsidRPr="00222AE9">
        <w:rPr>
          <w:rFonts w:ascii="Verdana" w:hAnsi="Verdana"/>
          <w:sz w:val="22"/>
          <w:szCs w:val="22"/>
        </w:rPr>
        <w:t>A comprehensive ban on direct marketing?</w:t>
      </w:r>
    </w:p>
    <w:p w:rsidR="002D4D16" w:rsidRPr="00222AE9" w:rsidP="002D4D16">
      <w:pPr>
        <w:spacing w:line="276" w:lineRule="auto"/>
        <w:jc w:val="both"/>
        <w:rPr>
          <w:rFonts w:ascii="Verdana" w:hAnsi="Verdana"/>
          <w:sz w:val="22"/>
          <w:szCs w:val="22"/>
        </w:rPr>
      </w:pPr>
      <w:r w:rsidRPr="00222AE9">
        <w:rPr>
          <w:rFonts w:ascii="Verdana" w:hAnsi="Verdana"/>
          <w:sz w:val="22"/>
          <w:szCs w:val="22"/>
        </w:rPr>
        <w:t>Bacta would be concerned by either proposal.</w:t>
      </w:r>
    </w:p>
    <w:p w:rsidR="002D4D16" w:rsidRPr="00222AE9" w:rsidP="002D4D16">
      <w:pPr>
        <w:spacing w:line="276" w:lineRule="auto"/>
        <w:jc w:val="both"/>
        <w:rPr>
          <w:rFonts w:ascii="Verdana" w:hAnsi="Verdana"/>
          <w:sz w:val="22"/>
          <w:szCs w:val="22"/>
        </w:rPr>
      </w:pPr>
      <w:r w:rsidRPr="00222AE9">
        <w:rPr>
          <w:rFonts w:ascii="Verdana" w:hAnsi="Verdana"/>
          <w:sz w:val="22"/>
          <w:szCs w:val="22"/>
        </w:rPr>
        <w:t>Direct marketing is important across the sector, not just for VIP or high-value customer schemes. For many businesses, particularly land-based operators, direct marketing is a normal way of communicating with customers who have opted in to receive information.</w:t>
      </w:r>
    </w:p>
    <w:p w:rsidR="002D4D16" w:rsidRPr="00222AE9" w:rsidP="002D4D16">
      <w:pPr>
        <w:spacing w:line="276" w:lineRule="auto"/>
        <w:jc w:val="both"/>
        <w:rPr>
          <w:rFonts w:ascii="Verdana" w:hAnsi="Verdana"/>
          <w:sz w:val="22"/>
          <w:szCs w:val="22"/>
        </w:rPr>
      </w:pPr>
      <w:r w:rsidRPr="00222AE9">
        <w:rPr>
          <w:rFonts w:ascii="Verdana" w:hAnsi="Verdana"/>
          <w:sz w:val="22"/>
          <w:szCs w:val="22"/>
        </w:rPr>
        <w:t>Restricting direct marketing only to those opted in to VIP or HVC schemes would be an unusual and potentially counterproductive approach. It could imply that ordinary customers should receive less information from licensed operators, including information about venue changes, safer gambling tools and support.</w:t>
      </w:r>
    </w:p>
    <w:p w:rsidR="002D4D16" w:rsidRPr="00222AE9" w:rsidP="002D4D16">
      <w:pPr>
        <w:spacing w:line="276" w:lineRule="auto"/>
        <w:jc w:val="both"/>
        <w:rPr>
          <w:rFonts w:ascii="Verdana" w:hAnsi="Verdana"/>
          <w:sz w:val="22"/>
          <w:szCs w:val="22"/>
        </w:rPr>
      </w:pPr>
      <w:r w:rsidRPr="00222AE9">
        <w:rPr>
          <w:rFonts w:ascii="Verdana" w:hAnsi="Verdana"/>
          <w:sz w:val="22"/>
          <w:szCs w:val="22"/>
        </w:rPr>
        <w:t>A comprehensive ban would be disproportionate. It would reduce the ability of licensed operators to communicate with customers, including about safer gambling tools and support services, and could weaken the visibility of the regulated market.</w:t>
      </w:r>
    </w:p>
    <w:p w:rsidR="002D4D16" w:rsidRPr="00222AE9" w:rsidP="002D4D16">
      <w:pPr>
        <w:spacing w:line="276" w:lineRule="auto"/>
        <w:jc w:val="both"/>
        <w:rPr>
          <w:rFonts w:ascii="Verdana" w:hAnsi="Verdana"/>
          <w:sz w:val="22"/>
          <w:szCs w:val="22"/>
        </w:rPr>
      </w:pPr>
      <w:r w:rsidRPr="00222AE9">
        <w:rPr>
          <w:rFonts w:ascii="Verdana" w:hAnsi="Verdana"/>
          <w:sz w:val="22"/>
          <w:szCs w:val="22"/>
        </w:rPr>
        <w:t>Any further restriction should be justified by clear evidence of harm and assessed against its impact on legal market channelisation.</w:t>
      </w:r>
    </w:p>
    <w:p w:rsidR="00E400CC" w:rsidRPr="00222AE9" w:rsidP="002D4D16">
      <w:pPr>
        <w:spacing w:line="276" w:lineRule="auto"/>
        <w:jc w:val="both"/>
        <w:rPr>
          <w:rFonts w:ascii="Verdana" w:hAnsi="Verdana"/>
          <w:i/>
          <w:iCs/>
          <w:sz w:val="22"/>
          <w:szCs w:val="22"/>
        </w:rPr>
      </w:pPr>
      <w:r w:rsidRPr="00222AE9">
        <w:rPr>
          <w:rFonts w:ascii="Verdana" w:hAnsi="Verdana"/>
          <w:i/>
          <w:iCs/>
          <w:sz w:val="22"/>
          <w:szCs w:val="22"/>
        </w:rPr>
        <w:t>Regulatory framework</w:t>
      </w:r>
    </w:p>
    <w:p w:rsidR="00E400CC" w:rsidRPr="00222AE9" w:rsidP="0097533C">
      <w:pPr>
        <w:pStyle w:val="ListParagraph"/>
        <w:numPr>
          <w:ilvl w:val="0"/>
          <w:numId w:val="1"/>
        </w:numPr>
        <w:spacing w:line="276" w:lineRule="auto"/>
        <w:jc w:val="both"/>
        <w:rPr>
          <w:rFonts w:ascii="Verdana" w:hAnsi="Verdana"/>
          <w:sz w:val="22"/>
          <w:szCs w:val="22"/>
        </w:rPr>
      </w:pPr>
      <w:r w:rsidRPr="00222AE9">
        <w:rPr>
          <w:rFonts w:ascii="Verdana" w:hAnsi="Verdana"/>
          <w:sz w:val="22"/>
          <w:szCs w:val="22"/>
        </w:rPr>
        <w:t>In your view, how effective is the current division of responsibilities between the ASA and the Gambling Commission in relation to the regulation of gambling advertising, and how might it be improved?</w:t>
      </w:r>
    </w:p>
    <w:p w:rsidR="00A276A2" w:rsidRPr="00222AE9" w:rsidP="00A276A2">
      <w:pPr>
        <w:spacing w:line="276" w:lineRule="auto"/>
        <w:jc w:val="both"/>
        <w:rPr>
          <w:rFonts w:ascii="Verdana" w:hAnsi="Verdana"/>
          <w:sz w:val="22"/>
          <w:szCs w:val="22"/>
        </w:rPr>
      </w:pPr>
      <w:r w:rsidRPr="00222AE9">
        <w:rPr>
          <w:rFonts w:ascii="Verdana" w:hAnsi="Verdana"/>
          <w:sz w:val="22"/>
          <w:szCs w:val="22"/>
        </w:rPr>
        <w:t>Bacta believes the existing division of responsibilities broadly works.</w:t>
      </w:r>
    </w:p>
    <w:p w:rsidR="00A276A2" w:rsidRPr="00222AE9" w:rsidP="00A276A2">
      <w:pPr>
        <w:spacing w:line="276" w:lineRule="auto"/>
        <w:jc w:val="both"/>
        <w:rPr>
          <w:rFonts w:ascii="Verdana" w:hAnsi="Verdana"/>
          <w:sz w:val="22"/>
          <w:szCs w:val="22"/>
        </w:rPr>
      </w:pPr>
      <w:r w:rsidRPr="00222AE9">
        <w:rPr>
          <w:rFonts w:ascii="Verdana" w:hAnsi="Verdana"/>
          <w:sz w:val="22"/>
          <w:szCs w:val="22"/>
        </w:rPr>
        <w:t>The Gambling Commission regulates licensed operators through licence conditions, codes of practice and guidance. The ASA regulates advertising content and compliance with advertising codes. Together, these bodies provide a meaningful regulatory framework with enforcement consequences.</w:t>
      </w:r>
    </w:p>
    <w:p w:rsidR="00A276A2" w:rsidRPr="00222AE9" w:rsidP="00A276A2">
      <w:pPr>
        <w:spacing w:line="276" w:lineRule="auto"/>
        <w:jc w:val="both"/>
        <w:rPr>
          <w:rFonts w:ascii="Verdana" w:hAnsi="Verdana"/>
          <w:sz w:val="22"/>
          <w:szCs w:val="22"/>
        </w:rPr>
      </w:pPr>
      <w:r w:rsidRPr="00222AE9">
        <w:rPr>
          <w:rFonts w:ascii="Verdana" w:hAnsi="Verdana"/>
          <w:sz w:val="22"/>
          <w:szCs w:val="22"/>
        </w:rPr>
        <w:t>Bacta members take these obligations seriously. In addition to Gambling Commission and ASA requirements, operators must comply with LCCP provisions, local licensing obligations and Bacta’s own standards.</w:t>
      </w:r>
    </w:p>
    <w:p w:rsidR="001029BE" w:rsidRPr="00222AE9" w:rsidP="00A276A2">
      <w:pPr>
        <w:spacing w:line="276" w:lineRule="auto"/>
        <w:jc w:val="both"/>
        <w:rPr>
          <w:rFonts w:ascii="Verdana" w:hAnsi="Verdana"/>
          <w:sz w:val="22"/>
          <w:szCs w:val="22"/>
        </w:rPr>
      </w:pPr>
      <w:r w:rsidRPr="00222AE9">
        <w:rPr>
          <w:rFonts w:ascii="Verdana" w:hAnsi="Verdana"/>
          <w:sz w:val="22"/>
          <w:szCs w:val="22"/>
        </w:rPr>
        <w:t>Before introducing new structures or restrictions, Government should assess whether existing powers are being used effectively and consistently.</w:t>
      </w:r>
    </w:p>
    <w:p w:rsidR="00E400CC" w:rsidRPr="00222AE9" w:rsidP="0097533C">
      <w:pPr>
        <w:jc w:val="both"/>
        <w:rPr>
          <w:rFonts w:ascii="Verdana" w:hAnsi="Verdana"/>
          <w:i/>
          <w:iCs/>
          <w:sz w:val="22"/>
          <w:szCs w:val="22"/>
        </w:rPr>
      </w:pPr>
      <w:r w:rsidRPr="00222AE9">
        <w:rPr>
          <w:rFonts w:ascii="Verdana" w:hAnsi="Verdana"/>
          <w:i/>
          <w:iCs/>
          <w:sz w:val="22"/>
          <w:szCs w:val="22"/>
        </w:rPr>
        <w:t>Affiliate marketing and social media influencers</w:t>
      </w:r>
    </w:p>
    <w:p w:rsidR="00696057" w:rsidRPr="00222AE9" w:rsidP="00C13182">
      <w:pPr>
        <w:pStyle w:val="ListParagraph"/>
        <w:numPr>
          <w:ilvl w:val="0"/>
          <w:numId w:val="1"/>
        </w:numPr>
        <w:contextualSpacing w:val="0"/>
        <w:jc w:val="both"/>
        <w:rPr>
          <w:rFonts w:ascii="Verdana" w:hAnsi="Verdana"/>
          <w:sz w:val="22"/>
          <w:szCs w:val="22"/>
        </w:rPr>
      </w:pPr>
      <w:r w:rsidRPr="00222AE9">
        <w:rPr>
          <w:rFonts w:ascii="Verdana" w:hAnsi="Verdana"/>
          <w:sz w:val="22"/>
          <w:szCs w:val="22"/>
        </w:rPr>
        <w:t>The 2020 special inquiry committee recommended that affiliates “be licensed by the Gambling Commission before they can enter into contracts with gambling operators”.</w:t>
      </w:r>
      <w:r>
        <w:rPr>
          <w:rStyle w:val="FootnoteReference"/>
          <w:rFonts w:ascii="Verdana" w:hAnsi="Verdana"/>
          <w:sz w:val="22"/>
          <w:szCs w:val="22"/>
        </w:rPr>
        <w:footnoteReference w:id="12"/>
      </w:r>
    </w:p>
    <w:p w:rsidR="00E400CC" w:rsidRPr="00222AE9" w:rsidP="0097533C">
      <w:pPr>
        <w:pStyle w:val="ListParagraph"/>
        <w:numPr>
          <w:ilvl w:val="0"/>
          <w:numId w:val="5"/>
        </w:numPr>
        <w:contextualSpacing w:val="0"/>
        <w:jc w:val="both"/>
        <w:rPr>
          <w:rFonts w:ascii="Verdana" w:hAnsi="Verdana"/>
          <w:sz w:val="22"/>
          <w:szCs w:val="22"/>
        </w:rPr>
      </w:pPr>
      <w:r w:rsidRPr="00222AE9">
        <w:rPr>
          <w:rFonts w:ascii="Verdana" w:hAnsi="Verdana"/>
          <w:sz w:val="22"/>
          <w:szCs w:val="22"/>
        </w:rPr>
        <w:t>Is the current regulatory model, by which the ASA regulates marketing by affiliates and the Gambling Commission holds licensed gambling operators responsible for the actions of their affiliates, operating effectively?</w:t>
      </w:r>
    </w:p>
    <w:p w:rsidR="00E400CC" w:rsidRPr="00222AE9" w:rsidP="0097533C">
      <w:pPr>
        <w:pStyle w:val="ListParagraph"/>
        <w:numPr>
          <w:ilvl w:val="0"/>
          <w:numId w:val="5"/>
        </w:numPr>
        <w:contextualSpacing w:val="0"/>
        <w:jc w:val="both"/>
        <w:rPr>
          <w:rFonts w:ascii="Verdana" w:hAnsi="Verdana"/>
          <w:sz w:val="22"/>
          <w:szCs w:val="22"/>
        </w:rPr>
      </w:pPr>
      <w:r w:rsidRPr="00222AE9">
        <w:rPr>
          <w:rFonts w:ascii="Verdana" w:hAnsi="Verdana"/>
          <w:sz w:val="22"/>
          <w:szCs w:val="22"/>
        </w:rPr>
        <w:t>What would be the benefits and risks of prohibiting gambling promotions by social media influencers and content creators?</w:t>
      </w:r>
    </w:p>
    <w:p w:rsidR="001029BE" w:rsidRPr="00222AE9" w:rsidP="0097533C">
      <w:pPr>
        <w:jc w:val="both"/>
        <w:rPr>
          <w:rFonts w:ascii="Verdana" w:hAnsi="Verdana"/>
          <w:sz w:val="22"/>
          <w:szCs w:val="22"/>
        </w:rPr>
      </w:pPr>
      <w:r w:rsidRPr="00222AE9">
        <w:rPr>
          <w:rFonts w:ascii="Verdana" w:hAnsi="Verdana"/>
          <w:sz w:val="22"/>
          <w:szCs w:val="22"/>
        </w:rPr>
        <w:t>Bacta has no specific evidence regarding affiliate marketing models or influencer marketing.</w:t>
      </w:r>
    </w:p>
    <w:p w:rsidR="00E400CC" w:rsidRPr="00222AE9" w:rsidP="0097533C">
      <w:pPr>
        <w:jc w:val="both"/>
        <w:rPr>
          <w:rFonts w:ascii="Verdana" w:hAnsi="Verdana"/>
          <w:i/>
          <w:iCs/>
          <w:sz w:val="22"/>
          <w:szCs w:val="22"/>
        </w:rPr>
      </w:pPr>
      <w:r w:rsidRPr="00222AE9">
        <w:rPr>
          <w:rFonts w:ascii="Verdana" w:hAnsi="Verdana"/>
          <w:i/>
          <w:iCs/>
          <w:sz w:val="22"/>
          <w:szCs w:val="22"/>
        </w:rPr>
        <w:t>Content marketing</w:t>
      </w:r>
    </w:p>
    <w:p w:rsidR="00E400CC" w:rsidRPr="00222AE9" w:rsidP="0097533C">
      <w:pPr>
        <w:pStyle w:val="ListParagraph"/>
        <w:numPr>
          <w:ilvl w:val="0"/>
          <w:numId w:val="1"/>
        </w:numPr>
        <w:contextualSpacing w:val="0"/>
        <w:jc w:val="both"/>
        <w:rPr>
          <w:rFonts w:ascii="Verdana" w:hAnsi="Verdana"/>
          <w:sz w:val="22"/>
          <w:szCs w:val="22"/>
        </w:rPr>
      </w:pPr>
      <w:r w:rsidRPr="00222AE9">
        <w:rPr>
          <w:rFonts w:ascii="Verdana" w:hAnsi="Verdana"/>
          <w:sz w:val="22"/>
          <w:szCs w:val="22"/>
        </w:rPr>
        <w:t>How widespread is gambling ‘content marketing’, and what evidence is there for its impact on under-18s?</w:t>
      </w:r>
    </w:p>
    <w:p w:rsidR="001029BE" w:rsidRPr="00222AE9" w:rsidP="0097533C">
      <w:pPr>
        <w:jc w:val="both"/>
        <w:rPr>
          <w:rFonts w:ascii="Verdana" w:hAnsi="Verdana"/>
          <w:sz w:val="22"/>
          <w:szCs w:val="22"/>
        </w:rPr>
      </w:pPr>
      <w:r w:rsidRPr="00222AE9">
        <w:rPr>
          <w:rFonts w:ascii="Verdana" w:hAnsi="Verdana"/>
          <w:sz w:val="22"/>
          <w:szCs w:val="22"/>
        </w:rPr>
        <w:t>Bacta has no specific evidence regarding the prevalence of content marketing.</w:t>
      </w:r>
    </w:p>
    <w:p w:rsidR="00E400CC" w:rsidRPr="00222AE9" w:rsidP="0097533C">
      <w:pPr>
        <w:pStyle w:val="ListParagraph"/>
        <w:numPr>
          <w:ilvl w:val="0"/>
          <w:numId w:val="1"/>
        </w:numPr>
        <w:spacing w:line="276" w:lineRule="auto"/>
        <w:contextualSpacing w:val="0"/>
        <w:jc w:val="both"/>
        <w:rPr>
          <w:rFonts w:ascii="Verdana" w:hAnsi="Verdana"/>
          <w:sz w:val="22"/>
          <w:szCs w:val="22"/>
        </w:rPr>
      </w:pPr>
      <w:r w:rsidRPr="00222AE9">
        <w:rPr>
          <w:rFonts w:ascii="Verdana" w:hAnsi="Verdana"/>
          <w:sz w:val="22"/>
          <w:szCs w:val="22"/>
        </w:rPr>
        <w:t>To what extent does the ASA’s distinction between ‘advertising’ and ‘editorial content’ affect its ability to regulate content marketing?</w:t>
      </w:r>
    </w:p>
    <w:p w:rsidR="001029BE" w:rsidRPr="00222AE9" w:rsidP="0097533C">
      <w:pPr>
        <w:spacing w:line="276" w:lineRule="auto"/>
        <w:jc w:val="both"/>
        <w:rPr>
          <w:rFonts w:ascii="Verdana" w:hAnsi="Verdana"/>
          <w:sz w:val="22"/>
          <w:szCs w:val="22"/>
        </w:rPr>
      </w:pPr>
      <w:r w:rsidRPr="00222AE9">
        <w:rPr>
          <w:rFonts w:ascii="Verdana" w:hAnsi="Verdana"/>
          <w:sz w:val="22"/>
          <w:szCs w:val="22"/>
        </w:rPr>
        <w:t>Bacta has no specific evidence regarding the regulation of content marketing.</w:t>
      </w:r>
    </w:p>
    <w:p w:rsidR="001029BE" w:rsidRPr="00222AE9" w:rsidP="0097533C">
      <w:pPr>
        <w:pStyle w:val="ListParagraph"/>
        <w:numPr>
          <w:ilvl w:val="0"/>
          <w:numId w:val="1"/>
        </w:numPr>
        <w:spacing w:line="276" w:lineRule="auto"/>
        <w:contextualSpacing w:val="0"/>
        <w:jc w:val="both"/>
        <w:rPr>
          <w:rFonts w:ascii="Verdana" w:hAnsi="Verdana"/>
          <w:i/>
          <w:iCs/>
          <w:sz w:val="22"/>
          <w:szCs w:val="22"/>
        </w:rPr>
      </w:pPr>
      <w:r w:rsidRPr="00222AE9">
        <w:rPr>
          <w:rFonts w:ascii="Verdana" w:hAnsi="Verdana"/>
          <w:sz w:val="22"/>
          <w:szCs w:val="22"/>
        </w:rPr>
        <w:t>Should gambling content marketing be permitted, and if so, how might it be regulated more effectively?</w:t>
      </w:r>
    </w:p>
    <w:p w:rsidR="001029BE" w:rsidRPr="00222AE9" w:rsidP="0097533C">
      <w:pPr>
        <w:spacing w:line="276" w:lineRule="auto"/>
        <w:jc w:val="both"/>
        <w:rPr>
          <w:rFonts w:ascii="Verdana" w:hAnsi="Verdana"/>
          <w:sz w:val="22"/>
          <w:szCs w:val="22"/>
        </w:rPr>
      </w:pPr>
      <w:r w:rsidRPr="00222AE9">
        <w:rPr>
          <w:rFonts w:ascii="Verdana" w:hAnsi="Verdana"/>
          <w:sz w:val="22"/>
          <w:szCs w:val="22"/>
        </w:rPr>
        <w:t>Bacta has no specific evidence regarding the future regulation of content marketing.</w:t>
      </w:r>
    </w:p>
    <w:p w:rsidR="00E400CC" w:rsidRPr="00222AE9" w:rsidP="0097533C">
      <w:pPr>
        <w:spacing w:line="276" w:lineRule="auto"/>
        <w:jc w:val="both"/>
        <w:rPr>
          <w:rFonts w:ascii="Verdana" w:hAnsi="Verdana"/>
          <w:i/>
          <w:iCs/>
          <w:sz w:val="22"/>
          <w:szCs w:val="22"/>
        </w:rPr>
      </w:pPr>
      <w:r w:rsidRPr="00222AE9">
        <w:rPr>
          <w:rFonts w:ascii="Verdana" w:hAnsi="Verdana"/>
          <w:i/>
          <w:iCs/>
          <w:sz w:val="22"/>
          <w:szCs w:val="22"/>
        </w:rPr>
        <w:t>Children and young people</w:t>
      </w:r>
    </w:p>
    <w:p w:rsidR="00BC00D0" w:rsidRPr="00222AE9" w:rsidP="0097533C">
      <w:pPr>
        <w:pStyle w:val="ListParagraph"/>
        <w:numPr>
          <w:ilvl w:val="0"/>
          <w:numId w:val="1"/>
        </w:numPr>
        <w:spacing w:line="276" w:lineRule="auto"/>
        <w:contextualSpacing w:val="0"/>
        <w:jc w:val="both"/>
        <w:rPr>
          <w:rFonts w:ascii="Verdana" w:hAnsi="Verdana"/>
          <w:sz w:val="22"/>
          <w:szCs w:val="22"/>
        </w:rPr>
      </w:pPr>
      <w:r w:rsidRPr="00222AE9">
        <w:rPr>
          <w:rFonts w:ascii="Verdana" w:hAnsi="Verdana"/>
          <w:sz w:val="22"/>
          <w:szCs w:val="22"/>
        </w:rPr>
        <w:t>What is your relationship with social media companies and to what extent do you work in partnership to prevent advertisements reaching under-18s on social media platforms?</w:t>
      </w:r>
    </w:p>
    <w:p w:rsidR="001029BE" w:rsidRPr="00222AE9" w:rsidP="0097533C">
      <w:pPr>
        <w:spacing w:line="276" w:lineRule="auto"/>
        <w:jc w:val="both"/>
        <w:rPr>
          <w:rFonts w:ascii="Verdana" w:hAnsi="Verdana"/>
          <w:sz w:val="22"/>
          <w:szCs w:val="22"/>
        </w:rPr>
      </w:pPr>
      <w:r w:rsidRPr="00222AE9">
        <w:rPr>
          <w:rFonts w:ascii="Verdana" w:hAnsi="Verdana"/>
          <w:sz w:val="22"/>
          <w:szCs w:val="22"/>
        </w:rPr>
        <w:t>Bacta has no specific evidence regarding advertising placement.</w:t>
      </w:r>
    </w:p>
    <w:p w:rsidR="00E400CC" w:rsidRPr="00222AE9" w:rsidP="0097533C">
      <w:pPr>
        <w:pStyle w:val="ListParagraph"/>
        <w:numPr>
          <w:ilvl w:val="0"/>
          <w:numId w:val="1"/>
        </w:numPr>
        <w:spacing w:line="276" w:lineRule="auto"/>
        <w:contextualSpacing w:val="0"/>
        <w:jc w:val="both"/>
        <w:rPr>
          <w:rFonts w:ascii="Verdana" w:hAnsi="Verdana"/>
          <w:sz w:val="22"/>
          <w:szCs w:val="22"/>
        </w:rPr>
      </w:pPr>
      <w:r w:rsidRPr="00222AE9">
        <w:rPr>
          <w:rFonts w:ascii="Verdana" w:hAnsi="Verdana"/>
          <w:sz w:val="22"/>
          <w:szCs w:val="22"/>
        </w:rPr>
        <w:t>Should social media companies do more to prevent the exposure of under-18s to gambling advertising, and how might this be achieved?</w:t>
      </w:r>
    </w:p>
    <w:p w:rsidR="0097533C" w:rsidRPr="00222AE9" w:rsidP="0097533C">
      <w:pPr>
        <w:spacing w:line="276" w:lineRule="auto"/>
        <w:jc w:val="both"/>
        <w:rPr>
          <w:rFonts w:ascii="Verdana" w:hAnsi="Verdana"/>
          <w:sz w:val="22"/>
          <w:szCs w:val="22"/>
        </w:rPr>
      </w:pPr>
      <w:r w:rsidRPr="00222AE9">
        <w:rPr>
          <w:rFonts w:ascii="Verdana" w:hAnsi="Verdana"/>
          <w:sz w:val="22"/>
          <w:szCs w:val="22"/>
        </w:rPr>
        <w:t>Social media companies have an important role to play in preventing children from being exposed to age-restricted content and should continue to invest in age assurance and content moderation systems.</w:t>
      </w:r>
    </w:p>
    <w:p w:rsidR="00E400CC" w:rsidRPr="00222AE9" w:rsidP="0097533C">
      <w:pPr>
        <w:pStyle w:val="ListParagraph"/>
        <w:numPr>
          <w:ilvl w:val="0"/>
          <w:numId w:val="1"/>
        </w:numPr>
        <w:spacing w:line="276" w:lineRule="auto"/>
        <w:contextualSpacing w:val="0"/>
        <w:jc w:val="both"/>
        <w:rPr>
          <w:rFonts w:ascii="Verdana" w:hAnsi="Verdana"/>
          <w:sz w:val="22"/>
          <w:szCs w:val="22"/>
        </w:rPr>
      </w:pPr>
      <w:r w:rsidRPr="00222AE9">
        <w:rPr>
          <w:rFonts w:ascii="Verdana" w:hAnsi="Verdana"/>
          <w:sz w:val="22"/>
          <w:szCs w:val="22"/>
        </w:rPr>
        <w:t>Should gambling advertisements in video games with a PEGI rating below 18 be permitted?</w:t>
      </w:r>
    </w:p>
    <w:p w:rsidR="0097533C" w:rsidRPr="00222AE9" w:rsidP="0097533C">
      <w:pPr>
        <w:spacing w:line="276" w:lineRule="auto"/>
        <w:jc w:val="both"/>
        <w:rPr>
          <w:rFonts w:ascii="Verdana" w:hAnsi="Verdana"/>
          <w:sz w:val="22"/>
          <w:szCs w:val="22"/>
        </w:rPr>
      </w:pPr>
      <w:r w:rsidRPr="00222AE9">
        <w:rPr>
          <w:rFonts w:ascii="Verdana" w:hAnsi="Verdana"/>
          <w:sz w:val="22"/>
          <w:szCs w:val="22"/>
        </w:rPr>
        <w:t>Bacta has no specific evidence regarding gambling advertising within video games.</w:t>
      </w:r>
    </w:p>
    <w:p w:rsidR="00E400CC" w:rsidRPr="00222AE9" w:rsidP="0097533C">
      <w:pPr>
        <w:spacing w:line="276" w:lineRule="auto"/>
        <w:jc w:val="both"/>
        <w:rPr>
          <w:rFonts w:ascii="Verdana" w:hAnsi="Verdana"/>
          <w:i/>
          <w:iCs/>
          <w:sz w:val="22"/>
          <w:szCs w:val="22"/>
        </w:rPr>
      </w:pPr>
      <w:r w:rsidRPr="00222AE9">
        <w:rPr>
          <w:rFonts w:ascii="Verdana" w:hAnsi="Verdana"/>
          <w:i/>
          <w:iCs/>
          <w:sz w:val="22"/>
          <w:szCs w:val="22"/>
        </w:rPr>
        <w:t>Unlicensed operators</w:t>
      </w:r>
    </w:p>
    <w:p w:rsidR="00E400CC" w:rsidRPr="00222AE9" w:rsidP="0097533C">
      <w:pPr>
        <w:pStyle w:val="ListParagraph"/>
        <w:numPr>
          <w:ilvl w:val="0"/>
          <w:numId w:val="1"/>
        </w:numPr>
        <w:contextualSpacing w:val="0"/>
        <w:jc w:val="both"/>
        <w:rPr>
          <w:rFonts w:ascii="Verdana" w:hAnsi="Verdana"/>
          <w:sz w:val="22"/>
          <w:szCs w:val="22"/>
        </w:rPr>
      </w:pPr>
      <w:r w:rsidRPr="00222AE9">
        <w:rPr>
          <w:rFonts w:ascii="Verdana" w:hAnsi="Verdana"/>
          <w:sz w:val="22"/>
          <w:szCs w:val="22"/>
        </w:rPr>
        <w:t>How significant are the gambling-related harms associated with the unlicensed sector in comparison with those linked to the licensed sector?</w:t>
      </w:r>
    </w:p>
    <w:p w:rsidR="0097533C" w:rsidRPr="00222AE9" w:rsidP="0097533C">
      <w:pPr>
        <w:jc w:val="both"/>
        <w:rPr>
          <w:rFonts w:ascii="Verdana" w:hAnsi="Verdana"/>
          <w:sz w:val="22"/>
          <w:szCs w:val="22"/>
        </w:rPr>
      </w:pPr>
      <w:r w:rsidRPr="00222AE9">
        <w:rPr>
          <w:rFonts w:ascii="Verdana" w:hAnsi="Verdana"/>
          <w:sz w:val="22"/>
          <w:szCs w:val="22"/>
        </w:rPr>
        <w:t>Bacta believes the illegal gambling market presents a significant and growing consumer protection challenge.</w:t>
      </w:r>
    </w:p>
    <w:p w:rsidR="0097533C" w:rsidRPr="00222AE9" w:rsidP="0097533C">
      <w:pPr>
        <w:jc w:val="both"/>
        <w:rPr>
          <w:rFonts w:ascii="Verdana" w:hAnsi="Verdana"/>
          <w:sz w:val="22"/>
          <w:szCs w:val="22"/>
        </w:rPr>
      </w:pPr>
      <w:r w:rsidRPr="00222AE9">
        <w:rPr>
          <w:rFonts w:ascii="Verdana" w:hAnsi="Verdana"/>
          <w:sz w:val="22"/>
          <w:szCs w:val="22"/>
        </w:rPr>
        <w:t>Licensed operators are subject to extensive regulatory obligations including age verification, self-exclusion schemes, staff training, anti-money laundering controls, customer interaction requirements and regulatory oversight.</w:t>
      </w:r>
    </w:p>
    <w:p w:rsidR="0097533C" w:rsidRPr="00222AE9" w:rsidP="0097533C">
      <w:pPr>
        <w:jc w:val="both"/>
        <w:rPr>
          <w:rFonts w:ascii="Verdana" w:hAnsi="Verdana"/>
          <w:sz w:val="22"/>
          <w:szCs w:val="22"/>
        </w:rPr>
      </w:pPr>
      <w:r w:rsidRPr="00222AE9">
        <w:rPr>
          <w:rFonts w:ascii="Verdana" w:hAnsi="Verdana"/>
          <w:sz w:val="22"/>
          <w:szCs w:val="22"/>
        </w:rPr>
        <w:t>Illegal operators are not subject to these requirements and frequently provide consumers with none of the protections available within the regulated market.</w:t>
      </w:r>
    </w:p>
    <w:p w:rsidR="0097533C" w:rsidRPr="00222AE9" w:rsidP="0097533C">
      <w:pPr>
        <w:jc w:val="both"/>
        <w:rPr>
          <w:rFonts w:ascii="Verdana" w:hAnsi="Verdana"/>
          <w:sz w:val="22"/>
          <w:szCs w:val="22"/>
        </w:rPr>
      </w:pPr>
      <w:r w:rsidRPr="00222AE9">
        <w:rPr>
          <w:rFonts w:ascii="Verdana" w:hAnsi="Verdana"/>
          <w:sz w:val="22"/>
          <w:szCs w:val="22"/>
        </w:rPr>
        <w:t>The contrast is particularly stark within our sector, where Bacta members operate from staffed premises with direct customer interaction and clear accountability.</w:t>
      </w:r>
    </w:p>
    <w:p w:rsidR="00E400CC" w:rsidRPr="00222AE9" w:rsidP="0097533C">
      <w:pPr>
        <w:pStyle w:val="ListParagraph"/>
        <w:numPr>
          <w:ilvl w:val="0"/>
          <w:numId w:val="1"/>
        </w:numPr>
        <w:contextualSpacing w:val="0"/>
        <w:jc w:val="both"/>
        <w:rPr>
          <w:rFonts w:ascii="Verdana" w:hAnsi="Verdana"/>
          <w:sz w:val="22"/>
          <w:szCs w:val="22"/>
        </w:rPr>
      </w:pPr>
      <w:r w:rsidRPr="00222AE9">
        <w:rPr>
          <w:rFonts w:ascii="Verdana" w:hAnsi="Verdana"/>
          <w:sz w:val="22"/>
          <w:szCs w:val="22"/>
        </w:rPr>
        <w:t>To what extent is there a risk that further restrictions on the visibility of advertising by licensed operators will increase the relative prominence of the illegal market and contribute to increased gambling harm?</w:t>
      </w:r>
    </w:p>
    <w:p w:rsidR="0097533C" w:rsidRPr="00222AE9" w:rsidP="0097533C">
      <w:pPr>
        <w:jc w:val="both"/>
        <w:rPr>
          <w:rFonts w:ascii="Verdana" w:hAnsi="Verdana"/>
          <w:sz w:val="22"/>
          <w:szCs w:val="22"/>
        </w:rPr>
      </w:pPr>
      <w:r w:rsidRPr="00222AE9">
        <w:rPr>
          <w:rFonts w:ascii="Verdana" w:hAnsi="Verdana"/>
          <w:sz w:val="22"/>
          <w:szCs w:val="22"/>
        </w:rPr>
        <w:t>Advertising and marketing help consumers identify licensed and regulated operators.</w:t>
      </w:r>
    </w:p>
    <w:p w:rsidR="0097533C" w:rsidRPr="00222AE9" w:rsidP="0097533C">
      <w:pPr>
        <w:jc w:val="both"/>
        <w:rPr>
          <w:rFonts w:ascii="Verdana" w:hAnsi="Verdana"/>
          <w:sz w:val="22"/>
          <w:szCs w:val="22"/>
        </w:rPr>
      </w:pPr>
      <w:r w:rsidRPr="00222AE9">
        <w:rPr>
          <w:rFonts w:ascii="Verdana" w:hAnsi="Verdana"/>
          <w:sz w:val="22"/>
          <w:szCs w:val="22"/>
        </w:rPr>
        <w:t>If the visibility of licensed operators is substantially reduced, there is a risk that illegal operators become relatively more prominent. This could weaken channelisation and expose consumers to providers operating outside the British regulatory framework.</w:t>
      </w:r>
    </w:p>
    <w:p w:rsidR="0097533C" w:rsidRPr="00222AE9" w:rsidP="0097533C">
      <w:pPr>
        <w:jc w:val="both"/>
        <w:rPr>
          <w:rFonts w:ascii="Verdana" w:hAnsi="Verdana"/>
          <w:sz w:val="22"/>
          <w:szCs w:val="22"/>
        </w:rPr>
      </w:pPr>
      <w:r w:rsidRPr="00222AE9">
        <w:rPr>
          <w:rFonts w:ascii="Verdana" w:hAnsi="Verdana"/>
          <w:sz w:val="22"/>
          <w:szCs w:val="22"/>
        </w:rPr>
        <w:t>Any future restrictions should therefore be assessed against their potential impact on the size and attractiveness of the illegal market.</w:t>
      </w:r>
    </w:p>
    <w:p w:rsidR="00E400CC" w:rsidRPr="00222AE9" w:rsidP="0097533C">
      <w:pPr>
        <w:pStyle w:val="ListParagraph"/>
        <w:numPr>
          <w:ilvl w:val="0"/>
          <w:numId w:val="1"/>
        </w:numPr>
        <w:contextualSpacing w:val="0"/>
        <w:jc w:val="both"/>
        <w:rPr>
          <w:rFonts w:ascii="Verdana" w:hAnsi="Verdana"/>
          <w:sz w:val="22"/>
          <w:szCs w:val="22"/>
        </w:rPr>
      </w:pPr>
      <w:r w:rsidRPr="00222AE9">
        <w:rPr>
          <w:rFonts w:ascii="Verdana" w:hAnsi="Verdana"/>
          <w:sz w:val="22"/>
          <w:szCs w:val="22"/>
        </w:rPr>
        <w:t>Is the Gambling Commission adequately resourced to tackle illegal advertising by unlicensed operators, and does it have sufficient powers in relation to the dissemination of such advertising by social media companies?</w:t>
      </w:r>
    </w:p>
    <w:p w:rsidR="0097533C" w:rsidRPr="00222AE9" w:rsidP="0097533C">
      <w:pPr>
        <w:jc w:val="both"/>
        <w:rPr>
          <w:rFonts w:ascii="Verdana" w:hAnsi="Verdana"/>
          <w:sz w:val="22"/>
          <w:szCs w:val="22"/>
        </w:rPr>
      </w:pPr>
      <w:r w:rsidRPr="00222AE9">
        <w:rPr>
          <w:rFonts w:ascii="Verdana" w:hAnsi="Verdana"/>
          <w:sz w:val="22"/>
          <w:szCs w:val="22"/>
        </w:rPr>
        <w:t>The Gambling Commission has received additional resources in recent years and has taken positive steps to strengthen enforcement activity against illegal gambling.</w:t>
      </w:r>
    </w:p>
    <w:p w:rsidR="0097533C" w:rsidRPr="00222AE9" w:rsidP="0097533C">
      <w:pPr>
        <w:jc w:val="both"/>
        <w:rPr>
          <w:rFonts w:ascii="Verdana" w:hAnsi="Verdana"/>
          <w:sz w:val="22"/>
          <w:szCs w:val="22"/>
        </w:rPr>
      </w:pPr>
      <w:r w:rsidRPr="00222AE9">
        <w:rPr>
          <w:rFonts w:ascii="Verdana" w:hAnsi="Verdana"/>
          <w:sz w:val="22"/>
          <w:szCs w:val="22"/>
        </w:rPr>
        <w:t>However, Bacta believes there remains scope for greater focus on illegal land-based gambling activity, which can present significant risks to consumers and legitimate businesses alike.</w:t>
      </w:r>
    </w:p>
    <w:p w:rsidR="0097533C" w:rsidRPr="00222AE9" w:rsidP="0097533C">
      <w:pPr>
        <w:jc w:val="both"/>
        <w:rPr>
          <w:rFonts w:ascii="Verdana" w:hAnsi="Verdana"/>
          <w:sz w:val="22"/>
          <w:szCs w:val="22"/>
        </w:rPr>
      </w:pPr>
      <w:r w:rsidRPr="00222AE9">
        <w:rPr>
          <w:rFonts w:ascii="Verdana" w:hAnsi="Verdana"/>
          <w:sz w:val="22"/>
          <w:szCs w:val="22"/>
        </w:rPr>
        <w:t>We would support continued investment in enforcement capabilities, intelligence gathering and cross-agency cooperation, with a proportionate allocation of resources towards tackling illegal land-based gambling alongside online threats.</w:t>
      </w:r>
    </w:p>
    <w:p w:rsidR="00E400CC" w:rsidRPr="00222AE9" w:rsidP="00E400CC">
      <w:pPr>
        <w:rPr>
          <w:rFonts w:ascii="Verdana" w:hAnsi="Verdana"/>
          <w:sz w:val="22"/>
          <w:szCs w:val="22"/>
        </w:rPr>
      </w:pPr>
    </w:p>
    <w:p w:rsidR="00AA04DF" w:rsidRPr="00222AE9">
      <w:pPr>
        <w:rPr>
          <w:rFonts w:ascii="Verdana" w:hAnsi="Verdana"/>
          <w:i/>
          <w:iCs/>
          <w:sz w:val="22"/>
          <w:szCs w:val="22"/>
        </w:rPr>
      </w:pPr>
      <w:r>
        <w:rPr>
          <w:rFonts w:ascii="Verdana" w:hAnsi="Verdana"/>
          <w:i/>
          <w:iCs/>
          <w:sz w:val="22"/>
          <w:szCs w:val="22"/>
        </w:rPr>
        <w:t>June 2026</w:t>
      </w:r>
    </w:p>
    <w:sectPr w:rsidSect="00E40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A280E" w:rsidP="00E400CC">
      <w:pPr>
        <w:spacing w:after="0" w:line="240" w:lineRule="auto"/>
      </w:pPr>
      <w:r>
        <w:separator/>
      </w:r>
    </w:p>
  </w:footnote>
  <w:footnote w:type="continuationSeparator" w:id="1">
    <w:p w:rsidR="001A280E" w:rsidP="00E400CC">
      <w:pPr>
        <w:spacing w:after="0" w:line="240" w:lineRule="auto"/>
      </w:pPr>
      <w:r>
        <w:continuationSeparator/>
      </w:r>
    </w:p>
  </w:footnote>
  <w:footnote w:id="2">
    <w:p w:rsidR="00B46BE9" w:rsidRPr="00222AE9" w:rsidP="00B46BE9">
      <w:pPr>
        <w:pStyle w:val="FootnoteText"/>
        <w:rPr>
          <w:rFonts w:ascii="Verdana" w:hAnsi="Verdana"/>
          <w:sz w:val="18"/>
          <w:szCs w:val="18"/>
        </w:rPr>
      </w:pPr>
      <w:r w:rsidRPr="00222AE9">
        <w:rPr>
          <w:rStyle w:val="FootnoteReference"/>
          <w:rFonts w:ascii="Verdana" w:hAnsi="Verdana"/>
          <w:sz w:val="18"/>
          <w:szCs w:val="18"/>
        </w:rPr>
        <w:footnoteRef/>
      </w:r>
      <w:r w:rsidRPr="00222AE9">
        <w:rPr>
          <w:rFonts w:ascii="Verdana" w:hAnsi="Verdana"/>
          <w:sz w:val="18"/>
          <w:szCs w:val="18"/>
        </w:rPr>
        <w:t xml:space="preserve"> </w:t>
      </w:r>
      <w:r w:rsidRPr="00222AE9">
        <w:rPr>
          <w:rFonts w:ascii="Verdana" w:hAnsi="Verdana"/>
          <w:sz w:val="18"/>
          <w:szCs w:val="18"/>
        </w:rPr>
        <w:t>Select Committee on the Social and Economic Impact of the Gambling Industry,</w:t>
      </w:r>
    </w:p>
    <w:p w:rsidR="00E400CC" w:rsidRPr="00222AE9" w:rsidP="00B46BE9">
      <w:pPr>
        <w:pStyle w:val="FootnoteText"/>
        <w:rPr>
          <w:rFonts w:ascii="Verdana" w:hAnsi="Verdana"/>
          <w:sz w:val="18"/>
          <w:szCs w:val="18"/>
        </w:rPr>
      </w:pPr>
      <w:r>
        <w:fldChar w:fldCharType="begin"/>
      </w:r>
      <w:r>
        <w:instrText xml:space="preserve"> HYPERLINK "https://publications.parliament.uk/pa/ld5801/ldselect/ldgamb/79/7902.htm" </w:instrText>
      </w:r>
      <w:r>
        <w:fldChar w:fldCharType="separate"/>
      </w:r>
      <w:r w:rsidRPr="00222AE9">
        <w:rPr>
          <w:rStyle w:val="Hyperlink"/>
          <w:rFonts w:ascii="Verdana" w:hAnsi="Verdana"/>
          <w:i/>
          <w:iCs/>
          <w:color w:val="auto"/>
          <w:sz w:val="18"/>
          <w:szCs w:val="18"/>
        </w:rPr>
        <w:t>Gambling Harm—Time for Action</w:t>
      </w:r>
      <w:r>
        <w:fldChar w:fldCharType="end"/>
      </w:r>
      <w:r w:rsidRPr="00222AE9">
        <w:rPr>
          <w:rFonts w:ascii="Verdana" w:hAnsi="Verdana"/>
          <w:sz w:val="18"/>
          <w:szCs w:val="18"/>
        </w:rPr>
        <w:t xml:space="preserve"> (Report of Session 2019–21, HL Paper 79), </w:t>
      </w:r>
      <w:r w:rsidRPr="00222AE9">
        <w:rPr>
          <w:rFonts w:ascii="Verdana" w:hAnsi="Verdana"/>
          <w:sz w:val="18"/>
          <w:szCs w:val="18"/>
        </w:rPr>
        <w:t>para 494</w:t>
      </w:r>
    </w:p>
  </w:footnote>
  <w:footnote w:id="3">
    <w:p w:rsidR="00B46BE9" w:rsidRPr="00222AE9">
      <w:pPr>
        <w:pStyle w:val="FootnoteText"/>
        <w:rPr>
          <w:rFonts w:ascii="Verdana" w:hAnsi="Verdana"/>
          <w:sz w:val="18"/>
          <w:szCs w:val="18"/>
        </w:rPr>
      </w:pPr>
      <w:r w:rsidRPr="00222AE9">
        <w:rPr>
          <w:rStyle w:val="FootnoteReference"/>
          <w:rFonts w:ascii="Verdana" w:hAnsi="Verdana"/>
          <w:sz w:val="18"/>
          <w:szCs w:val="18"/>
        </w:rPr>
        <w:footnoteRef/>
      </w:r>
      <w:r w:rsidRPr="00222AE9">
        <w:rPr>
          <w:rFonts w:ascii="Verdana" w:hAnsi="Verdana"/>
          <w:sz w:val="18"/>
          <w:szCs w:val="18"/>
        </w:rPr>
        <w:t xml:space="preserve"> </w:t>
      </w:r>
      <w:r w:rsidRPr="00222AE9" w:rsidR="00F27938">
        <w:rPr>
          <w:rFonts w:ascii="Verdana" w:hAnsi="Verdana"/>
          <w:sz w:val="18"/>
          <w:szCs w:val="18"/>
        </w:rPr>
        <w:t xml:space="preserve">Correspondence, </w:t>
      </w:r>
      <w:r>
        <w:fldChar w:fldCharType="begin"/>
      </w:r>
      <w:r>
        <w:instrText xml:space="preserve"> HYPERLINK "https://committees.parliament.uk/publications/50355/documents/272168/default/" </w:instrText>
      </w:r>
      <w:r>
        <w:fldChar w:fldCharType="separate"/>
      </w:r>
      <w:r w:rsidRPr="00222AE9" w:rsidR="00F27938">
        <w:rPr>
          <w:rStyle w:val="Hyperlink"/>
          <w:rFonts w:ascii="Verdana" w:hAnsi="Verdana"/>
          <w:i/>
          <w:iCs/>
          <w:color w:val="auto"/>
          <w:sz w:val="18"/>
          <w:szCs w:val="18"/>
        </w:rPr>
        <w:t>Minister for Museums, Heritage and Gambling to the Chair of the Liaison Committee</w:t>
      </w:r>
      <w:r>
        <w:fldChar w:fldCharType="end"/>
      </w:r>
      <w:r w:rsidRPr="00222AE9" w:rsidR="00F27938">
        <w:rPr>
          <w:rFonts w:ascii="Verdana" w:hAnsi="Verdana"/>
          <w:sz w:val="18"/>
          <w:szCs w:val="18"/>
        </w:rPr>
        <w:t>, 16 July 2025</w:t>
      </w:r>
      <w:r w:rsidRPr="00222AE9" w:rsidR="009268DF">
        <w:rPr>
          <w:rFonts w:ascii="Verdana" w:hAnsi="Verdana"/>
          <w:sz w:val="18"/>
          <w:szCs w:val="18"/>
        </w:rPr>
        <w:t>, p 3</w:t>
      </w:r>
    </w:p>
  </w:footnote>
  <w:footnote w:id="4">
    <w:p w:rsidR="00E400CC" w:rsidRPr="00222AE9" w:rsidP="00E400CC">
      <w:pPr>
        <w:pStyle w:val="FootnoteText"/>
        <w:rPr>
          <w:rFonts w:ascii="Verdana" w:hAnsi="Verdana"/>
          <w:sz w:val="18"/>
          <w:szCs w:val="18"/>
        </w:rPr>
      </w:pPr>
      <w:r w:rsidRPr="00222AE9">
        <w:rPr>
          <w:rStyle w:val="FootnoteReference"/>
          <w:rFonts w:ascii="Verdana" w:hAnsi="Verdana"/>
          <w:sz w:val="18"/>
          <w:szCs w:val="18"/>
        </w:rPr>
        <w:footnoteRef/>
      </w:r>
      <w:r w:rsidRPr="00222AE9">
        <w:rPr>
          <w:rFonts w:ascii="Verdana" w:hAnsi="Verdana"/>
          <w:sz w:val="18"/>
          <w:szCs w:val="18"/>
        </w:rPr>
        <w:t xml:space="preserve"> </w:t>
      </w:r>
      <w:r w:rsidRPr="00222AE9" w:rsidR="002E500C">
        <w:rPr>
          <w:rFonts w:ascii="Verdana" w:hAnsi="Verdana"/>
          <w:sz w:val="18"/>
          <w:szCs w:val="18"/>
        </w:rPr>
        <w:t>HC Deb, 23 April 2026</w:t>
      </w:r>
      <w:r w:rsidRPr="00222AE9">
        <w:rPr>
          <w:rFonts w:ascii="Verdana" w:hAnsi="Verdana"/>
          <w:sz w:val="18"/>
          <w:szCs w:val="18"/>
        </w:rPr>
        <w:t xml:space="preserve">, </w:t>
      </w:r>
      <w:r>
        <w:fldChar w:fldCharType="begin"/>
      </w:r>
      <w:r>
        <w:instrText xml:space="preserve"> HYPERLINK "https://hansard.parliament.uk/Commons/2026-04-23/debates/2127CEE3-C39F-4114-BCAB-8319F7E12357/GamblingAdvertising" </w:instrText>
      </w:r>
      <w:r>
        <w:fldChar w:fldCharType="separate"/>
      </w:r>
      <w:r w:rsidRPr="00222AE9">
        <w:rPr>
          <w:rStyle w:val="Hyperlink"/>
          <w:rFonts w:ascii="Verdana" w:hAnsi="Verdana"/>
          <w:color w:val="auto"/>
          <w:sz w:val="18"/>
          <w:szCs w:val="18"/>
        </w:rPr>
        <w:t>col 228WH</w:t>
      </w:r>
      <w:r>
        <w:fldChar w:fldCharType="end"/>
      </w:r>
    </w:p>
  </w:footnote>
  <w:footnote w:id="5">
    <w:p w:rsidR="00E16F88" w:rsidRPr="00222AE9" w:rsidP="00E16F88">
      <w:pPr>
        <w:pStyle w:val="FootnoteText"/>
        <w:rPr>
          <w:rFonts w:ascii="Verdana" w:hAnsi="Verdana"/>
          <w:sz w:val="18"/>
          <w:szCs w:val="18"/>
        </w:rPr>
      </w:pPr>
      <w:r w:rsidRPr="00222AE9">
        <w:rPr>
          <w:rStyle w:val="FootnoteReference"/>
          <w:rFonts w:ascii="Verdana" w:hAnsi="Verdana"/>
          <w:sz w:val="18"/>
          <w:szCs w:val="18"/>
        </w:rPr>
        <w:footnoteRef/>
      </w:r>
      <w:r w:rsidRPr="00222AE9">
        <w:rPr>
          <w:rFonts w:ascii="Verdana" w:hAnsi="Verdana"/>
          <w:sz w:val="18"/>
          <w:szCs w:val="18"/>
        </w:rPr>
        <w:t xml:space="preserve"> </w:t>
      </w:r>
      <w:r w:rsidRPr="00222AE9" w:rsidR="00DE28DF">
        <w:rPr>
          <w:rFonts w:ascii="Verdana" w:hAnsi="Verdana"/>
          <w:sz w:val="18"/>
          <w:szCs w:val="18"/>
        </w:rPr>
        <w:t>GambleAware</w:t>
      </w:r>
      <w:r w:rsidRPr="00222AE9" w:rsidR="00DE28DF">
        <w:rPr>
          <w:rFonts w:ascii="Verdana" w:hAnsi="Verdana"/>
          <w:sz w:val="18"/>
          <w:szCs w:val="18"/>
        </w:rPr>
        <w:t xml:space="preserve">, </w:t>
      </w:r>
      <w:r>
        <w:fldChar w:fldCharType="begin"/>
      </w:r>
      <w:r>
        <w:instrText xml:space="preserve"> HYPERLINK "https://www.gambleaware.org/media/vdyljug2/gambleaware-legacy-report-final-11022026.pdf" </w:instrText>
      </w:r>
      <w:r>
        <w:fldChar w:fldCharType="separate"/>
      </w:r>
      <w:r w:rsidRPr="00222AE9" w:rsidR="00DE28DF">
        <w:rPr>
          <w:rStyle w:val="Hyperlink"/>
          <w:rFonts w:ascii="Verdana" w:hAnsi="Verdana"/>
          <w:i/>
          <w:iCs/>
          <w:color w:val="auto"/>
          <w:sz w:val="18"/>
          <w:szCs w:val="18"/>
        </w:rPr>
        <w:t>GambleAware</w:t>
      </w:r>
      <w:r w:rsidRPr="00222AE9" w:rsidR="00DE28DF">
        <w:rPr>
          <w:rStyle w:val="Hyperlink"/>
          <w:rFonts w:ascii="Verdana" w:hAnsi="Verdana"/>
          <w:i/>
          <w:iCs/>
          <w:color w:val="auto"/>
          <w:sz w:val="18"/>
          <w:szCs w:val="18"/>
        </w:rPr>
        <w:t xml:space="preserve"> Legacy Report 2026</w:t>
      </w:r>
      <w:r>
        <w:fldChar w:fldCharType="end"/>
      </w:r>
      <w:r w:rsidRPr="00222AE9" w:rsidR="00DE28DF">
        <w:rPr>
          <w:rFonts w:ascii="Verdana" w:hAnsi="Verdana"/>
          <w:sz w:val="18"/>
          <w:szCs w:val="18"/>
        </w:rPr>
        <w:t>, January 2026</w:t>
      </w:r>
      <w:r w:rsidRPr="00222AE9" w:rsidR="00D95958">
        <w:rPr>
          <w:rFonts w:ascii="Verdana" w:hAnsi="Verdana"/>
          <w:sz w:val="18"/>
          <w:szCs w:val="18"/>
        </w:rPr>
        <w:t>, pp 7–8</w:t>
      </w:r>
    </w:p>
  </w:footnote>
  <w:footnote w:id="6">
    <w:p w:rsidR="00447A5D" w:rsidRPr="00222AE9" w:rsidP="00447A5D">
      <w:pPr>
        <w:pStyle w:val="FootnoteText"/>
        <w:rPr>
          <w:rFonts w:ascii="Verdana" w:hAnsi="Verdana"/>
          <w:sz w:val="18"/>
          <w:szCs w:val="18"/>
        </w:rPr>
      </w:pPr>
      <w:r w:rsidRPr="00222AE9">
        <w:rPr>
          <w:rStyle w:val="FootnoteReference"/>
          <w:rFonts w:ascii="Verdana" w:hAnsi="Verdana"/>
          <w:sz w:val="18"/>
          <w:szCs w:val="18"/>
        </w:rPr>
        <w:footnoteRef/>
      </w:r>
      <w:r w:rsidRPr="00222AE9">
        <w:rPr>
          <w:rFonts w:ascii="Verdana" w:hAnsi="Verdana"/>
          <w:sz w:val="18"/>
          <w:szCs w:val="18"/>
        </w:rPr>
        <w:t xml:space="preserve"> </w:t>
      </w:r>
      <w:r w:rsidRPr="00222AE9">
        <w:rPr>
          <w:rFonts w:ascii="Verdana" w:hAnsi="Verdana"/>
          <w:sz w:val="18"/>
          <w:szCs w:val="18"/>
        </w:rPr>
        <w:t>Select Committee on the Social and Economic Impact of the Gambling Industry,</w:t>
      </w:r>
    </w:p>
    <w:p w:rsidR="00E400CC" w:rsidRPr="00222AE9" w:rsidP="00447A5D">
      <w:pPr>
        <w:pStyle w:val="FootnoteText"/>
        <w:rPr>
          <w:rFonts w:ascii="Verdana" w:hAnsi="Verdana"/>
          <w:sz w:val="18"/>
          <w:szCs w:val="18"/>
        </w:rPr>
      </w:pPr>
      <w:r>
        <w:fldChar w:fldCharType="begin"/>
      </w:r>
      <w:r>
        <w:instrText xml:space="preserve"> HYPERLINK "https://publications.parliament.uk/pa/ld5801/ldselect/ldgamb/79/7902.htm" </w:instrText>
      </w:r>
      <w:r>
        <w:fldChar w:fldCharType="separate"/>
      </w:r>
      <w:r w:rsidRPr="00222AE9">
        <w:rPr>
          <w:rStyle w:val="Hyperlink"/>
          <w:rFonts w:ascii="Verdana" w:hAnsi="Verdana"/>
          <w:i/>
          <w:iCs/>
          <w:color w:val="auto"/>
          <w:sz w:val="18"/>
          <w:szCs w:val="18"/>
        </w:rPr>
        <w:t>Gambling Harm—Time for Action</w:t>
      </w:r>
      <w:r>
        <w:fldChar w:fldCharType="end"/>
      </w:r>
      <w:r w:rsidRPr="00222AE9">
        <w:rPr>
          <w:rFonts w:ascii="Verdana" w:hAnsi="Verdana"/>
          <w:sz w:val="18"/>
          <w:szCs w:val="18"/>
        </w:rPr>
        <w:t xml:space="preserve"> (Report of Session 2019–21, HL Paper 79), </w:t>
      </w:r>
      <w:r w:rsidRPr="00222AE9">
        <w:rPr>
          <w:rFonts w:ascii="Verdana" w:hAnsi="Verdana"/>
          <w:sz w:val="18"/>
          <w:szCs w:val="18"/>
        </w:rPr>
        <w:t>paras 524</w:t>
      </w:r>
      <w:r w:rsidRPr="00222AE9">
        <w:rPr>
          <w:rFonts w:ascii="Verdana" w:hAnsi="Verdana"/>
          <w:sz w:val="18"/>
          <w:szCs w:val="18"/>
        </w:rPr>
        <w:t>–</w:t>
      </w:r>
      <w:r w:rsidRPr="00222AE9" w:rsidR="000F41D5">
        <w:rPr>
          <w:rFonts w:ascii="Verdana" w:hAnsi="Verdana"/>
          <w:sz w:val="18"/>
          <w:szCs w:val="18"/>
        </w:rPr>
        <w:t>5</w:t>
      </w:r>
      <w:r w:rsidRPr="00222AE9">
        <w:rPr>
          <w:rFonts w:ascii="Verdana" w:hAnsi="Verdana"/>
          <w:sz w:val="18"/>
          <w:szCs w:val="18"/>
        </w:rPr>
        <w:t>26</w:t>
      </w:r>
    </w:p>
  </w:footnote>
  <w:footnote w:id="7">
    <w:p w:rsidR="00447A5D" w:rsidRPr="00222AE9" w:rsidP="00447A5D">
      <w:pPr>
        <w:pStyle w:val="FootnoteText"/>
        <w:rPr>
          <w:rFonts w:ascii="Verdana" w:hAnsi="Verdana"/>
          <w:sz w:val="18"/>
          <w:szCs w:val="18"/>
        </w:rPr>
      </w:pPr>
      <w:r w:rsidRPr="00222AE9">
        <w:rPr>
          <w:rStyle w:val="FootnoteReference"/>
          <w:rFonts w:ascii="Verdana" w:hAnsi="Verdana"/>
          <w:sz w:val="18"/>
          <w:szCs w:val="18"/>
        </w:rPr>
        <w:footnoteRef/>
      </w:r>
      <w:r w:rsidRPr="00222AE9">
        <w:rPr>
          <w:rFonts w:ascii="Verdana" w:hAnsi="Verdana"/>
          <w:sz w:val="18"/>
          <w:szCs w:val="18"/>
        </w:rPr>
        <w:t xml:space="preserve"> </w:t>
      </w:r>
      <w:r w:rsidRPr="00222AE9">
        <w:rPr>
          <w:rFonts w:ascii="Verdana" w:hAnsi="Verdana"/>
          <w:sz w:val="18"/>
          <w:szCs w:val="18"/>
        </w:rPr>
        <w:t>Select Committee on the Social and Economic Impact of the Gambling Industry,</w:t>
      </w:r>
    </w:p>
    <w:p w:rsidR="00E400CC" w:rsidRPr="00222AE9" w:rsidP="00447A5D">
      <w:pPr>
        <w:pStyle w:val="FootnoteText"/>
        <w:rPr>
          <w:rFonts w:ascii="Verdana" w:hAnsi="Verdana"/>
          <w:sz w:val="18"/>
          <w:szCs w:val="18"/>
        </w:rPr>
      </w:pPr>
      <w:r>
        <w:fldChar w:fldCharType="begin"/>
      </w:r>
      <w:r>
        <w:instrText xml:space="preserve"> HYPERLINK "https://publications.parliament.uk/pa/ld5801/ldselect/ldgamb/79/7902.htm" </w:instrText>
      </w:r>
      <w:r>
        <w:fldChar w:fldCharType="separate"/>
      </w:r>
      <w:r w:rsidRPr="00222AE9">
        <w:rPr>
          <w:rStyle w:val="Hyperlink"/>
          <w:rFonts w:ascii="Verdana" w:hAnsi="Verdana"/>
          <w:i/>
          <w:iCs/>
          <w:color w:val="auto"/>
          <w:sz w:val="18"/>
          <w:szCs w:val="18"/>
        </w:rPr>
        <w:t>Gambling Harm—Time for Action</w:t>
      </w:r>
      <w:r>
        <w:fldChar w:fldCharType="end"/>
      </w:r>
      <w:r w:rsidRPr="00222AE9">
        <w:rPr>
          <w:rFonts w:ascii="Verdana" w:hAnsi="Verdana"/>
          <w:sz w:val="18"/>
          <w:szCs w:val="18"/>
        </w:rPr>
        <w:t xml:space="preserve"> (Report of Session 2019–21, HL Paper 79), </w:t>
      </w:r>
      <w:r w:rsidRPr="00222AE9">
        <w:rPr>
          <w:rFonts w:ascii="Verdana" w:hAnsi="Verdana"/>
          <w:sz w:val="18"/>
          <w:szCs w:val="18"/>
        </w:rPr>
        <w:t>para 530</w:t>
      </w:r>
    </w:p>
  </w:footnote>
  <w:footnote w:id="8">
    <w:p w:rsidR="00E400CC" w:rsidRPr="00222AE9" w:rsidP="00E400CC">
      <w:pPr>
        <w:pStyle w:val="FootnoteText"/>
        <w:rPr>
          <w:rFonts w:ascii="Verdana" w:hAnsi="Verdana"/>
          <w:sz w:val="18"/>
          <w:szCs w:val="18"/>
        </w:rPr>
      </w:pPr>
      <w:r w:rsidRPr="00222AE9">
        <w:rPr>
          <w:rStyle w:val="FootnoteReference"/>
          <w:rFonts w:ascii="Verdana" w:hAnsi="Verdana"/>
          <w:sz w:val="18"/>
          <w:szCs w:val="18"/>
        </w:rPr>
        <w:footnoteRef/>
      </w:r>
      <w:r w:rsidRPr="00222AE9">
        <w:rPr>
          <w:rFonts w:ascii="Verdana" w:hAnsi="Verdana"/>
          <w:sz w:val="18"/>
          <w:szCs w:val="18"/>
        </w:rPr>
        <w:t xml:space="preserve"> </w:t>
      </w:r>
      <w:r w:rsidRPr="00222AE9" w:rsidR="00FB36F8">
        <w:rPr>
          <w:rFonts w:ascii="Verdana" w:hAnsi="Verdana"/>
          <w:sz w:val="18"/>
          <w:szCs w:val="18"/>
        </w:rPr>
        <w:t xml:space="preserve">Gambling Commission, </w:t>
      </w:r>
      <w:r>
        <w:fldChar w:fldCharType="begin"/>
      </w:r>
      <w:r>
        <w:instrText xml:space="preserve"> HYPERLINK "https://www.gamblingcommission.gov.uk/consultation-response/autumn-2023-consultation-proposed-changes-to-lccp-and-rts-socially" </w:instrText>
      </w:r>
      <w:r>
        <w:fldChar w:fldCharType="separate"/>
      </w:r>
      <w:r w:rsidRPr="00222AE9" w:rsidR="00FB36F8">
        <w:rPr>
          <w:rStyle w:val="Hyperlink"/>
          <w:rFonts w:ascii="Verdana" w:hAnsi="Verdana"/>
          <w:i/>
          <w:iCs/>
          <w:color w:val="auto"/>
          <w:sz w:val="18"/>
          <w:szCs w:val="18"/>
        </w:rPr>
        <w:t>Autumn 2023 consultation—Proposed changes to LCCP and RTS—Socially responsible incentives: Consultation Response</w:t>
      </w:r>
      <w:r>
        <w:fldChar w:fldCharType="end"/>
      </w:r>
      <w:r w:rsidRPr="00222AE9" w:rsidR="00FB36F8">
        <w:rPr>
          <w:rFonts w:ascii="Verdana" w:hAnsi="Verdana"/>
          <w:sz w:val="18"/>
          <w:szCs w:val="18"/>
        </w:rPr>
        <w:t xml:space="preserve">, </w:t>
      </w:r>
      <w:r w:rsidRPr="00222AE9" w:rsidR="000E63BE">
        <w:rPr>
          <w:rFonts w:ascii="Verdana" w:hAnsi="Verdana"/>
          <w:sz w:val="18"/>
          <w:szCs w:val="18"/>
        </w:rPr>
        <w:t>26 March 2025</w:t>
      </w:r>
    </w:p>
  </w:footnote>
  <w:footnote w:id="9">
    <w:p w:rsidR="00732079" w:rsidRPr="00222AE9" w:rsidP="00732079">
      <w:pPr>
        <w:pStyle w:val="FootnoteText"/>
        <w:rPr>
          <w:rFonts w:ascii="Verdana" w:hAnsi="Verdana"/>
          <w:sz w:val="18"/>
          <w:szCs w:val="18"/>
        </w:rPr>
      </w:pPr>
      <w:r w:rsidRPr="00222AE9">
        <w:rPr>
          <w:rStyle w:val="FootnoteReference"/>
          <w:rFonts w:ascii="Verdana" w:hAnsi="Verdana"/>
          <w:sz w:val="18"/>
          <w:szCs w:val="18"/>
        </w:rPr>
        <w:footnoteRef/>
      </w:r>
      <w:r w:rsidRPr="00222AE9">
        <w:rPr>
          <w:rFonts w:ascii="Verdana" w:hAnsi="Verdana"/>
          <w:sz w:val="18"/>
          <w:szCs w:val="18"/>
        </w:rPr>
        <w:t xml:space="preserve"> </w:t>
      </w:r>
      <w:r w:rsidRPr="00222AE9">
        <w:rPr>
          <w:rFonts w:ascii="Verdana" w:hAnsi="Verdana"/>
          <w:sz w:val="18"/>
          <w:szCs w:val="18"/>
        </w:rPr>
        <w:t>Select Committee on the Social and Economic Impact of the Gambling Industry,</w:t>
      </w:r>
    </w:p>
    <w:p w:rsidR="00E400CC" w:rsidRPr="00222AE9" w:rsidP="00732079">
      <w:pPr>
        <w:pStyle w:val="FootnoteText"/>
        <w:rPr>
          <w:rFonts w:ascii="Verdana" w:hAnsi="Verdana"/>
          <w:sz w:val="18"/>
          <w:szCs w:val="18"/>
        </w:rPr>
      </w:pPr>
      <w:r>
        <w:fldChar w:fldCharType="begin"/>
      </w:r>
      <w:r>
        <w:instrText xml:space="preserve"> HYPERLINK "https://publications.parliament.uk/pa/ld5801/ldselect/ldgamb/79/7902.htm" </w:instrText>
      </w:r>
      <w:r>
        <w:fldChar w:fldCharType="separate"/>
      </w:r>
      <w:r w:rsidRPr="00222AE9">
        <w:rPr>
          <w:rStyle w:val="Hyperlink"/>
          <w:rFonts w:ascii="Verdana" w:hAnsi="Verdana"/>
          <w:i/>
          <w:iCs/>
          <w:color w:val="auto"/>
          <w:sz w:val="18"/>
          <w:szCs w:val="18"/>
        </w:rPr>
        <w:t>Gambling Harm—Time for Action</w:t>
      </w:r>
      <w:r>
        <w:fldChar w:fldCharType="end"/>
      </w:r>
      <w:r w:rsidRPr="00222AE9">
        <w:rPr>
          <w:rFonts w:ascii="Verdana" w:hAnsi="Verdana"/>
          <w:sz w:val="18"/>
          <w:szCs w:val="18"/>
        </w:rPr>
        <w:t xml:space="preserve"> (Report of Session 2019–21, HL Paper 79)</w:t>
      </w:r>
      <w:r w:rsidRPr="00222AE9">
        <w:rPr>
          <w:rFonts w:ascii="Verdana" w:hAnsi="Verdana"/>
          <w:sz w:val="18"/>
          <w:szCs w:val="18"/>
        </w:rPr>
        <w:t>, para 535</w:t>
      </w:r>
    </w:p>
  </w:footnote>
  <w:footnote w:id="10">
    <w:p w:rsidR="00E400CC" w:rsidRPr="00222AE9" w:rsidP="00E400CC">
      <w:pPr>
        <w:pStyle w:val="FootnoteText"/>
        <w:rPr>
          <w:rFonts w:ascii="Verdana" w:hAnsi="Verdana"/>
          <w:sz w:val="18"/>
          <w:szCs w:val="18"/>
        </w:rPr>
      </w:pPr>
      <w:r w:rsidRPr="00222AE9">
        <w:rPr>
          <w:rStyle w:val="FootnoteReference"/>
          <w:rFonts w:ascii="Verdana" w:hAnsi="Verdana"/>
          <w:sz w:val="18"/>
          <w:szCs w:val="18"/>
        </w:rPr>
        <w:footnoteRef/>
      </w:r>
      <w:r w:rsidRPr="00222AE9">
        <w:rPr>
          <w:rFonts w:ascii="Verdana" w:hAnsi="Verdana"/>
          <w:sz w:val="18"/>
          <w:szCs w:val="18"/>
        </w:rPr>
        <w:t xml:space="preserve"> </w:t>
      </w:r>
      <w:r w:rsidRPr="00222AE9" w:rsidR="0051462F">
        <w:rPr>
          <w:rFonts w:ascii="Verdana" w:hAnsi="Verdana"/>
          <w:sz w:val="18"/>
          <w:szCs w:val="18"/>
        </w:rPr>
        <w:t xml:space="preserve">Gambling Commission, </w:t>
      </w:r>
      <w:r>
        <w:fldChar w:fldCharType="begin"/>
      </w:r>
      <w:r>
        <w:instrText xml:space="preserve"> HYPERLINK "https://www.gamblingcommission.gov.uk/consultation-response/summer-2023-consultation-proposed-changes-to-lccp-and-rts-consultation" \l "changes" </w:instrText>
      </w:r>
      <w:r>
        <w:fldChar w:fldCharType="separate"/>
      </w:r>
      <w:r w:rsidRPr="00222AE9" w:rsidR="0051462F">
        <w:rPr>
          <w:rStyle w:val="Hyperlink"/>
          <w:rFonts w:ascii="Verdana" w:hAnsi="Verdana"/>
          <w:i/>
          <w:iCs/>
          <w:color w:val="auto"/>
          <w:sz w:val="18"/>
          <w:szCs w:val="18"/>
        </w:rPr>
        <w:t>Summer 2023 consultation—Proposed changes to LCCP and RTS: Consultation Response</w:t>
      </w:r>
      <w:r>
        <w:fldChar w:fldCharType="end"/>
      </w:r>
      <w:r w:rsidRPr="00222AE9" w:rsidR="0051462F">
        <w:rPr>
          <w:rFonts w:ascii="Verdana" w:hAnsi="Verdana"/>
          <w:sz w:val="18"/>
          <w:szCs w:val="18"/>
        </w:rPr>
        <w:t>, 1 May 2024</w:t>
      </w:r>
    </w:p>
  </w:footnote>
  <w:footnote w:id="11">
    <w:p w:rsidR="00CC177E" w:rsidRPr="00222AE9" w:rsidP="00CC177E">
      <w:pPr>
        <w:pStyle w:val="FootnoteText"/>
        <w:rPr>
          <w:rFonts w:ascii="Verdana" w:hAnsi="Verdana"/>
          <w:sz w:val="18"/>
          <w:szCs w:val="18"/>
        </w:rPr>
      </w:pPr>
      <w:r w:rsidRPr="00222AE9">
        <w:rPr>
          <w:rStyle w:val="FootnoteReference"/>
          <w:rFonts w:ascii="Verdana" w:hAnsi="Verdana"/>
          <w:sz w:val="18"/>
          <w:szCs w:val="18"/>
        </w:rPr>
        <w:footnoteRef/>
      </w:r>
      <w:r w:rsidRPr="00222AE9">
        <w:rPr>
          <w:rFonts w:ascii="Verdana" w:hAnsi="Verdana"/>
          <w:sz w:val="18"/>
          <w:szCs w:val="18"/>
        </w:rPr>
        <w:t xml:space="preserve"> </w:t>
      </w:r>
      <w:r w:rsidRPr="00222AE9">
        <w:rPr>
          <w:rFonts w:ascii="Verdana" w:hAnsi="Verdana"/>
          <w:sz w:val="18"/>
          <w:szCs w:val="18"/>
        </w:rPr>
        <w:t>Select Committee on the Social and Economic Impact of the Gambling Industry,</w:t>
      </w:r>
    </w:p>
    <w:p w:rsidR="00E400CC" w:rsidRPr="00222AE9" w:rsidP="00CC177E">
      <w:pPr>
        <w:pStyle w:val="FootnoteText"/>
        <w:rPr>
          <w:rFonts w:ascii="Verdana" w:hAnsi="Verdana"/>
          <w:sz w:val="18"/>
          <w:szCs w:val="18"/>
        </w:rPr>
      </w:pPr>
      <w:r>
        <w:fldChar w:fldCharType="begin"/>
      </w:r>
      <w:r>
        <w:instrText xml:space="preserve"> HYPERLINK "https://publications.parliament.uk/pa/ld5801/ldselect/ldgamb/79/7902.htm" </w:instrText>
      </w:r>
      <w:r>
        <w:fldChar w:fldCharType="separate"/>
      </w:r>
      <w:r w:rsidRPr="00222AE9">
        <w:rPr>
          <w:rStyle w:val="Hyperlink"/>
          <w:rFonts w:ascii="Verdana" w:hAnsi="Verdana"/>
          <w:i/>
          <w:iCs/>
          <w:color w:val="auto"/>
          <w:sz w:val="18"/>
          <w:szCs w:val="18"/>
        </w:rPr>
        <w:t>Gambling Harm—Time for Action</w:t>
      </w:r>
      <w:r>
        <w:fldChar w:fldCharType="end"/>
      </w:r>
      <w:r w:rsidRPr="00222AE9">
        <w:rPr>
          <w:rFonts w:ascii="Verdana" w:hAnsi="Verdana"/>
          <w:sz w:val="18"/>
          <w:szCs w:val="18"/>
        </w:rPr>
        <w:t xml:space="preserve"> (Report of Session 2019–21, HL Paper 79), </w:t>
      </w:r>
      <w:r w:rsidRPr="00222AE9">
        <w:rPr>
          <w:rFonts w:ascii="Verdana" w:hAnsi="Verdana"/>
          <w:sz w:val="18"/>
          <w:szCs w:val="18"/>
        </w:rPr>
        <w:t>para 541</w:t>
      </w:r>
    </w:p>
  </w:footnote>
  <w:footnote w:id="12">
    <w:p w:rsidR="008D1269" w:rsidRPr="00222AE9" w:rsidP="008D1269">
      <w:pPr>
        <w:pStyle w:val="FootnoteText"/>
        <w:rPr>
          <w:rFonts w:ascii="Verdana" w:hAnsi="Verdana"/>
          <w:sz w:val="18"/>
          <w:szCs w:val="18"/>
        </w:rPr>
      </w:pPr>
      <w:r w:rsidRPr="00222AE9">
        <w:rPr>
          <w:rStyle w:val="FootnoteReference"/>
          <w:rFonts w:ascii="Verdana" w:hAnsi="Verdana"/>
          <w:sz w:val="18"/>
          <w:szCs w:val="18"/>
        </w:rPr>
        <w:footnoteRef/>
      </w:r>
      <w:r w:rsidRPr="00222AE9">
        <w:rPr>
          <w:rFonts w:ascii="Verdana" w:hAnsi="Verdana"/>
          <w:sz w:val="18"/>
          <w:szCs w:val="18"/>
        </w:rPr>
        <w:t xml:space="preserve"> </w:t>
      </w:r>
      <w:r w:rsidRPr="00222AE9">
        <w:rPr>
          <w:rFonts w:ascii="Verdana" w:hAnsi="Verdana"/>
          <w:sz w:val="18"/>
          <w:szCs w:val="18"/>
        </w:rPr>
        <w:t>Select Committee on the Social and Economic Impact of the Gambling Industry,</w:t>
      </w:r>
    </w:p>
    <w:p w:rsidR="00E400CC" w:rsidRPr="00222AE9" w:rsidP="008D1269">
      <w:pPr>
        <w:pStyle w:val="FootnoteText"/>
        <w:rPr>
          <w:rFonts w:ascii="Verdana" w:hAnsi="Verdana"/>
          <w:sz w:val="18"/>
          <w:szCs w:val="18"/>
        </w:rPr>
      </w:pPr>
      <w:r>
        <w:fldChar w:fldCharType="begin"/>
      </w:r>
      <w:r>
        <w:instrText xml:space="preserve"> HYPERLINK "https://publications.parliament.uk/pa/ld5801/ldselect/ldgamb/79/7902.htm" </w:instrText>
      </w:r>
      <w:r>
        <w:fldChar w:fldCharType="separate"/>
      </w:r>
      <w:r w:rsidRPr="00222AE9">
        <w:rPr>
          <w:rStyle w:val="Hyperlink"/>
          <w:rFonts w:ascii="Verdana" w:hAnsi="Verdana"/>
          <w:i/>
          <w:iCs/>
          <w:color w:val="auto"/>
          <w:sz w:val="18"/>
          <w:szCs w:val="18"/>
        </w:rPr>
        <w:t>Gambling Harm—Time for Action</w:t>
      </w:r>
      <w:r>
        <w:fldChar w:fldCharType="end"/>
      </w:r>
      <w:r w:rsidRPr="00222AE9">
        <w:rPr>
          <w:rFonts w:ascii="Verdana" w:hAnsi="Verdana"/>
          <w:sz w:val="18"/>
          <w:szCs w:val="18"/>
        </w:rPr>
        <w:t xml:space="preserve"> (Report of Session 2019–21, HL Paper 79), </w:t>
      </w:r>
      <w:r w:rsidRPr="00222AE9">
        <w:rPr>
          <w:rFonts w:ascii="Verdana" w:hAnsi="Verdana"/>
          <w:sz w:val="18"/>
          <w:szCs w:val="18"/>
        </w:rPr>
        <w:t>para 250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A61431"/>
    <w:multiLevelType w:val="hybridMultilevel"/>
    <w:tmpl w:val="036494F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FA06E2"/>
    <w:multiLevelType w:val="hybridMultilevel"/>
    <w:tmpl w:val="F7F894BA"/>
    <w:lvl w:ilvl="0">
      <w:start w:val="1"/>
      <w:numFmt w:val="decimal"/>
      <w:lvlText w:val="%1."/>
      <w:lvlJc w:val="left"/>
      <w:pPr>
        <w:ind w:left="720" w:hanging="360"/>
      </w:pPr>
      <w:rPr>
        <w:rFonts w:hint="default"/>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B4C1F3F"/>
    <w:multiLevelType w:val="hybridMultilevel"/>
    <w:tmpl w:val="FD3C986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0FBF4161"/>
    <w:multiLevelType w:val="hybridMultilevel"/>
    <w:tmpl w:val="D374B90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1E892998"/>
    <w:multiLevelType w:val="hybridMultilevel"/>
    <w:tmpl w:val="BD76D75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2F4935DA"/>
    <w:multiLevelType w:val="hybridMultilevel"/>
    <w:tmpl w:val="771AA93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4B17006B"/>
    <w:multiLevelType w:val="hybridMultilevel"/>
    <w:tmpl w:val="767ACA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4FB5E4F"/>
    <w:multiLevelType w:val="hybridMultilevel"/>
    <w:tmpl w:val="A308DBF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6BAE2F28"/>
    <w:multiLevelType w:val="multilevel"/>
    <w:tmpl w:val="8C9EF8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6DE964C7"/>
    <w:multiLevelType w:val="hybridMultilevel"/>
    <w:tmpl w:val="F78A0A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3097E6D"/>
    <w:multiLevelType w:val="hybridMultilevel"/>
    <w:tmpl w:val="D0EA2D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76C955D5"/>
    <w:multiLevelType w:val="hybridMultilevel"/>
    <w:tmpl w:val="14320E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E0B2DD8"/>
    <w:multiLevelType w:val="hybridMultilevel"/>
    <w:tmpl w:val="F692DA4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7EA26A11"/>
    <w:multiLevelType w:val="hybridMultilevel"/>
    <w:tmpl w:val="9B1E42E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abstractNumId w:val="1"/>
  </w:num>
  <w:num w:numId="2">
    <w:abstractNumId w:val="2"/>
  </w:num>
  <w:num w:numId="3">
    <w:abstractNumId w:val="5"/>
  </w:num>
  <w:num w:numId="4">
    <w:abstractNumId w:val="13"/>
  </w:num>
  <w:num w:numId="5">
    <w:abstractNumId w:val="4"/>
  </w:num>
  <w:num w:numId="6">
    <w:abstractNumId w:val="7"/>
  </w:num>
  <w:num w:numId="7">
    <w:abstractNumId w:val="12"/>
  </w:num>
  <w:num w:numId="8">
    <w:abstractNumId w:val="3"/>
  </w:num>
  <w:num w:numId="9">
    <w:abstractNumId w:val="9"/>
  </w:num>
  <w:num w:numId="10">
    <w:abstractNumId w:val="11"/>
  </w:num>
  <w:num w:numId="11">
    <w:abstractNumId w:val="0"/>
  </w:num>
  <w:num w:numId="12">
    <w:abstractNumId w:val="8"/>
  </w:num>
  <w:num w:numId="13">
    <w:abstractNumId w:val="6"/>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TW"/>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400CC"/>
  </w:style>
  <w:style w:type="paragraph" w:styleId="Heading1">
    <w:name w:val="heading 1"/>
    <w:basedOn w:val="Normal"/>
    <w:next w:val="Normal"/>
    <w:link w:val="Heading1Char"/>
    <w:uiPriority w:val="9"/>
    <w:qFormat/>
    <w:rsid w:val="00E400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00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00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00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00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00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00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00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00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00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00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00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00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00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00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00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00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00CC"/>
    <w:rPr>
      <w:rFonts w:eastAsiaTheme="majorEastAsia" w:cstheme="majorBidi"/>
      <w:color w:val="272727" w:themeColor="text1" w:themeTint="D8"/>
    </w:rPr>
  </w:style>
  <w:style w:type="paragraph" w:styleId="Title">
    <w:name w:val="Title"/>
    <w:basedOn w:val="Normal"/>
    <w:next w:val="Normal"/>
    <w:link w:val="TitleChar"/>
    <w:uiPriority w:val="10"/>
    <w:qFormat/>
    <w:rsid w:val="00E400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00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00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00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00CC"/>
    <w:pPr>
      <w:spacing w:before="160"/>
      <w:jc w:val="center"/>
    </w:pPr>
    <w:rPr>
      <w:i/>
      <w:iCs/>
      <w:color w:val="404040" w:themeColor="text1" w:themeTint="BF"/>
    </w:rPr>
  </w:style>
  <w:style w:type="character" w:customStyle="1" w:styleId="QuoteChar">
    <w:name w:val="Quote Char"/>
    <w:basedOn w:val="DefaultParagraphFont"/>
    <w:link w:val="Quote"/>
    <w:uiPriority w:val="29"/>
    <w:rsid w:val="00E400CC"/>
    <w:rPr>
      <w:i/>
      <w:iCs/>
      <w:color w:val="404040" w:themeColor="text1" w:themeTint="BF"/>
    </w:rPr>
  </w:style>
  <w:style w:type="paragraph" w:styleId="ListParagraph">
    <w:name w:val="List Paragraph"/>
    <w:basedOn w:val="Normal"/>
    <w:uiPriority w:val="34"/>
    <w:qFormat/>
    <w:rsid w:val="00E400CC"/>
    <w:pPr>
      <w:ind w:left="720"/>
      <w:contextualSpacing/>
    </w:pPr>
  </w:style>
  <w:style w:type="character" w:styleId="IntenseEmphasis">
    <w:name w:val="Intense Emphasis"/>
    <w:basedOn w:val="DefaultParagraphFont"/>
    <w:uiPriority w:val="21"/>
    <w:qFormat/>
    <w:rsid w:val="00E400CC"/>
    <w:rPr>
      <w:i/>
      <w:iCs/>
      <w:color w:val="0F4761" w:themeColor="accent1" w:themeShade="BF"/>
    </w:rPr>
  </w:style>
  <w:style w:type="paragraph" w:styleId="IntenseQuote">
    <w:name w:val="Intense Quote"/>
    <w:basedOn w:val="Normal"/>
    <w:next w:val="Normal"/>
    <w:link w:val="IntenseQuoteChar"/>
    <w:uiPriority w:val="30"/>
    <w:qFormat/>
    <w:rsid w:val="00E400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00CC"/>
    <w:rPr>
      <w:i/>
      <w:iCs/>
      <w:color w:val="0F4761" w:themeColor="accent1" w:themeShade="BF"/>
    </w:rPr>
  </w:style>
  <w:style w:type="character" w:styleId="IntenseReference">
    <w:name w:val="Intense Reference"/>
    <w:basedOn w:val="DefaultParagraphFont"/>
    <w:uiPriority w:val="32"/>
    <w:qFormat/>
    <w:rsid w:val="00E400CC"/>
    <w:rPr>
      <w:b/>
      <w:bCs/>
      <w:smallCaps/>
      <w:color w:val="0F4761" w:themeColor="accent1" w:themeShade="BF"/>
      <w:spacing w:val="5"/>
    </w:rPr>
  </w:style>
  <w:style w:type="character" w:styleId="CommentReference">
    <w:name w:val="annotation reference"/>
    <w:basedOn w:val="DefaultParagraphFont"/>
    <w:uiPriority w:val="99"/>
    <w:semiHidden/>
    <w:unhideWhenUsed/>
    <w:rsid w:val="00E400CC"/>
    <w:rPr>
      <w:sz w:val="16"/>
      <w:szCs w:val="16"/>
    </w:rPr>
  </w:style>
  <w:style w:type="paragraph" w:styleId="CommentText">
    <w:name w:val="annotation text"/>
    <w:basedOn w:val="Normal"/>
    <w:link w:val="CommentTextChar"/>
    <w:uiPriority w:val="99"/>
    <w:unhideWhenUsed/>
    <w:rsid w:val="00E400CC"/>
    <w:pPr>
      <w:spacing w:line="240" w:lineRule="auto"/>
    </w:pPr>
    <w:rPr>
      <w:sz w:val="20"/>
      <w:szCs w:val="20"/>
    </w:rPr>
  </w:style>
  <w:style w:type="character" w:customStyle="1" w:styleId="CommentTextChar">
    <w:name w:val="Comment Text Char"/>
    <w:basedOn w:val="DefaultParagraphFont"/>
    <w:link w:val="CommentText"/>
    <w:uiPriority w:val="99"/>
    <w:rsid w:val="00E400CC"/>
    <w:rPr>
      <w:sz w:val="20"/>
      <w:szCs w:val="20"/>
    </w:rPr>
  </w:style>
  <w:style w:type="paragraph" w:styleId="FootnoteText">
    <w:name w:val="footnote text"/>
    <w:basedOn w:val="Normal"/>
    <w:link w:val="FootnoteTextChar"/>
    <w:uiPriority w:val="99"/>
    <w:semiHidden/>
    <w:unhideWhenUsed/>
    <w:rsid w:val="00E400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00CC"/>
    <w:rPr>
      <w:sz w:val="20"/>
      <w:szCs w:val="20"/>
    </w:rPr>
  </w:style>
  <w:style w:type="character" w:styleId="FootnoteReference">
    <w:name w:val="footnote reference"/>
    <w:basedOn w:val="DefaultParagraphFont"/>
    <w:uiPriority w:val="99"/>
    <w:semiHidden/>
    <w:unhideWhenUsed/>
    <w:rsid w:val="00E400CC"/>
    <w:rPr>
      <w:vertAlign w:val="superscript"/>
    </w:rPr>
  </w:style>
  <w:style w:type="character" w:styleId="Hyperlink">
    <w:name w:val="Hyperlink"/>
    <w:basedOn w:val="DefaultParagraphFont"/>
    <w:uiPriority w:val="99"/>
    <w:unhideWhenUsed/>
    <w:rsid w:val="00E400CC"/>
    <w:rPr>
      <w:color w:val="467886" w:themeColor="hyperlink"/>
      <w:u w:val="single"/>
    </w:rPr>
  </w:style>
  <w:style w:type="character" w:styleId="FollowedHyperlink">
    <w:name w:val="FollowedHyperlink"/>
    <w:basedOn w:val="DefaultParagraphFont"/>
    <w:uiPriority w:val="99"/>
    <w:semiHidden/>
    <w:unhideWhenUsed/>
    <w:rsid w:val="00E400CC"/>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194954"/>
    <w:rPr>
      <w:b/>
      <w:bCs/>
    </w:rPr>
  </w:style>
  <w:style w:type="character" w:customStyle="1" w:styleId="CommentSubjectChar">
    <w:name w:val="Comment Subject Char"/>
    <w:basedOn w:val="CommentTextChar"/>
    <w:link w:val="CommentSubject"/>
    <w:uiPriority w:val="99"/>
    <w:semiHidden/>
    <w:rsid w:val="00194954"/>
    <w:rPr>
      <w:b/>
      <w:bCs/>
      <w:sz w:val="20"/>
      <w:szCs w:val="20"/>
    </w:rPr>
  </w:style>
  <w:style w:type="paragraph" w:styleId="Revision">
    <w:name w:val="Revision"/>
    <w:hidden/>
    <w:uiPriority w:val="99"/>
    <w:semiHidden/>
    <w:rsid w:val="009D1D5E"/>
    <w:pPr>
      <w:spacing w:after="0" w:line="240" w:lineRule="auto"/>
    </w:pPr>
  </w:style>
  <w:style w:type="character" w:customStyle="1" w:styleId="UnresolvedMention">
    <w:name w:val="Unresolved Mention"/>
    <w:basedOn w:val="DefaultParagraphFont"/>
    <w:uiPriority w:val="99"/>
    <w:semiHidden/>
    <w:unhideWhenUsed/>
    <w:rsid w:val="006933B2"/>
    <w:rPr>
      <w:color w:val="605E5C"/>
      <w:shd w:val="clear" w:color="auto" w:fill="E1DFDD"/>
    </w:rPr>
  </w:style>
  <w:style w:type="paragraph" w:styleId="Header">
    <w:name w:val="header"/>
    <w:basedOn w:val="Normal"/>
    <w:link w:val="HeaderChar"/>
    <w:uiPriority w:val="99"/>
    <w:unhideWhenUsed/>
    <w:rsid w:val="001C56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56D4"/>
  </w:style>
  <w:style w:type="paragraph" w:styleId="Footer">
    <w:name w:val="footer"/>
    <w:basedOn w:val="Normal"/>
    <w:link w:val="FooterChar"/>
    <w:uiPriority w:val="99"/>
    <w:unhideWhenUsed/>
    <w:rsid w:val="001C56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56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FB945-3E91-452F-8153-5173F1B98A91}">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GAM0011</dc:title>
  <cp:revision>0</cp:revision>
</cp:coreProperties>
</file>