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3FE6" w:rsidRPr="00246176">
      <w:pPr>
        <w:rPr>
          <w:rFonts w:ascii="Verdana" w:eastAsia="Gill Sans" w:hAnsi="Verdana" w:cs="Gill Sans"/>
          <w:b/>
          <w:bCs/>
          <w:sz w:val="28"/>
          <w:szCs w:val="28"/>
        </w:rPr>
      </w:pPr>
      <w:r w:rsidRPr="00246176">
        <w:rPr>
          <w:rFonts w:ascii="Verdana" w:eastAsia="Gill Sans" w:hAnsi="Verdana" w:cs="Gill Sans"/>
          <w:b/>
          <w:bCs/>
          <w:sz w:val="28"/>
          <w:szCs w:val="28"/>
        </w:rPr>
        <w:t xml:space="preserve">Written evidence </w:t>
      </w:r>
      <w:r w:rsidRPr="00246176" w:rsidR="00F26323">
        <w:rPr>
          <w:rFonts w:ascii="Verdana" w:eastAsia="Gill Sans" w:hAnsi="Verdana" w:cs="Gill Sans"/>
          <w:b/>
          <w:bCs/>
          <w:sz w:val="28"/>
          <w:szCs w:val="28"/>
        </w:rPr>
        <w:t xml:space="preserve">from </w:t>
      </w:r>
      <w:r w:rsidRPr="00246176">
        <w:rPr>
          <w:rFonts w:ascii="Verdana" w:eastAsia="Gill Sans" w:hAnsi="Verdana" w:cs="Gill Sans"/>
          <w:b/>
          <w:bCs/>
          <w:sz w:val="28"/>
          <w:szCs w:val="28"/>
        </w:rPr>
        <w:t>Google</w:t>
      </w:r>
      <w:r w:rsidRPr="00246176" w:rsidR="00F26323">
        <w:rPr>
          <w:rFonts w:ascii="Verdana" w:eastAsia="Gill Sans" w:hAnsi="Verdana" w:cs="Gill Sans"/>
          <w:b/>
          <w:bCs/>
          <w:sz w:val="28"/>
          <w:szCs w:val="28"/>
        </w:rPr>
        <w:t xml:space="preserve"> (GAM0007)</w:t>
      </w:r>
    </w:p>
    <w:p w:rsidR="00413FE6" w:rsidRPr="00246176">
      <w:pPr>
        <w:rPr>
          <w:rFonts w:ascii="Verdana" w:eastAsia="Gill Sans" w:hAnsi="Verdana" w:cs="Gill Sans"/>
          <w:i/>
          <w:iCs/>
          <w:sz w:val="22"/>
          <w:szCs w:val="22"/>
        </w:rPr>
      </w:pPr>
      <w:r w:rsidRPr="00246176">
        <w:rPr>
          <w:rFonts w:ascii="Verdana" w:eastAsia="Gill Sans" w:hAnsi="Verdana" w:cs="Gill Sans"/>
          <w:i/>
          <w:iCs/>
          <w:sz w:val="22"/>
          <w:szCs w:val="22"/>
        </w:rPr>
        <w:t>Regulatory framework</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Gill Sans" w:hAnsi="Verdana" w:cs="Gill Sans"/>
          <w:sz w:val="22"/>
          <w:szCs w:val="22"/>
        </w:rPr>
        <w:t>What is your current relationship with the Gambling Commission and the Advertising Standards Authority (ASA)?</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 xml:space="preserve">We regularly meet with these organisations and interact with both via the Illegal Gambling Taskforce: Advertising subgroup (the “Taskforce”). This is chaired by the ASA and is tasked with identifying solutions to, and providing recommendations on, issues relating to illegal gambling, including online advertising. The terms of reference for this taskforce are available </w:t>
      </w:r>
      <w:r>
        <w:fldChar w:fldCharType="begin"/>
      </w:r>
      <w:r>
        <w:instrText xml:space="preserve"> HYPERLINK "https://www.gov.uk/guidance/illegal-gambling-taskforce-terms-of-reference" </w:instrText>
      </w:r>
      <w:r>
        <w:fldChar w:fldCharType="separate"/>
      </w:r>
      <w:r w:rsidRPr="00246176">
        <w:rPr>
          <w:rFonts w:ascii="Verdana" w:eastAsia="Arial" w:hAnsi="Verdana" w:cs="Arial"/>
          <w:sz w:val="22"/>
          <w:szCs w:val="22"/>
          <w:u w:val="single"/>
        </w:rPr>
        <w:t>here</w:t>
      </w:r>
      <w:r>
        <w:fldChar w:fldCharType="end"/>
      </w:r>
      <w:r w:rsidRPr="00246176">
        <w:rPr>
          <w:rFonts w:ascii="Verdana" w:eastAsia="Arial" w:hAnsi="Verdana" w:cs="Arial"/>
          <w:sz w:val="22"/>
          <w:szCs w:val="22"/>
        </w:rPr>
        <w:t>.</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Gill Sans" w:hAnsi="Verdana" w:cs="Gill Sans"/>
          <w:sz w:val="22"/>
          <w:szCs w:val="22"/>
        </w:rPr>
        <w:t>In your view, how effective is the current division of responsibilities between the ASA and the Gambling Commission in relation to the regulation of gambling advertising, and how might it be improved?</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In our view, the division of responsibilities is effective.</w:t>
      </w:r>
    </w:p>
    <w:p w:rsidR="00413FE6" w:rsidRPr="00246176">
      <w:pP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Children and young people</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Section 16.1 of the CAP Code states that gambling advertisements must have “particular regard to the need to protect children, young persons and other vulnerable persons from being harmed or exploited.”</w:t>
      </w:r>
      <w:r>
        <w:rPr>
          <w:rFonts w:ascii="Verdana" w:eastAsia="Gill Sans" w:hAnsi="Verdana" w:cs="Gill Sans"/>
          <w:i/>
          <w:iCs/>
          <w:sz w:val="22"/>
          <w:szCs w:val="22"/>
          <w:vertAlign w:val="superscript"/>
        </w:rPr>
        <w:footnoteReference w:id="2"/>
      </w:r>
    </w:p>
    <w:p w:rsidR="00413FE6" w:rsidRPr="00246176">
      <w:pPr>
        <w:numPr>
          <w:ilvl w:val="0"/>
          <w:numId w:val="2"/>
        </w:numPr>
        <w:pBdr>
          <w:top w:val="nil"/>
          <w:left w:val="nil"/>
          <w:bottom w:val="nil"/>
          <w:right w:val="nil"/>
          <w:between w:val="nil"/>
        </w:pBdr>
        <w:spacing w:line="240" w:lineRule="auto"/>
        <w:rPr>
          <w:rFonts w:ascii="Verdana" w:eastAsia="Gill Sans" w:hAnsi="Verdana" w:cs="Gill Sans"/>
          <w:i/>
          <w:iCs/>
          <w:sz w:val="22"/>
          <w:szCs w:val="22"/>
        </w:rPr>
      </w:pPr>
      <w:r w:rsidRPr="00246176">
        <w:rPr>
          <w:rFonts w:ascii="Verdana" w:eastAsia="Gill Sans" w:hAnsi="Verdana" w:cs="Gill Sans"/>
          <w:i/>
          <w:iCs/>
          <w:sz w:val="22"/>
          <w:szCs w:val="22"/>
        </w:rPr>
        <w:t>Has Google ever knowingly promoted gambling advertising content to under-18s?</w:t>
      </w:r>
    </w:p>
    <w:p w:rsidR="00413FE6" w:rsidRPr="00246176">
      <w:pPr>
        <w:numPr>
          <w:ilvl w:val="0"/>
          <w:numId w:val="2"/>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Since 2020, what actions has Google taken to prevent the exposure of under-18s to advertising by gambling operators licensed in the UK (irrespective of whether such advertisements are “likely to be of strong appeal”</w:t>
      </w:r>
      <w:r>
        <w:rPr>
          <w:rFonts w:ascii="Verdana" w:eastAsia="Gill Sans" w:hAnsi="Verdana" w:cs="Gill Sans"/>
          <w:i/>
          <w:iCs/>
          <w:sz w:val="22"/>
          <w:szCs w:val="22"/>
          <w:vertAlign w:val="superscript"/>
        </w:rPr>
        <w:footnoteReference w:id="3"/>
      </w:r>
      <w:r w:rsidRPr="00246176">
        <w:rPr>
          <w:rFonts w:ascii="Verdana" w:eastAsia="Gill Sans" w:hAnsi="Verdana" w:cs="Gill Sans"/>
          <w:i/>
          <w:iCs/>
          <w:sz w:val="22"/>
          <w:szCs w:val="22"/>
        </w:rPr>
        <w:t xml:space="preserve"> to under-18s)?</w:t>
      </w:r>
    </w:p>
    <w:p w:rsidR="00413FE6" w:rsidRPr="00246176">
      <w:pPr>
        <w:numPr>
          <w:ilvl w:val="0"/>
          <w:numId w:val="2"/>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How effective have these measures been?</w:t>
      </w:r>
    </w:p>
    <w:p w:rsidR="00413FE6" w:rsidRPr="00246176">
      <w:pPr>
        <w:numPr>
          <w:ilvl w:val="0"/>
          <w:numId w:val="2"/>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What more could be done, both by social media companies and other stakeholders, to prevent the exposure of under-18s to gambling advertising by licensed operators?</w:t>
      </w:r>
    </w:p>
    <w:p w:rsidR="00413FE6" w:rsidRPr="00246176">
      <w:pPr>
        <w:numPr>
          <w:ilvl w:val="0"/>
          <w:numId w:val="2"/>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What would be the benefits and risks of introducing a statutory duty for social media companies to ensure that under-18s are not exposed to gambling advertising by licensed or unlicensed operators (including content marketing)?</w:t>
      </w:r>
    </w:p>
    <w:p w:rsidR="00413FE6" w:rsidRPr="00246176">
      <w:pPr>
        <w:spacing w:before="240" w:after="240" w:line="276" w:lineRule="auto"/>
        <w:rPr>
          <w:rFonts w:ascii="Verdana" w:eastAsia="Arial" w:hAnsi="Verdana" w:cs="Arial"/>
          <w:sz w:val="22"/>
          <w:szCs w:val="22"/>
        </w:rPr>
      </w:pPr>
      <w:r w:rsidRPr="00246176">
        <w:rPr>
          <w:rFonts w:ascii="Verdana" w:eastAsia="Arial" w:hAnsi="Verdana" w:cs="Arial"/>
          <w:sz w:val="22"/>
          <w:szCs w:val="22"/>
        </w:rPr>
        <w:t xml:space="preserve">Google has multiple layers of protection that help to ensure that under-age users are not exposed to gambling advertising. </w:t>
      </w:r>
    </w:p>
    <w:p w:rsidR="00413FE6" w:rsidRPr="00246176">
      <w:pPr>
        <w:numPr>
          <w:ilvl w:val="0"/>
          <w:numId w:val="5"/>
        </w:numPr>
        <w:spacing w:after="0" w:line="276" w:lineRule="auto"/>
        <w:rPr>
          <w:rFonts w:ascii="Verdana" w:eastAsia="Arial" w:hAnsi="Verdana" w:cs="Arial"/>
          <w:sz w:val="22"/>
          <w:szCs w:val="22"/>
        </w:rPr>
      </w:pPr>
      <w:r w:rsidRPr="00246176">
        <w:rPr>
          <w:rFonts w:ascii="Verdana" w:eastAsia="Arial" w:hAnsi="Verdana" w:cs="Arial"/>
          <w:b/>
          <w:bCs/>
          <w:sz w:val="22"/>
          <w:szCs w:val="22"/>
        </w:rPr>
        <w:t xml:space="preserve">Explicit Prohibition on Targeting Minors: </w:t>
      </w:r>
      <w:r w:rsidRPr="00246176">
        <w:rPr>
          <w:rFonts w:ascii="Verdana" w:eastAsia="Arial" w:hAnsi="Verdana" w:cs="Arial"/>
          <w:sz w:val="22"/>
          <w:szCs w:val="22"/>
        </w:rPr>
        <w:t>Google’s</w:t>
      </w:r>
      <w:r>
        <w:fldChar w:fldCharType="begin"/>
      </w:r>
      <w:r>
        <w:instrText xml:space="preserve"> HYPERLINK "https://support.google.com/adspolicy/answer/15132179?hl=en" </w:instrText>
      </w:r>
      <w:r>
        <w:fldChar w:fldCharType="separate"/>
      </w:r>
      <w:r w:rsidRPr="00246176">
        <w:rPr>
          <w:rFonts w:ascii="Verdana" w:eastAsia="Arial" w:hAnsi="Verdana" w:cs="Arial"/>
          <w:sz w:val="22"/>
          <w:szCs w:val="22"/>
        </w:rPr>
        <w:t xml:space="preserve"> </w:t>
      </w:r>
      <w:r>
        <w:fldChar w:fldCharType="end"/>
      </w:r>
      <w:r>
        <w:fldChar w:fldCharType="begin"/>
      </w:r>
      <w:r>
        <w:instrText xml:space="preserve"> HYPERLINK "https://support.google.com/adspolicy/answer/15132179?hl=en" </w:instrText>
      </w:r>
      <w:r>
        <w:fldChar w:fldCharType="separate"/>
      </w:r>
      <w:r w:rsidRPr="00246176">
        <w:rPr>
          <w:rFonts w:ascii="Verdana" w:eastAsia="Arial" w:hAnsi="Verdana" w:cs="Arial"/>
          <w:sz w:val="22"/>
          <w:szCs w:val="22"/>
          <w:u w:val="single"/>
        </w:rPr>
        <w:t>Gambling and Games Policy</w:t>
      </w:r>
      <w:r>
        <w:fldChar w:fldCharType="end"/>
      </w:r>
      <w:r w:rsidRPr="00246176">
        <w:rPr>
          <w:rFonts w:ascii="Verdana" w:eastAsia="Arial" w:hAnsi="Verdana" w:cs="Arial"/>
          <w:sz w:val="22"/>
          <w:szCs w:val="22"/>
        </w:rPr>
        <w:t xml:space="preserve"> unequivocally states that gambling ads must never target </w:t>
      </w:r>
      <w:r w:rsidRPr="00246176">
        <w:rPr>
          <w:rFonts w:ascii="Verdana" w:eastAsia="Arial" w:hAnsi="Verdana" w:cs="Arial"/>
          <w:sz w:val="22"/>
          <w:szCs w:val="22"/>
        </w:rPr>
        <w:t xml:space="preserve">minors. Where we refer to gambling (and related terms) in this policy, we are referring to gambling as defined by law under the regulatory framework in the country an advertiser targets with ads, and anything that functions in the following way: </w:t>
      </w:r>
      <w:r w:rsidRPr="00246176">
        <w:rPr>
          <w:rFonts w:ascii="Verdana" w:eastAsia="Arial" w:hAnsi="Verdana" w:cs="Arial"/>
          <w:i/>
          <w:iCs/>
          <w:sz w:val="22"/>
          <w:szCs w:val="22"/>
        </w:rPr>
        <w:t>Staking something of value on the outcome of events or processes determined by an element of chance with the opportunity to win something of value.</w:t>
      </w:r>
    </w:p>
    <w:p w:rsidR="00413FE6" w:rsidRPr="00246176">
      <w:pPr>
        <w:spacing w:after="0" w:line="276" w:lineRule="auto"/>
        <w:ind w:left="720"/>
        <w:rPr>
          <w:rFonts w:ascii="Verdana" w:eastAsia="Arial" w:hAnsi="Verdana" w:cs="Arial"/>
          <w:b/>
          <w:bCs/>
          <w:sz w:val="22"/>
          <w:szCs w:val="22"/>
        </w:rPr>
      </w:pPr>
    </w:p>
    <w:p w:rsidR="00413FE6" w:rsidRPr="00246176">
      <w:pPr>
        <w:numPr>
          <w:ilvl w:val="0"/>
          <w:numId w:val="5"/>
        </w:numPr>
        <w:spacing w:after="0" w:line="276" w:lineRule="auto"/>
        <w:rPr>
          <w:rFonts w:ascii="Verdana" w:eastAsia="Arial" w:hAnsi="Verdana" w:cs="Arial"/>
          <w:sz w:val="22"/>
          <w:szCs w:val="22"/>
        </w:rPr>
      </w:pPr>
      <w:r w:rsidRPr="00246176">
        <w:rPr>
          <w:rFonts w:ascii="Verdana" w:eastAsia="Arial" w:hAnsi="Verdana" w:cs="Arial"/>
          <w:b/>
          <w:bCs/>
          <w:sz w:val="22"/>
          <w:szCs w:val="22"/>
        </w:rPr>
        <w:t xml:space="preserve">Ad-serving Protections for Children and Teens: </w:t>
      </w:r>
      <w:r w:rsidRPr="00246176">
        <w:rPr>
          <w:rFonts w:ascii="Verdana" w:eastAsia="Arial" w:hAnsi="Verdana" w:cs="Arial"/>
          <w:sz w:val="22"/>
          <w:szCs w:val="22"/>
        </w:rPr>
        <w:t xml:space="preserve">As detailed in the </w:t>
      </w:r>
      <w:r>
        <w:fldChar w:fldCharType="begin"/>
      </w:r>
      <w:r>
        <w:instrText xml:space="preserve"> HYPERLINK "https://support.google.com/adspolicy/answer/14170968?hl=en" </w:instrText>
      </w:r>
      <w:r>
        <w:fldChar w:fldCharType="separate"/>
      </w:r>
      <w:r w:rsidRPr="00246176">
        <w:rPr>
          <w:rFonts w:ascii="Verdana" w:eastAsia="Arial" w:hAnsi="Verdana" w:cs="Arial"/>
          <w:sz w:val="22"/>
          <w:szCs w:val="22"/>
          <w:u w:val="single"/>
        </w:rPr>
        <w:t>Ad-serving Protections for Children</w:t>
      </w:r>
      <w:r>
        <w:fldChar w:fldCharType="end"/>
      </w:r>
      <w:r w:rsidRPr="00246176">
        <w:rPr>
          <w:rFonts w:ascii="Verdana" w:eastAsia="Arial" w:hAnsi="Verdana" w:cs="Arial"/>
          <w:sz w:val="22"/>
          <w:szCs w:val="22"/>
        </w:rPr>
        <w:t xml:space="preserve"> and </w:t>
      </w:r>
      <w:r>
        <w:fldChar w:fldCharType="begin"/>
      </w:r>
      <w:r>
        <w:instrText xml:space="preserve"> HYPERLINK "https://support.google.com/adspolicy/answer/12205906?sjid=17539638611152358374-EU" </w:instrText>
      </w:r>
      <w:r>
        <w:fldChar w:fldCharType="separate"/>
      </w:r>
      <w:r w:rsidRPr="00246176">
        <w:rPr>
          <w:rFonts w:ascii="Verdana" w:eastAsia="Arial" w:hAnsi="Verdana" w:cs="Arial"/>
          <w:sz w:val="22"/>
          <w:szCs w:val="22"/>
          <w:u w:val="single"/>
        </w:rPr>
        <w:t>Ad-serving Protections for Teens</w:t>
      </w:r>
      <w:r>
        <w:fldChar w:fldCharType="end"/>
      </w:r>
      <w:r w:rsidRPr="00246176">
        <w:rPr>
          <w:rFonts w:ascii="Verdana" w:eastAsia="Arial" w:hAnsi="Verdana" w:cs="Arial"/>
          <w:sz w:val="22"/>
          <w:szCs w:val="22"/>
        </w:rPr>
        <w:t xml:space="preserve"> policies, "gambling and casino </w:t>
      </w:r>
      <w:r w:rsidRPr="00246176">
        <w:rPr>
          <w:rFonts w:ascii="Verdana" w:eastAsia="Arial" w:hAnsi="Verdana" w:cs="Arial"/>
          <w:sz w:val="22"/>
          <w:szCs w:val="22"/>
        </w:rPr>
        <w:t>ames</w:t>
      </w:r>
      <w:r w:rsidRPr="00246176">
        <w:rPr>
          <w:rFonts w:ascii="Verdana" w:eastAsia="Arial" w:hAnsi="Verdana" w:cs="Arial"/>
          <w:sz w:val="22"/>
          <w:szCs w:val="22"/>
        </w:rPr>
        <w:t xml:space="preserve">" are a restricted category for both those below the digital age of consent and teens. This includes ads for online or real-world gambling, lotteries, or betting; entertainment hosted at casinos and lodging at casino hotels; and games strongly associated with casinos and betting (even if there isn't real money at stake) or guides on how to succeed at such games. </w:t>
      </w:r>
    </w:p>
    <w:p w:rsidR="00413FE6" w:rsidRPr="00246176">
      <w:pPr>
        <w:spacing w:before="240" w:after="240" w:line="276" w:lineRule="auto"/>
        <w:rPr>
          <w:rFonts w:ascii="Verdana" w:eastAsia="Arial" w:hAnsi="Verdana" w:cs="Arial"/>
          <w:sz w:val="22"/>
          <w:szCs w:val="22"/>
        </w:rPr>
      </w:pPr>
      <w:r w:rsidRPr="00246176">
        <w:rPr>
          <w:rFonts w:ascii="Verdana" w:eastAsia="Arial" w:hAnsi="Verdana" w:cs="Arial"/>
          <w:sz w:val="22"/>
          <w:szCs w:val="22"/>
        </w:rPr>
        <w:t xml:space="preserve">Google also provides </w:t>
      </w:r>
      <w:r>
        <w:fldChar w:fldCharType="begin"/>
      </w:r>
      <w:r>
        <w:instrText xml:space="preserve"> HYPERLINK "https://support.google.com/google-ads/answer/2497941?sjid=17539638611152358374-EU" </w:instrText>
      </w:r>
      <w:r>
        <w:fldChar w:fldCharType="separate"/>
      </w:r>
      <w:r w:rsidRPr="00246176">
        <w:rPr>
          <w:rFonts w:ascii="Verdana" w:eastAsia="Arial" w:hAnsi="Verdana" w:cs="Arial"/>
          <w:sz w:val="22"/>
          <w:szCs w:val="22"/>
          <w:u w:val="single"/>
        </w:rPr>
        <w:t>Audience Targeting</w:t>
      </w:r>
      <w:r>
        <w:fldChar w:fldCharType="end"/>
      </w:r>
      <w:r w:rsidRPr="00246176">
        <w:rPr>
          <w:rFonts w:ascii="Verdana" w:eastAsia="Arial" w:hAnsi="Verdana" w:cs="Arial"/>
          <w:sz w:val="22"/>
          <w:szCs w:val="22"/>
        </w:rPr>
        <w:t xml:space="preserve"> and </w:t>
      </w:r>
      <w:r>
        <w:fldChar w:fldCharType="begin"/>
      </w:r>
      <w:r>
        <w:instrText xml:space="preserve"> HYPERLINK "https://support.google.com/google-ads/answer/1704368?hl=en-GB" \l "Content-Targeting" </w:instrText>
      </w:r>
      <w:r>
        <w:fldChar w:fldCharType="separate"/>
      </w:r>
      <w:r w:rsidRPr="00246176">
        <w:rPr>
          <w:rFonts w:ascii="Verdana" w:eastAsia="Arial" w:hAnsi="Verdana" w:cs="Arial"/>
          <w:sz w:val="22"/>
          <w:szCs w:val="22"/>
          <w:u w:val="single"/>
        </w:rPr>
        <w:t>Content Targeting</w:t>
      </w:r>
      <w:r>
        <w:fldChar w:fldCharType="end"/>
      </w:r>
      <w:r w:rsidRPr="00246176">
        <w:rPr>
          <w:rFonts w:ascii="Verdana" w:eastAsia="Arial" w:hAnsi="Verdana" w:cs="Arial"/>
          <w:sz w:val="22"/>
          <w:szCs w:val="22"/>
        </w:rPr>
        <w:t xml:space="preserve"> tools that enable advertisers to control the audience and content that they reach, which includes the ability to avoid showing ads in specific circumstances.</w:t>
      </w:r>
    </w:p>
    <w:p w:rsidR="00413FE6" w:rsidRPr="00246176">
      <w:pPr>
        <w:spacing w:line="276" w:lineRule="auto"/>
        <w:rPr>
          <w:rFonts w:ascii="Verdana" w:eastAsia="Arial" w:hAnsi="Verdana" w:cs="Arial"/>
          <w:sz w:val="22"/>
          <w:szCs w:val="22"/>
        </w:rPr>
      </w:pPr>
      <w:r w:rsidRPr="00246176">
        <w:rPr>
          <w:rFonts w:ascii="Verdana" w:eastAsia="Arial" w:hAnsi="Verdana" w:cs="Arial"/>
          <w:sz w:val="22"/>
          <w:szCs w:val="22"/>
        </w:rPr>
        <w:t xml:space="preserve">We have provided more detail on our wider gambling policies in response to question 6 but restate here that we require online gambling operators who want to target the UK to hold a licence issued by the Gambling Commission and operate a certification process </w:t>
      </w:r>
      <w:r w:rsidRPr="00246176">
        <w:rPr>
          <w:rFonts w:ascii="Verdana" w:eastAsia="Arial" w:hAnsi="Verdana" w:cs="Arial"/>
          <w:sz w:val="22"/>
          <w:szCs w:val="22"/>
        </w:rPr>
        <w:t>in order to</w:t>
      </w:r>
      <w:r w:rsidRPr="00246176">
        <w:rPr>
          <w:rFonts w:ascii="Verdana" w:eastAsia="Arial" w:hAnsi="Verdana" w:cs="Arial"/>
          <w:sz w:val="22"/>
          <w:szCs w:val="22"/>
        </w:rPr>
        <w:t xml:space="preserve"> verify this.</w:t>
      </w:r>
      <w:r w:rsidRPr="00246176">
        <w:rPr>
          <w:rFonts w:ascii="Verdana" w:eastAsia="Arial" w:hAnsi="Verdana" w:cs="Arial"/>
          <w:sz w:val="22"/>
          <w:szCs w:val="22"/>
        </w:rPr>
        <w:t xml:space="preserve"> </w:t>
      </w:r>
    </w:p>
    <w:p w:rsidR="00413FE6" w:rsidRPr="00246176">
      <w:pPr>
        <w:spacing w:line="276" w:lineRule="auto"/>
        <w:rPr>
          <w:rFonts w:ascii="Verdana" w:eastAsia="Arial" w:hAnsi="Verdana" w:cs="Arial"/>
          <w:i/>
          <w:iCs/>
          <w:sz w:val="22"/>
          <w:szCs w:val="22"/>
        </w:rPr>
      </w:pPr>
      <w:r w:rsidRPr="00246176">
        <w:rPr>
          <w:rFonts w:ascii="Verdana" w:eastAsia="Arial" w:hAnsi="Verdana" w:cs="Arial"/>
          <w:sz w:val="22"/>
          <w:szCs w:val="22"/>
        </w:rPr>
        <w:t xml:space="preserve">We are not aware of recent instances of minors encountering gambling advertising served by our platform. Further, in 2022, the ASA published its </w:t>
      </w:r>
      <w:r>
        <w:fldChar w:fldCharType="begin"/>
      </w:r>
      <w:r>
        <w:instrText xml:space="preserve"> HYPERLINK "https://www.asa.org.uk/resource/100-children-report.html" </w:instrText>
      </w:r>
      <w:r>
        <w:fldChar w:fldCharType="separate"/>
      </w:r>
      <w:r w:rsidRPr="00246176">
        <w:rPr>
          <w:rFonts w:ascii="Verdana" w:eastAsia="Arial" w:hAnsi="Verdana" w:cs="Arial"/>
          <w:sz w:val="22"/>
          <w:szCs w:val="22"/>
          <w:u w:val="single"/>
        </w:rPr>
        <w:t>100 Children Report</w:t>
      </w:r>
      <w:r>
        <w:fldChar w:fldCharType="end"/>
      </w:r>
      <w:r w:rsidRPr="00246176">
        <w:rPr>
          <w:rFonts w:ascii="Verdana" w:eastAsia="Arial" w:hAnsi="Verdana" w:cs="Arial"/>
          <w:sz w:val="22"/>
          <w:szCs w:val="22"/>
        </w:rPr>
        <w:t xml:space="preserve">, which was followed by its 2024 </w:t>
      </w:r>
      <w:r>
        <w:fldChar w:fldCharType="begin"/>
      </w:r>
      <w:r>
        <w:instrText xml:space="preserve"> HYPERLINK "https://www.asa.org.uk/static/fde43b71-bb8b-428a-9b620c55a5979d10/0b790d9c-ffc2-454b-b7dbceb569c82ced/Online-Supply-Pathway-of-Age-restricted-Ads-1.pdf" </w:instrText>
      </w:r>
      <w:r>
        <w:fldChar w:fldCharType="separate"/>
      </w:r>
      <w:r w:rsidRPr="00246176">
        <w:rPr>
          <w:rFonts w:ascii="Verdana" w:eastAsia="Arial" w:hAnsi="Verdana" w:cs="Arial"/>
          <w:sz w:val="22"/>
          <w:szCs w:val="22"/>
          <w:u w:val="single"/>
        </w:rPr>
        <w:t>Online Ad Supply Pathway</w:t>
      </w:r>
      <w:r>
        <w:fldChar w:fldCharType="end"/>
      </w:r>
      <w:r w:rsidRPr="00246176">
        <w:rPr>
          <w:rFonts w:ascii="Verdana" w:eastAsia="Arial" w:hAnsi="Verdana" w:cs="Arial"/>
          <w:sz w:val="22"/>
          <w:szCs w:val="22"/>
        </w:rPr>
        <w:t>. Both found vanishingly few instances of gambling ads potentially being shown to minors and we reviewed the findings to further strengthen our protections. The ASA’s research concluded that: “</w:t>
      </w:r>
      <w:r w:rsidRPr="00246176">
        <w:rPr>
          <w:rFonts w:ascii="Verdana" w:eastAsia="Arial" w:hAnsi="Verdana" w:cs="Arial"/>
          <w:i/>
          <w:iCs/>
          <w:sz w:val="22"/>
          <w:szCs w:val="22"/>
        </w:rPr>
        <w:t>the ASA’s ‘100 Children Report’ and its follow-up stakeholder engagement report...cast serious doubt on anecdotal views that children are being “bombarded” with age-restricted ads in websites…popular with children”.</w:t>
      </w:r>
    </w:p>
    <w:p w:rsidR="00413FE6" w:rsidRPr="00246176">
      <w:pPr>
        <w:spacing w:line="276" w:lineRule="auto"/>
        <w:rPr>
          <w:rFonts w:ascii="Verdana" w:eastAsia="Arial" w:hAnsi="Verdana" w:cs="Arial"/>
          <w:sz w:val="22"/>
          <w:szCs w:val="22"/>
        </w:rPr>
      </w:pPr>
      <w:r w:rsidRPr="00246176">
        <w:rPr>
          <w:rFonts w:ascii="Verdana" w:eastAsia="Arial" w:hAnsi="Verdana" w:cs="Arial"/>
          <w:sz w:val="22"/>
          <w:szCs w:val="22"/>
        </w:rPr>
        <w:t>These reports suggest the current advertising protections are effective and we continue to engage with the Taskforce.</w:t>
      </w:r>
    </w:p>
    <w:p w:rsidR="00413FE6" w:rsidRPr="00246176">
      <w:pPr>
        <w:rPr>
          <w:rFonts w:ascii="Verdana" w:eastAsia="Gill Sans" w:hAnsi="Verdana" w:cs="Gill Sans"/>
          <w:i/>
          <w:iCs/>
          <w:sz w:val="22"/>
          <w:szCs w:val="22"/>
        </w:rPr>
      </w:pPr>
      <w:r w:rsidRPr="00246176">
        <w:rPr>
          <w:rFonts w:ascii="Verdana" w:eastAsia="Gill Sans" w:hAnsi="Verdana" w:cs="Gill Sans"/>
          <w:i/>
          <w:iCs/>
          <w:sz w:val="22"/>
          <w:szCs w:val="22"/>
        </w:rPr>
        <w:t>Affiliate marketing and social media influencers</w:t>
      </w:r>
    </w:p>
    <w:p w:rsidR="00413FE6" w:rsidRPr="00246176">
      <w:pPr>
        <w:numPr>
          <w:ilvl w:val="0"/>
          <w:numId w:val="1"/>
        </w:numPr>
        <w:pBdr>
          <w:top w:val="nil"/>
          <w:left w:val="nil"/>
          <w:bottom w:val="nil"/>
          <w:right w:val="nil"/>
          <w:between w:val="nil"/>
        </w:pBdr>
        <w:rPr>
          <w:rFonts w:ascii="Verdana" w:eastAsia="Gill Sans" w:hAnsi="Verdana" w:cs="Gill Sans"/>
          <w:i/>
          <w:iCs/>
          <w:sz w:val="22"/>
          <w:szCs w:val="22"/>
        </w:rPr>
      </w:pPr>
      <w:r w:rsidRPr="00246176">
        <w:rPr>
          <w:rFonts w:ascii="Verdana" w:eastAsia="Gill Sans" w:hAnsi="Verdana" w:cs="Gill Sans"/>
          <w:i/>
          <w:iCs/>
          <w:sz w:val="22"/>
          <w:szCs w:val="22"/>
        </w:rPr>
        <w:t>The 2020 special inquiry committee recommended that affiliates “be licensed by the Gambling Commission before they can enter into contracts with gambling operators”.</w:t>
      </w:r>
      <w:r>
        <w:rPr>
          <w:rFonts w:ascii="Verdana" w:eastAsia="Gill Sans" w:hAnsi="Verdana" w:cs="Gill Sans"/>
          <w:i/>
          <w:iCs/>
          <w:sz w:val="22"/>
          <w:szCs w:val="22"/>
          <w:vertAlign w:val="superscript"/>
        </w:rPr>
        <w:footnoteReference w:id="4"/>
      </w:r>
    </w:p>
    <w:p w:rsidR="00413FE6" w:rsidRPr="00246176">
      <w:pPr>
        <w:numPr>
          <w:ilvl w:val="0"/>
          <w:numId w:val="3"/>
        </w:numPr>
        <w:pBdr>
          <w:top w:val="nil"/>
          <w:left w:val="nil"/>
          <w:bottom w:val="nil"/>
          <w:right w:val="nil"/>
          <w:between w:val="nil"/>
        </w:pBdr>
        <w:rPr>
          <w:rFonts w:ascii="Verdana" w:eastAsia="Gill Sans" w:hAnsi="Verdana" w:cs="Gill Sans"/>
          <w:i/>
          <w:iCs/>
          <w:sz w:val="22"/>
          <w:szCs w:val="22"/>
        </w:rPr>
      </w:pPr>
      <w:r w:rsidRPr="00246176">
        <w:rPr>
          <w:rFonts w:ascii="Verdana" w:eastAsia="Gill Sans" w:hAnsi="Verdana" w:cs="Gill Sans"/>
          <w:i/>
          <w:iCs/>
          <w:sz w:val="22"/>
          <w:szCs w:val="22"/>
        </w:rPr>
        <w:t>Is the current regulatory model, by which the ASA regulates marketing by affiliates and the Gambling Commission holds licensed gambling operators responsible for the actions of their affiliates, operating effectively?</w:t>
      </w:r>
    </w:p>
    <w:p w:rsidR="00413FE6" w:rsidRPr="00246176">
      <w:pPr>
        <w:numPr>
          <w:ilvl w:val="0"/>
          <w:numId w:val="3"/>
        </w:numPr>
        <w:pBdr>
          <w:top w:val="nil"/>
          <w:left w:val="nil"/>
          <w:bottom w:val="nil"/>
          <w:right w:val="nil"/>
          <w:between w:val="nil"/>
        </w:pBdr>
        <w:rPr>
          <w:rFonts w:ascii="Verdana" w:eastAsia="Gill Sans" w:hAnsi="Verdana" w:cs="Gill Sans"/>
          <w:i/>
          <w:iCs/>
          <w:sz w:val="22"/>
          <w:szCs w:val="22"/>
        </w:rPr>
      </w:pPr>
      <w:r w:rsidRPr="00246176">
        <w:rPr>
          <w:rFonts w:ascii="Verdana" w:eastAsia="Gill Sans" w:hAnsi="Verdana" w:cs="Gill Sans"/>
          <w:i/>
          <w:iCs/>
          <w:sz w:val="22"/>
          <w:szCs w:val="22"/>
        </w:rPr>
        <w:t>What would be the benefits and risks of prohibiting gambling promotions by social media influencers and content creators, and how could such a restriction be effectively implemented?</w:t>
      </w:r>
    </w:p>
    <w:p w:rsidR="00413FE6" w:rsidRPr="00246176">
      <w:pPr>
        <w:pBdr>
          <w:top w:val="nil"/>
          <w:left w:val="nil"/>
          <w:bottom w:val="nil"/>
          <w:right w:val="nil"/>
          <w:between w:val="nil"/>
        </w:pBdr>
        <w:rPr>
          <w:rFonts w:ascii="Verdana" w:eastAsia="Arial" w:hAnsi="Verdana" w:cs="Arial"/>
          <w:sz w:val="22"/>
          <w:szCs w:val="22"/>
        </w:rPr>
      </w:pPr>
      <w:r w:rsidRPr="00246176">
        <w:rPr>
          <w:rFonts w:ascii="Verdana" w:eastAsia="Arial" w:hAnsi="Verdana" w:cs="Arial"/>
          <w:sz w:val="22"/>
          <w:szCs w:val="22"/>
        </w:rPr>
        <w:t xml:space="preserve">We believe that the licensing or regulation of gambling affiliates (or ‘aggregators’, being those who promote online casinos, sportsbooks, or poker sites in exchange for a commission) would provide a valuable means by which advertising platforms could identify responsible actors. This is a topic that we have presented to the Taskforce as offering scope for meaningfully reducing the ability for bad actors to access paid advertising. We are actively pursuing a solution with participants in the </w:t>
      </w:r>
      <w:r w:rsidRPr="00246176">
        <w:rPr>
          <w:rFonts w:ascii="Verdana" w:eastAsia="Arial" w:hAnsi="Verdana" w:cs="Arial"/>
          <w:sz w:val="22"/>
          <w:szCs w:val="22"/>
        </w:rPr>
        <w:t>Taskforce, and</w:t>
      </w:r>
      <w:r w:rsidRPr="00246176">
        <w:rPr>
          <w:rFonts w:ascii="Verdana" w:eastAsia="Arial" w:hAnsi="Verdana" w:cs="Arial"/>
          <w:sz w:val="22"/>
          <w:szCs w:val="22"/>
        </w:rPr>
        <w:t xml:space="preserve"> look forward to their engagement. </w:t>
      </w:r>
    </w:p>
    <w:p w:rsidR="00413FE6" w:rsidRPr="00246176">
      <w:pPr>
        <w:rPr>
          <w:rFonts w:ascii="Verdana" w:eastAsia="Gill Sans" w:hAnsi="Verdana" w:cs="Gill Sans"/>
          <w:i/>
          <w:iCs/>
          <w:sz w:val="22"/>
          <w:szCs w:val="22"/>
        </w:rPr>
      </w:pPr>
      <w:r w:rsidRPr="00246176">
        <w:rPr>
          <w:rFonts w:ascii="Verdana" w:eastAsia="Gill Sans" w:hAnsi="Verdana" w:cs="Gill Sans"/>
          <w:i/>
          <w:iCs/>
          <w:sz w:val="22"/>
          <w:szCs w:val="22"/>
        </w:rPr>
        <w:t>Content marketing</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Should gambling content marketing be permitted, and if so, how might it be regulated more effectively?</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We maintain policies that require advertisers to comply with all applicable law and include specific requirements that encourage responsible gambling advertising. The described activity is likely to fall within the scope of our online gambling promoting content ads policy, which prohibits links to unlicensed operators.</w:t>
      </w:r>
      <w:r w:rsidRPr="00246176">
        <w:rPr>
          <w:rFonts w:ascii="Verdana" w:eastAsia="Arial" w:hAnsi="Verdana" w:cs="Arial"/>
          <w:sz w:val="22"/>
          <w:szCs w:val="22"/>
        </w:rPr>
        <w:t xml:space="preserve"> </w:t>
      </w:r>
    </w:p>
    <w:p w:rsidR="00413FE6" w:rsidRPr="00246176">
      <w:pPr>
        <w:rPr>
          <w:rFonts w:ascii="Verdana" w:eastAsia="Gill Sans" w:hAnsi="Verdana" w:cs="Gill Sans"/>
          <w:i/>
          <w:iCs/>
          <w:sz w:val="22"/>
          <w:szCs w:val="22"/>
        </w:rPr>
      </w:pPr>
      <w:r w:rsidRPr="00246176">
        <w:rPr>
          <w:rFonts w:ascii="Verdana" w:eastAsia="Gill Sans" w:hAnsi="Verdana" w:cs="Gill Sans"/>
          <w:i/>
          <w:iCs/>
          <w:sz w:val="22"/>
          <w:szCs w:val="22"/>
        </w:rPr>
        <w:t>Illegal marketing by unlicensed operators</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The Gambling Commission stated on 19 January 2026 that Meta “simply choose[s] not to look” for advertisements for illegal operators on its platforms and regretted “very limited progress” in engagement with Meta on this issue up to that point.</w:t>
      </w:r>
      <w:r>
        <w:rPr>
          <w:rFonts w:ascii="Verdana" w:eastAsia="Gill Sans" w:hAnsi="Verdana" w:cs="Gill Sans"/>
          <w:i/>
          <w:iCs/>
          <w:sz w:val="22"/>
          <w:szCs w:val="22"/>
          <w:vertAlign w:val="superscript"/>
        </w:rPr>
        <w:footnoteReference w:id="5"/>
      </w:r>
    </w:p>
    <w:p w:rsidR="00413FE6" w:rsidRPr="00246176">
      <w:pPr>
        <w:numPr>
          <w:ilvl w:val="0"/>
          <w:numId w:val="4"/>
        </w:numPr>
        <w:pBdr>
          <w:top w:val="nil"/>
          <w:left w:val="nil"/>
          <w:bottom w:val="nil"/>
          <w:right w:val="nil"/>
          <w:between w:val="nil"/>
        </w:pBd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 xml:space="preserve">Since 2020, what actions has Google taken to prevent gambling advertising by gambling operators without a UK licence, and particularly those which advertise themselves as being ‘not on </w:t>
      </w:r>
      <w:r w:rsidRPr="00246176">
        <w:rPr>
          <w:rFonts w:ascii="Verdana" w:eastAsia="Gill Sans" w:hAnsi="Verdana" w:cs="Gill Sans"/>
          <w:i/>
          <w:iCs/>
          <w:sz w:val="22"/>
          <w:szCs w:val="22"/>
        </w:rPr>
        <w:t>GamStop</w:t>
      </w:r>
      <w:r w:rsidRPr="00246176">
        <w:rPr>
          <w:rFonts w:ascii="Verdana" w:eastAsia="Gill Sans" w:hAnsi="Verdana" w:cs="Gill Sans"/>
          <w:i/>
          <w:iCs/>
          <w:sz w:val="22"/>
          <w:szCs w:val="22"/>
        </w:rPr>
        <w:t>’?</w:t>
      </w:r>
    </w:p>
    <w:p w:rsidR="00413FE6" w:rsidRPr="00246176">
      <w:pPr>
        <w:numPr>
          <w:ilvl w:val="0"/>
          <w:numId w:val="4"/>
        </w:num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Gill Sans" w:hAnsi="Verdana" w:cs="Gill Sans"/>
          <w:sz w:val="22"/>
          <w:szCs w:val="22"/>
        </w:rPr>
        <w:t>How effective have these measures been?</w:t>
      </w:r>
    </w:p>
    <w:p w:rsidR="00413FE6" w:rsidRPr="00246176">
      <w:pPr>
        <w:numPr>
          <w:ilvl w:val="0"/>
          <w:numId w:val="4"/>
        </w:num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Gill Sans" w:hAnsi="Verdana" w:cs="Gill Sans"/>
          <w:sz w:val="22"/>
          <w:szCs w:val="22"/>
        </w:rPr>
        <w:t>What more could be done, both by social media companies and by other stakeholders, to prevent illegal advertising by unlicensed operators?</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Google takes extensive measures to help ensure that only ads for legal gambling are displayed when advertisers use its advertising products. Our policy is explicit that only legal types of gambling may be advertised and limits who is able to advertise those products. Operators must prove that they hold a licence in the jurisdiction to which they want to direct ads and affiliates/aggregators must only link to locally licensed operators. Online gambling advertisers must complete a certification process before</w:t>
      </w:r>
      <w:r w:rsidRPr="00246176">
        <w:rPr>
          <w:rFonts w:ascii="Verdana" w:eastAsia="Arial" w:hAnsi="Verdana" w:cs="Arial"/>
          <w:sz w:val="22"/>
          <w:szCs w:val="22"/>
        </w:rPr>
        <w:t xml:space="preserve"> they are able to advertise their services. We ask operators for copies of licences and check local registers before granting a certificate. Once certified, an advertiser may only show their ads in the country to which their certificate relates. All advertisers are required to comply with local laws and </w:t>
      </w:r>
      <w:r w:rsidRPr="00246176">
        <w:rPr>
          <w:rFonts w:ascii="Verdana" w:eastAsia="Arial" w:hAnsi="Verdana" w:cs="Arial"/>
          <w:sz w:val="22"/>
          <w:szCs w:val="22"/>
        </w:rPr>
        <w:t>regulations</w:t>
      </w:r>
      <w:r w:rsidRPr="00246176">
        <w:rPr>
          <w:rFonts w:ascii="Verdana" w:eastAsia="Arial" w:hAnsi="Verdana" w:cs="Arial"/>
          <w:sz w:val="22"/>
          <w:szCs w:val="22"/>
        </w:rPr>
        <w:t xml:space="preserve"> and we universally require responsible gambling messaging.</w:t>
      </w:r>
      <w:r w:rsidRPr="00246176">
        <w:rPr>
          <w:rFonts w:ascii="Verdana" w:eastAsia="Arial" w:hAnsi="Verdana" w:cs="Arial"/>
          <w:sz w:val="22"/>
          <w:szCs w:val="22"/>
        </w:rPr>
        <w:t xml:space="preserve"> </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 xml:space="preserve">We keep these policies under constant </w:t>
      </w:r>
      <w:r w:rsidRPr="00246176">
        <w:rPr>
          <w:rFonts w:ascii="Verdana" w:eastAsia="Arial" w:hAnsi="Verdana" w:cs="Arial"/>
          <w:sz w:val="22"/>
          <w:szCs w:val="22"/>
        </w:rPr>
        <w:t>review</w:t>
      </w:r>
      <w:r w:rsidRPr="00246176">
        <w:rPr>
          <w:rFonts w:ascii="Verdana" w:eastAsia="Arial" w:hAnsi="Verdana" w:cs="Arial"/>
          <w:sz w:val="22"/>
          <w:szCs w:val="22"/>
        </w:rPr>
        <w:t xml:space="preserve"> and they are regularly updated to </w:t>
      </w:r>
      <w:r w:rsidRPr="00246176">
        <w:rPr>
          <w:rFonts w:ascii="Verdana" w:eastAsia="Arial" w:hAnsi="Verdana" w:cs="Arial"/>
          <w:sz w:val="22"/>
          <w:szCs w:val="22"/>
        </w:rPr>
        <w:t>take into account</w:t>
      </w:r>
      <w:r w:rsidRPr="00246176">
        <w:rPr>
          <w:rFonts w:ascii="Verdana" w:eastAsia="Arial" w:hAnsi="Verdana" w:cs="Arial"/>
          <w:sz w:val="22"/>
          <w:szCs w:val="22"/>
        </w:rPr>
        <w:t xml:space="preserve"> changes in law and changes in our approach to enforcement. For example, we made two changes earlier this year as part of our ever-evolving approach to combat bad actors. Specifically, we provided that “manager accounts” (i.e. advertising accounts operated by agencies with multiple advertisers signed up beneath them) will lose the ability to apply for new online gambling certificates if there are significant volumes of gambling certificate revocation</w:t>
      </w:r>
      <w:r w:rsidRPr="00246176">
        <w:rPr>
          <w:rFonts w:ascii="Verdana" w:eastAsia="Arial" w:hAnsi="Verdana" w:cs="Arial"/>
          <w:sz w:val="22"/>
          <w:szCs w:val="22"/>
        </w:rPr>
        <w:t xml:space="preserve">s or violations amongst their managed accounts. We also introduced restrictions on the types of </w:t>
      </w:r>
      <w:r w:rsidRPr="00246176">
        <w:rPr>
          <w:rFonts w:ascii="Verdana" w:eastAsia="Arial" w:hAnsi="Verdana" w:cs="Arial"/>
          <w:sz w:val="22"/>
          <w:szCs w:val="22"/>
        </w:rPr>
        <w:t>domain</w:t>
      </w:r>
      <w:r w:rsidRPr="00246176">
        <w:rPr>
          <w:rFonts w:ascii="Verdana" w:eastAsia="Arial" w:hAnsi="Verdana" w:cs="Arial"/>
          <w:sz w:val="22"/>
          <w:szCs w:val="22"/>
        </w:rPr>
        <w:t xml:space="preserve"> that are eligible for certification by refusing these where we see specific signals, for example sites using a free domain or where there’s no association with gambling. </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 xml:space="preserve">We actively enforce these policies. Where we determine that an advertiser does not meet our certification requirements, we will remove their gambling ads certification, meaning that they are no longer able to run gambling ads. In addition, violations of our misrepresentation policy or enabling dishonest behaviour (which includes activities such as cloaking and providing misleading information at account creation) will result in suspension of advertisers’ accounts. </w:t>
      </w:r>
    </w:p>
    <w:p w:rsidR="00413FE6" w:rsidRPr="00246176">
      <w:p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Arial" w:hAnsi="Verdana" w:cs="Arial"/>
          <w:sz w:val="22"/>
          <w:szCs w:val="22"/>
        </w:rPr>
        <w:t xml:space="preserve">In addition to the significant controls and policies we have in place, we also give further controls to advertisers and users. Advertisers have controls over where their ads are displayed, including demographic targeting and content exclusions. We give users control over the types of ads they see and the ability to request that Google take steps to prevent them from seeing gambling ads via the My Ads </w:t>
      </w:r>
      <w:r w:rsidRPr="00246176">
        <w:rPr>
          <w:rFonts w:ascii="Verdana" w:eastAsia="Arial" w:hAnsi="Verdana" w:cs="Arial"/>
          <w:sz w:val="22"/>
          <w:szCs w:val="22"/>
        </w:rPr>
        <w:t>Center</w:t>
      </w:r>
      <w:r w:rsidRPr="00246176">
        <w:rPr>
          <w:rFonts w:ascii="Verdana" w:eastAsia="Arial" w:hAnsi="Verdana" w:cs="Arial"/>
          <w:sz w:val="22"/>
          <w:szCs w:val="22"/>
        </w:rPr>
        <w:t>.</w:t>
      </w:r>
    </w:p>
    <w:p w:rsidR="00413FE6" w:rsidRPr="00246176">
      <w:pPr>
        <w:spacing w:line="276" w:lineRule="auto"/>
        <w:rPr>
          <w:rFonts w:ascii="Verdana" w:eastAsia="Gill Sans" w:hAnsi="Verdana" w:cs="Gill Sans"/>
          <w:i/>
          <w:iCs/>
          <w:sz w:val="22"/>
          <w:szCs w:val="22"/>
        </w:rPr>
      </w:pPr>
      <w:r w:rsidRPr="00246176">
        <w:rPr>
          <w:rFonts w:ascii="Verdana" w:eastAsia="Gill Sans" w:hAnsi="Verdana" w:cs="Gill Sans"/>
          <w:i/>
          <w:iCs/>
          <w:sz w:val="22"/>
          <w:szCs w:val="22"/>
        </w:rPr>
        <w:t>Economic impacts</w:t>
      </w:r>
    </w:p>
    <w:p w:rsidR="00413FE6" w:rsidRPr="00246176">
      <w:pPr>
        <w:numPr>
          <w:ilvl w:val="0"/>
          <w:numId w:val="1"/>
        </w:numPr>
        <w:pBdr>
          <w:top w:val="nil"/>
          <w:left w:val="nil"/>
          <w:bottom w:val="nil"/>
          <w:right w:val="nil"/>
          <w:between w:val="nil"/>
        </w:pBdr>
        <w:spacing w:line="276" w:lineRule="auto"/>
        <w:rPr>
          <w:rFonts w:ascii="Verdana" w:eastAsia="Gill Sans" w:hAnsi="Verdana" w:cs="Gill Sans"/>
          <w:sz w:val="22"/>
          <w:szCs w:val="22"/>
        </w:rPr>
      </w:pPr>
      <w:r w:rsidRPr="00246176">
        <w:rPr>
          <w:rFonts w:ascii="Verdana" w:eastAsia="Gill Sans" w:hAnsi="Verdana" w:cs="Gill Sans"/>
          <w:sz w:val="22"/>
          <w:szCs w:val="22"/>
        </w:rPr>
        <w:t>What would be the economic disbenefits of further restrictions on gambling advertising by licensed operators, and could these be effectively mitigated?</w:t>
      </w:r>
    </w:p>
    <w:p w:rsidR="00413FE6" w:rsidRPr="00246176">
      <w:pPr>
        <w:pBdr>
          <w:top w:val="nil"/>
          <w:left w:val="nil"/>
          <w:bottom w:val="nil"/>
          <w:right w:val="nil"/>
          <w:between w:val="nil"/>
        </w:pBdr>
        <w:spacing w:line="276" w:lineRule="auto"/>
        <w:rPr>
          <w:rFonts w:ascii="Verdana" w:eastAsia="Arial" w:hAnsi="Verdana" w:cs="Arial"/>
          <w:sz w:val="22"/>
          <w:szCs w:val="22"/>
        </w:rPr>
      </w:pPr>
      <w:r w:rsidRPr="00246176">
        <w:rPr>
          <w:rFonts w:ascii="Verdana" w:eastAsia="Arial" w:hAnsi="Verdana" w:cs="Arial"/>
          <w:sz w:val="22"/>
          <w:szCs w:val="22"/>
        </w:rPr>
        <w:t>Google does not have a view on this topic. We will continue to comply with all laws, enforce our policies and engage in multi-stakeholder forums, such as the Taskforce, to ensure a safe and appropriate framework for our users.</w:t>
      </w:r>
      <w:r w:rsidRPr="00246176">
        <w:rPr>
          <w:rFonts w:ascii="Verdana" w:eastAsia="Arial" w:hAnsi="Verdana" w:cs="Arial"/>
          <w:sz w:val="22"/>
          <w:szCs w:val="22"/>
        </w:rPr>
        <w:t xml:space="preserve"> </w:t>
      </w:r>
    </w:p>
    <w:p w:rsidR="00413FE6" w:rsidRPr="00246176">
      <w:pPr>
        <w:spacing w:line="276" w:lineRule="auto"/>
        <w:rPr>
          <w:rFonts w:ascii="Verdana" w:eastAsia="Gill Sans" w:hAnsi="Verdana" w:cs="Gill Sans"/>
          <w:i/>
          <w:iCs/>
          <w:sz w:val="22"/>
          <w:szCs w:val="22"/>
        </w:rPr>
      </w:pPr>
      <w:r>
        <w:rPr>
          <w:rFonts w:ascii="Verdana" w:eastAsia="Gill Sans" w:hAnsi="Verdana" w:cs="Gill Sans"/>
          <w:i/>
          <w:iCs/>
          <w:sz w:val="22"/>
          <w:szCs w:val="22"/>
        </w:rPr>
        <w:t>June 2026</w:t>
      </w:r>
    </w:p>
    <w:sectPr>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D1B72205-FF4D-418B-A508-5C5374D1966B}"/>
    <w:embedItalic r:id="rId2" w:fontKey="{7A3E0B2C-1DD7-4372-88EB-1A5995E2E75E}"/>
  </w:font>
  <w:font w:name="Play">
    <w:charset w:val="00"/>
    <w:family w:val="auto"/>
    <w:pitch w:val="default"/>
    <w:embedRegular r:id="rId3" w:fontKey="{390D3EB7-9612-4B0E-AC38-8350E1512BBA}"/>
  </w:font>
  <w:font w:name="Verdana">
    <w:panose1 w:val="020B0604030504040204"/>
    <w:charset w:val="00"/>
    <w:family w:val="swiss"/>
    <w:pitch w:val="variable"/>
    <w:sig w:usb0="A00006FF" w:usb1="4000205B" w:usb2="00000010" w:usb3="00000000" w:csb0="0000019F" w:csb1="00000000"/>
    <w:embedRegular r:id="rId4" w:fontKey="{14083566-E9F6-4252-B9B8-C0F7637BF06A}"/>
    <w:embedBold r:id="rId5" w:fontKey="{3635C703-D80F-46CB-9F0A-29C9D8E30CC8}"/>
    <w:embedItalic r:id="rId6" w:fontKey="{960308DB-4AAF-4186-A4D6-96B0AB75DC08}"/>
  </w:font>
  <w:font w:name="Gill Sans">
    <w:charset w:val="00"/>
    <w:family w:val="auto"/>
    <w:pitch w:val="default"/>
    <w:embedRegular r:id="rId7" w:fontKey="{09591CBA-7DD2-42D9-ACD0-114FCCAE0878}"/>
    <w:embedBold r:id="rId8" w:fontKey="{A159F093-E472-4E51-BACC-DB12BFCA41D1}"/>
    <w:embedItalic r:id="rId9" w:fontKey="{7F9213D2-4B2A-4F82-B2BC-06B9E0A4DDE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06808B0E-F921-4EAE-B23A-B537985454EA}"/>
  </w:font>
  <w:font w:name="Cambria">
    <w:panose1 w:val="02040503050406030204"/>
    <w:charset w:val="00"/>
    <w:family w:val="roman"/>
    <w:pitch w:val="variable"/>
    <w:sig w:usb0="E00006FF" w:usb1="420024FF" w:usb2="02000000" w:usb3="00000000" w:csb0="0000019F" w:csb1="00000000"/>
    <w:embedRegular r:id="rId11" w:fontKey="{4F88793C-CF28-49A2-94F6-32D21BAD221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6503">
      <w:pPr>
        <w:spacing w:after="0" w:line="240" w:lineRule="auto"/>
      </w:pPr>
      <w:r>
        <w:separator/>
      </w:r>
    </w:p>
  </w:footnote>
  <w:footnote w:type="continuationSeparator" w:id="1">
    <w:p w:rsidR="009E6503">
      <w:pPr>
        <w:spacing w:after="0" w:line="240" w:lineRule="auto"/>
      </w:pPr>
      <w:r>
        <w:continuationSeparator/>
      </w:r>
    </w:p>
  </w:footnote>
  <w:footnote w:id="2">
    <w:p w:rsidR="00413FE6" w:rsidRPr="00246176">
      <w:pPr>
        <w:pBdr>
          <w:top w:val="nil"/>
          <w:left w:val="nil"/>
          <w:bottom w:val="nil"/>
          <w:right w:val="nil"/>
          <w:between w:val="nil"/>
        </w:pBdr>
        <w:spacing w:after="0" w:line="240" w:lineRule="auto"/>
        <w:rPr>
          <w:rFonts w:ascii="Verdana" w:eastAsia="Gill Sans" w:hAnsi="Verdana" w:cs="Gill Sans"/>
          <w:sz w:val="18"/>
          <w:szCs w:val="18"/>
        </w:rPr>
      </w:pPr>
      <w:r w:rsidRPr="00246176">
        <w:rPr>
          <w:rFonts w:ascii="Verdana" w:hAnsi="Verdana"/>
          <w:sz w:val="18"/>
          <w:szCs w:val="18"/>
          <w:vertAlign w:val="superscript"/>
        </w:rPr>
        <w:footnoteRef/>
      </w:r>
      <w:r w:rsidRPr="00246176">
        <w:rPr>
          <w:rFonts w:ascii="Verdana" w:hAnsi="Verdana"/>
          <w:sz w:val="18"/>
          <w:szCs w:val="18"/>
        </w:rPr>
        <w:t xml:space="preserve"> </w:t>
      </w:r>
      <w:r w:rsidRPr="00246176">
        <w:rPr>
          <w:rFonts w:ascii="Verdana" w:eastAsia="Gill Sans" w:hAnsi="Verdana" w:cs="Gill Sans"/>
          <w:sz w:val="18"/>
          <w:szCs w:val="18"/>
        </w:rPr>
        <w:t xml:space="preserve">CAP, </w:t>
      </w:r>
      <w:r>
        <w:fldChar w:fldCharType="begin"/>
      </w:r>
      <w:r>
        <w:instrText xml:space="preserve"> HYPERLINK "https://www.asa.org.uk/type/non_broadcast/code_section/16.html" </w:instrText>
      </w:r>
      <w:r>
        <w:fldChar w:fldCharType="separate"/>
      </w:r>
      <w:r w:rsidRPr="00246176">
        <w:rPr>
          <w:rFonts w:ascii="Verdana" w:eastAsia="Gill Sans" w:hAnsi="Verdana" w:cs="Gill Sans"/>
          <w:i/>
          <w:iCs/>
          <w:sz w:val="18"/>
          <w:szCs w:val="18"/>
          <w:u w:val="single"/>
        </w:rPr>
        <w:t>CAP Code: 16 Gambling</w:t>
      </w:r>
      <w:r>
        <w:fldChar w:fldCharType="end"/>
      </w:r>
      <w:r w:rsidRPr="00246176">
        <w:rPr>
          <w:rFonts w:ascii="Verdana" w:eastAsia="Gill Sans" w:hAnsi="Verdana" w:cs="Gill Sans"/>
          <w:sz w:val="18"/>
          <w:szCs w:val="18"/>
        </w:rPr>
        <w:t>, Section 16.1</w:t>
      </w:r>
    </w:p>
  </w:footnote>
  <w:footnote w:id="3">
    <w:p w:rsidR="00413FE6" w:rsidRPr="00246176">
      <w:pPr>
        <w:pBdr>
          <w:top w:val="nil"/>
          <w:left w:val="nil"/>
          <w:bottom w:val="nil"/>
          <w:right w:val="nil"/>
          <w:between w:val="nil"/>
        </w:pBdr>
        <w:spacing w:after="0" w:line="240" w:lineRule="auto"/>
        <w:rPr>
          <w:rFonts w:ascii="Verdana" w:eastAsia="Gill Sans" w:hAnsi="Verdana" w:cs="Gill Sans"/>
          <w:sz w:val="18"/>
          <w:szCs w:val="18"/>
        </w:rPr>
      </w:pPr>
      <w:r w:rsidRPr="00246176">
        <w:rPr>
          <w:rFonts w:ascii="Verdana" w:hAnsi="Verdana"/>
          <w:sz w:val="18"/>
          <w:szCs w:val="18"/>
          <w:vertAlign w:val="superscript"/>
        </w:rPr>
        <w:footnoteRef/>
      </w:r>
      <w:r w:rsidRPr="00246176">
        <w:rPr>
          <w:rFonts w:ascii="Verdana" w:eastAsia="Gill Sans" w:hAnsi="Verdana" w:cs="Gill Sans"/>
          <w:sz w:val="18"/>
          <w:szCs w:val="18"/>
        </w:rPr>
        <w:t xml:space="preserve"> CAP, </w:t>
      </w:r>
      <w:r>
        <w:fldChar w:fldCharType="begin"/>
      </w:r>
      <w:r>
        <w:instrText xml:space="preserve"> HYPERLINK "https://www.asa.org.uk/type/non_broadcast/code_section/16.html" </w:instrText>
      </w:r>
      <w:r>
        <w:fldChar w:fldCharType="separate"/>
      </w:r>
      <w:r w:rsidRPr="00246176">
        <w:rPr>
          <w:rFonts w:ascii="Verdana" w:eastAsia="Gill Sans" w:hAnsi="Verdana" w:cs="Gill Sans"/>
          <w:i/>
          <w:iCs/>
          <w:sz w:val="18"/>
          <w:szCs w:val="18"/>
          <w:u w:val="single"/>
        </w:rPr>
        <w:t>CAP Code: 16 Gambling</w:t>
      </w:r>
      <w:r>
        <w:fldChar w:fldCharType="end"/>
      </w:r>
      <w:r w:rsidRPr="00246176">
        <w:rPr>
          <w:rFonts w:ascii="Verdana" w:eastAsia="Gill Sans" w:hAnsi="Verdana" w:cs="Gill Sans"/>
          <w:sz w:val="18"/>
          <w:szCs w:val="18"/>
        </w:rPr>
        <w:t>, Section 16.3.12</w:t>
      </w:r>
    </w:p>
  </w:footnote>
  <w:footnote w:id="4">
    <w:p w:rsidR="00413FE6" w:rsidRPr="00246176">
      <w:pPr>
        <w:pBdr>
          <w:top w:val="nil"/>
          <w:left w:val="nil"/>
          <w:bottom w:val="nil"/>
          <w:right w:val="nil"/>
          <w:between w:val="nil"/>
        </w:pBdr>
        <w:spacing w:after="0" w:line="240" w:lineRule="auto"/>
        <w:rPr>
          <w:rFonts w:ascii="Verdana" w:eastAsia="Gill Sans" w:hAnsi="Verdana" w:cs="Gill Sans"/>
          <w:sz w:val="18"/>
          <w:szCs w:val="18"/>
        </w:rPr>
      </w:pPr>
      <w:r w:rsidRPr="00246176">
        <w:rPr>
          <w:rFonts w:ascii="Verdana" w:hAnsi="Verdana"/>
          <w:sz w:val="18"/>
          <w:szCs w:val="18"/>
          <w:vertAlign w:val="superscript"/>
        </w:rPr>
        <w:footnoteRef/>
      </w:r>
      <w:r w:rsidRPr="00246176">
        <w:rPr>
          <w:rFonts w:ascii="Verdana" w:eastAsia="Gill Sans" w:hAnsi="Verdana" w:cs="Gill Sans"/>
          <w:sz w:val="18"/>
          <w:szCs w:val="18"/>
        </w:rPr>
        <w:t xml:space="preserve"> Select Committee on the Social and Economic Impact of the Gambling Industry,</w:t>
      </w:r>
    </w:p>
    <w:p w:rsidR="00413FE6" w:rsidRPr="00246176">
      <w:pPr>
        <w:pBdr>
          <w:top w:val="nil"/>
          <w:left w:val="nil"/>
          <w:bottom w:val="nil"/>
          <w:right w:val="nil"/>
          <w:between w:val="nil"/>
        </w:pBdr>
        <w:spacing w:after="0" w:line="240" w:lineRule="auto"/>
        <w:rPr>
          <w:rFonts w:ascii="Verdana" w:eastAsia="Gill Sans" w:hAnsi="Verdana" w:cs="Gill Sans"/>
          <w:sz w:val="18"/>
          <w:szCs w:val="18"/>
        </w:rPr>
      </w:pPr>
      <w:r>
        <w:fldChar w:fldCharType="begin"/>
      </w:r>
      <w:r>
        <w:instrText xml:space="preserve"> HYPERLINK "https://publications.parliament.uk/pa/ld5801/ldselect/ldgamb/79/7902.htm" </w:instrText>
      </w:r>
      <w:r>
        <w:fldChar w:fldCharType="separate"/>
      </w:r>
      <w:r w:rsidRPr="00246176">
        <w:rPr>
          <w:rFonts w:ascii="Verdana" w:eastAsia="Gill Sans" w:hAnsi="Verdana" w:cs="Gill Sans"/>
          <w:i/>
          <w:iCs/>
          <w:sz w:val="18"/>
          <w:szCs w:val="18"/>
          <w:u w:val="single"/>
        </w:rPr>
        <w:t>Gambling Harm—Time for Action</w:t>
      </w:r>
      <w:r>
        <w:fldChar w:fldCharType="end"/>
      </w:r>
      <w:r w:rsidRPr="00246176">
        <w:rPr>
          <w:rFonts w:ascii="Verdana" w:eastAsia="Gill Sans" w:hAnsi="Verdana" w:cs="Gill Sans"/>
          <w:sz w:val="18"/>
          <w:szCs w:val="18"/>
        </w:rPr>
        <w:t xml:space="preserve"> (Report of Session 2019–21, HL Paper 79), para 250</w:t>
      </w:r>
    </w:p>
  </w:footnote>
  <w:footnote w:id="5">
    <w:p w:rsidR="00413FE6" w:rsidRPr="00246176">
      <w:pPr>
        <w:pBdr>
          <w:top w:val="nil"/>
          <w:left w:val="nil"/>
          <w:bottom w:val="nil"/>
          <w:right w:val="nil"/>
          <w:between w:val="nil"/>
        </w:pBdr>
        <w:spacing w:after="0" w:line="240" w:lineRule="auto"/>
        <w:rPr>
          <w:rFonts w:ascii="Verdana" w:eastAsia="Gill Sans" w:hAnsi="Verdana" w:cs="Gill Sans"/>
          <w:sz w:val="18"/>
          <w:szCs w:val="18"/>
        </w:rPr>
      </w:pPr>
      <w:r w:rsidRPr="00246176">
        <w:rPr>
          <w:rFonts w:ascii="Verdana" w:hAnsi="Verdana"/>
          <w:sz w:val="18"/>
          <w:szCs w:val="18"/>
          <w:vertAlign w:val="superscript"/>
        </w:rPr>
        <w:footnoteRef/>
      </w:r>
      <w:r w:rsidRPr="00246176">
        <w:rPr>
          <w:rFonts w:ascii="Verdana" w:eastAsia="Gill Sans" w:hAnsi="Verdana" w:cs="Gill Sans"/>
          <w:sz w:val="18"/>
          <w:szCs w:val="18"/>
        </w:rPr>
        <w:t xml:space="preserve"> Gambling Commission, </w:t>
      </w:r>
      <w:r>
        <w:fldChar w:fldCharType="begin"/>
      </w:r>
      <w:r>
        <w:instrText xml:space="preserve"> HYPERLINK "https://www.gamblingcommission.gov.uk/news/article/ice-barcelona-2026-tim-miller-speech" </w:instrText>
      </w:r>
      <w:r>
        <w:fldChar w:fldCharType="separate"/>
      </w:r>
      <w:r w:rsidRPr="00246176">
        <w:rPr>
          <w:rFonts w:ascii="Verdana" w:eastAsia="Gill Sans" w:hAnsi="Verdana" w:cs="Gill Sans"/>
          <w:i/>
          <w:iCs/>
          <w:sz w:val="18"/>
          <w:szCs w:val="18"/>
          <w:u w:val="single"/>
        </w:rPr>
        <w:t>ICE Barcelona 2026—Tim Miller Speech</w:t>
      </w:r>
      <w:r>
        <w:fldChar w:fldCharType="end"/>
      </w:r>
      <w:r w:rsidRPr="00246176">
        <w:rPr>
          <w:rFonts w:ascii="Verdana" w:eastAsia="Gill Sans" w:hAnsi="Verdana" w:cs="Gill Sans"/>
          <w:sz w:val="18"/>
          <w:szCs w:val="18"/>
        </w:rPr>
        <w:t>, 19 January 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582176"/>
    <w:multiLevelType w:val="multilevel"/>
    <w:tmpl w:val="B016C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87B0B85"/>
    <w:multiLevelType w:val="multilevel"/>
    <w:tmpl w:val="474C7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7123FB2"/>
    <w:multiLevelType w:val="multilevel"/>
    <w:tmpl w:val="84AAE04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1A8B7EE7"/>
    <w:multiLevelType w:val="multilevel"/>
    <w:tmpl w:val="75BE5B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6F3C0D57"/>
    <w:multiLevelType w:val="multilevel"/>
    <w:tmpl w:val="F476F3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661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A70"/>
  </w:style>
  <w:style w:type="paragraph" w:styleId="Footer">
    <w:name w:val="footer"/>
    <w:basedOn w:val="Normal"/>
    <w:link w:val="FooterChar"/>
    <w:uiPriority w:val="99"/>
    <w:unhideWhenUsed/>
    <w:rsid w:val="00661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GAM0007</dc:title>
  <cp:revision>0</cp:revision>
</cp:coreProperties>
</file>