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172BB" w:rsidRPr="002F036A" w:rsidP="002F036A">
      <w:pPr>
        <w:spacing w:line="276" w:lineRule="auto"/>
        <w:rPr>
          <w:rFonts w:ascii="Verdana" w:hAnsi="Verdana" w:cs="Segoe UI"/>
          <w:b/>
          <w:bCs/>
          <w:sz w:val="28"/>
          <w:szCs w:val="28"/>
        </w:rPr>
      </w:pPr>
      <w:r w:rsidRPr="002F036A">
        <w:rPr>
          <w:rFonts w:ascii="Verdana" w:hAnsi="Verdana" w:cs="Segoe UI"/>
          <w:b/>
          <w:bCs/>
          <w:sz w:val="28"/>
          <w:szCs w:val="28"/>
        </w:rPr>
        <w:t xml:space="preserve">Written evidence </w:t>
      </w:r>
      <w:r w:rsidRPr="002F036A" w:rsidR="002F036A">
        <w:rPr>
          <w:rFonts w:ascii="Verdana" w:hAnsi="Verdana" w:cs="Segoe UI"/>
          <w:b/>
          <w:bCs/>
          <w:sz w:val="28"/>
          <w:szCs w:val="28"/>
        </w:rPr>
        <w:t>from UKRI Gambling Harms Research UK Evidence Centre (GAM0003)</w:t>
      </w:r>
    </w:p>
    <w:p w:rsidR="00436A08" w:rsidRPr="002F036A" w:rsidP="002F036A">
      <w:pPr>
        <w:spacing w:line="276" w:lineRule="auto"/>
        <w:rPr>
          <w:rFonts w:ascii="Verdana" w:hAnsi="Verdana" w:cs="Segoe UI"/>
          <w:sz w:val="22"/>
          <w:szCs w:val="22"/>
        </w:rPr>
      </w:pPr>
      <w:r w:rsidRPr="002F036A">
        <w:rPr>
          <w:rFonts w:ascii="Verdana" w:hAnsi="Verdana" w:cs="Segoe UI"/>
          <w:sz w:val="22"/>
          <w:szCs w:val="22"/>
        </w:rPr>
        <w:t xml:space="preserve">We are delighted to present our submission to the House of Lords Liaison Committee on the regulation of gambling advertising, marketing and sponsorship. This submission has been prepared by the Gambling Harms Research UK Evidence Centre. The Evidence Centre </w:t>
      </w:r>
      <w:r w:rsidRPr="002F036A">
        <w:rPr>
          <w:rFonts w:ascii="Verdana" w:hAnsi="Verdana" w:cs="Segoe UI"/>
          <w:sz w:val="22"/>
          <w:szCs w:val="22"/>
        </w:rPr>
        <w:t>is part of the UKRI Research Programme on Gambling, funded through the statutory gambling levy</w:t>
      </w:r>
      <w:r w:rsidRPr="002F036A">
        <w:rPr>
          <w:rFonts w:ascii="Verdana" w:hAnsi="Verdana" w:cs="Segoe UI"/>
          <w:sz w:val="22"/>
          <w:szCs w:val="22"/>
        </w:rPr>
        <w:t>. The contributions below reflect the views of the academic experts within the Evidence Centre but do not necessarily represent the views of UKRI</w:t>
      </w:r>
      <w:r w:rsidRPr="002F036A">
        <w:rPr>
          <w:rFonts w:ascii="Verdana" w:hAnsi="Verdana" w:cs="Segoe UI"/>
          <w:sz w:val="22"/>
          <w:szCs w:val="22"/>
        </w:rPr>
        <w:t xml:space="preserve"> or the Gambling Levy Programme Board</w:t>
      </w:r>
      <w:r w:rsidRPr="002F036A">
        <w:rPr>
          <w:rFonts w:ascii="Verdana" w:hAnsi="Verdana" w:cs="Segoe UI"/>
          <w:sz w:val="22"/>
          <w:szCs w:val="22"/>
        </w:rPr>
        <w:t xml:space="preserve">. </w:t>
      </w:r>
    </w:p>
    <w:p w:rsidR="00B172BB" w:rsidRPr="002F036A" w:rsidP="002F036A">
      <w:pPr>
        <w:spacing w:line="276" w:lineRule="auto"/>
        <w:rPr>
          <w:rFonts w:ascii="Verdana" w:hAnsi="Verdana" w:cs="Segoe UI"/>
          <w:sz w:val="22"/>
          <w:szCs w:val="22"/>
        </w:rPr>
      </w:pPr>
      <w:r w:rsidRPr="002F036A">
        <w:rPr>
          <w:rFonts w:ascii="Verdana" w:hAnsi="Verdana" w:cs="Segoe UI"/>
          <w:sz w:val="22"/>
          <w:szCs w:val="22"/>
        </w:rPr>
        <w:t>The Evidence Centre aims to catalyse a world</w:t>
      </w:r>
      <w:r w:rsidRPr="002F036A">
        <w:rPr>
          <w:rFonts w:ascii="Verdana" w:hAnsi="Verdana" w:cs="Segoe UI"/>
          <w:sz w:val="22"/>
          <w:szCs w:val="22"/>
        </w:rPr>
        <w:noBreakHyphen/>
        <w:t>leading, collaborative research ecosystem that delivers high</w:t>
      </w:r>
      <w:r w:rsidRPr="002F036A">
        <w:rPr>
          <w:rFonts w:ascii="Verdana" w:hAnsi="Verdana" w:cs="Segoe UI"/>
          <w:sz w:val="22"/>
          <w:szCs w:val="22"/>
        </w:rPr>
        <w:noBreakHyphen/>
        <w:t xml:space="preserve">impact evidence to understand and ultimately address gambling harms. </w:t>
      </w:r>
      <w:r w:rsidRPr="002F036A">
        <w:rPr>
          <w:rFonts w:ascii="Verdana" w:hAnsi="Verdana" w:cs="Segoe UI"/>
          <w:sz w:val="22"/>
          <w:szCs w:val="22"/>
        </w:rPr>
        <w:t>The Evidence Centre is led by Professor Heather Wardle, and includes experts such as Prof</w:t>
      </w:r>
      <w:r w:rsidRPr="002F036A">
        <w:rPr>
          <w:rFonts w:ascii="Verdana" w:hAnsi="Verdana" w:cs="Segoe UI"/>
          <w:sz w:val="22"/>
          <w:szCs w:val="22"/>
        </w:rPr>
        <w:t>essor</w:t>
      </w:r>
      <w:r w:rsidRPr="002F036A">
        <w:rPr>
          <w:rFonts w:ascii="Verdana" w:hAnsi="Verdana" w:cs="Segoe UI"/>
          <w:sz w:val="22"/>
          <w:szCs w:val="22"/>
        </w:rPr>
        <w:t xml:space="preserve"> Simon Dymond, Dr Daria Ukhova, Dr Virve Marionneau, Dr Ellen McGrane, Prof</w:t>
      </w:r>
      <w:r w:rsidRPr="002F036A">
        <w:rPr>
          <w:rFonts w:ascii="Verdana" w:hAnsi="Verdana" w:cs="Segoe UI"/>
          <w:sz w:val="22"/>
          <w:szCs w:val="22"/>
        </w:rPr>
        <w:t>essor</w:t>
      </w:r>
      <w:r w:rsidRPr="002F036A">
        <w:rPr>
          <w:rFonts w:ascii="Verdana" w:hAnsi="Verdana" w:cs="Segoe UI"/>
          <w:sz w:val="22"/>
          <w:szCs w:val="22"/>
        </w:rPr>
        <w:t xml:space="preserve"> John Holmes</w:t>
      </w:r>
      <w:r w:rsidRPr="002F036A">
        <w:rPr>
          <w:rFonts w:ascii="Verdana" w:hAnsi="Verdana" w:cs="Segoe UI"/>
          <w:sz w:val="22"/>
          <w:szCs w:val="22"/>
        </w:rPr>
        <w:t>, Professor Chris Bunn, Professor Gerda Reith, Professor Jo Neale</w:t>
      </w:r>
      <w:r w:rsidRPr="002F036A">
        <w:rPr>
          <w:rFonts w:ascii="Verdana" w:hAnsi="Verdana" w:cs="Segoe UI"/>
          <w:sz w:val="22"/>
          <w:szCs w:val="22"/>
        </w:rPr>
        <w:t xml:space="preserve"> and Centre Collaborators like Dr Ross Gordon. </w:t>
      </w:r>
      <w:r w:rsidRPr="002F036A">
        <w:rPr>
          <w:rFonts w:ascii="Verdana" w:hAnsi="Verdana" w:cs="Segoe UI"/>
          <w:sz w:val="22"/>
          <w:szCs w:val="22"/>
        </w:rPr>
        <w:t>In preparing this submission, w</w:t>
      </w:r>
      <w:r w:rsidRPr="002F036A">
        <w:rPr>
          <w:rFonts w:ascii="Verdana" w:hAnsi="Verdana" w:cs="Segoe UI"/>
          <w:sz w:val="22"/>
          <w:szCs w:val="22"/>
        </w:rPr>
        <w:t xml:space="preserve">e have drawn on expertise across the Gambling Harm Research UK </w:t>
      </w:r>
      <w:r w:rsidRPr="002F036A">
        <w:rPr>
          <w:rFonts w:ascii="Verdana" w:hAnsi="Verdana" w:cs="Segoe UI"/>
          <w:sz w:val="22"/>
          <w:szCs w:val="22"/>
        </w:rPr>
        <w:t>network. This network includes</w:t>
      </w:r>
      <w:r w:rsidRPr="002F036A">
        <w:rPr>
          <w:rFonts w:ascii="Verdana" w:hAnsi="Verdana" w:cs="Segoe UI"/>
          <w:sz w:val="22"/>
          <w:szCs w:val="22"/>
        </w:rPr>
        <w:t xml:space="preserve"> advisors with expertise in gambling harms and harm prevention policy research from across the social and behavioural sciences, including sociology, public health, psychology, and social marketing. Centre members also have an extensive track record in international comparative gambling policy research, including on gambling advertisement, marketing, and sponsorship.</w:t>
      </w:r>
    </w:p>
    <w:p w:rsidR="00B172BB" w:rsidRPr="002F036A" w:rsidP="002F036A">
      <w:pPr>
        <w:spacing w:after="0" w:line="276" w:lineRule="auto"/>
        <w:rPr>
          <w:rFonts w:ascii="Verdana" w:hAnsi="Verdana" w:cs="Segoe UI"/>
          <w:sz w:val="22"/>
          <w:szCs w:val="22"/>
        </w:rPr>
      </w:pPr>
      <w:r w:rsidRPr="002F036A">
        <w:rPr>
          <w:rFonts w:ascii="Verdana" w:hAnsi="Verdana" w:cs="Segoe UI"/>
          <w:sz w:val="22"/>
          <w:szCs w:val="22"/>
        </w:rPr>
        <w:t xml:space="preserve">Our submission is based on our own </w:t>
      </w:r>
      <w:r w:rsidRPr="002F036A" w:rsidR="00436A08">
        <w:rPr>
          <w:rFonts w:ascii="Verdana" w:hAnsi="Verdana" w:cs="Segoe UI"/>
          <w:sz w:val="22"/>
          <w:szCs w:val="22"/>
        </w:rPr>
        <w:t>programme</w:t>
      </w:r>
      <w:r w:rsidRPr="002F036A">
        <w:rPr>
          <w:rFonts w:ascii="Verdana" w:hAnsi="Verdana" w:cs="Segoe UI"/>
          <w:sz w:val="22"/>
          <w:szCs w:val="22"/>
        </w:rPr>
        <w:t xml:space="preserve"> of research in these fields that has been funded by</w:t>
      </w:r>
      <w:r w:rsidRPr="002F036A" w:rsidR="00436A08">
        <w:rPr>
          <w:rFonts w:ascii="Verdana" w:hAnsi="Verdana" w:cs="Segoe UI"/>
          <w:sz w:val="22"/>
          <w:szCs w:val="22"/>
        </w:rPr>
        <w:t xml:space="preserve"> the</w:t>
      </w:r>
      <w:r w:rsidRPr="002F036A">
        <w:rPr>
          <w:rFonts w:ascii="Verdana" w:hAnsi="Verdana" w:cs="Segoe UI"/>
          <w:sz w:val="22"/>
          <w:szCs w:val="22"/>
        </w:rPr>
        <w:t xml:space="preserve"> ESRC, </w:t>
      </w:r>
      <w:r w:rsidRPr="002F036A">
        <w:rPr>
          <w:rFonts w:ascii="Verdana" w:hAnsi="Verdana" w:cs="Segoe UI"/>
          <w:sz w:val="22"/>
          <w:szCs w:val="22"/>
        </w:rPr>
        <w:t>Wellcome</w:t>
      </w:r>
      <w:r w:rsidRPr="002F036A">
        <w:rPr>
          <w:rFonts w:ascii="Verdana" w:hAnsi="Verdana" w:cs="Segoe UI"/>
          <w:sz w:val="22"/>
          <w:szCs w:val="22"/>
        </w:rPr>
        <w:t xml:space="preserve"> Trust,</w:t>
      </w:r>
      <w:r w:rsidRPr="002F036A" w:rsidR="00436A08">
        <w:rPr>
          <w:rFonts w:ascii="Verdana" w:hAnsi="Verdana" w:cs="Segoe UI"/>
          <w:sz w:val="22"/>
          <w:szCs w:val="22"/>
        </w:rPr>
        <w:t xml:space="preserve"> and</w:t>
      </w:r>
      <w:r w:rsidRPr="002F036A">
        <w:rPr>
          <w:rFonts w:ascii="Verdana" w:hAnsi="Verdana" w:cs="Segoe UI"/>
          <w:sz w:val="22"/>
          <w:szCs w:val="22"/>
        </w:rPr>
        <w:t xml:space="preserve"> </w:t>
      </w:r>
      <w:r w:rsidRPr="002F036A" w:rsidR="00436A08">
        <w:rPr>
          <w:rFonts w:ascii="Verdana" w:hAnsi="Verdana" w:cs="Segoe UI"/>
          <w:sz w:val="22"/>
          <w:szCs w:val="22"/>
        </w:rPr>
        <w:t xml:space="preserve">the </w:t>
      </w:r>
      <w:r w:rsidRPr="002F036A" w:rsidR="0B58F137">
        <w:rPr>
          <w:rFonts w:ascii="Verdana" w:hAnsi="Verdana" w:cs="Segoe UI"/>
          <w:sz w:val="22"/>
          <w:szCs w:val="22"/>
        </w:rPr>
        <w:t>Academic Forum for the Study of Gambling</w:t>
      </w:r>
      <w:r w:rsidRPr="002F036A">
        <w:rPr>
          <w:rFonts w:ascii="Verdana" w:hAnsi="Verdana" w:cs="Segoe UI"/>
          <w:sz w:val="22"/>
          <w:szCs w:val="22"/>
        </w:rPr>
        <w:t>, as well as the extant body of research evidence. We address the questions relevant to our expertise below.</w:t>
      </w:r>
    </w:p>
    <w:p w:rsidR="00B172BB" w:rsidRPr="002F036A" w:rsidP="002F036A">
      <w:pPr>
        <w:spacing w:after="0" w:line="276" w:lineRule="auto"/>
        <w:rPr>
          <w:rFonts w:ascii="Verdana" w:hAnsi="Verdana" w:cs="Segoe UI"/>
          <w:sz w:val="22"/>
          <w:szCs w:val="22"/>
        </w:rPr>
      </w:pPr>
    </w:p>
    <w:p w:rsidR="00B172BB" w:rsidRPr="002F036A" w:rsidP="002F036A">
      <w:pPr>
        <w:rPr>
          <w:rFonts w:ascii="Verdana" w:hAnsi="Verdana" w:cs="Segoe UI"/>
          <w:sz w:val="22"/>
          <w:szCs w:val="22"/>
        </w:rPr>
      </w:pPr>
      <w:r w:rsidRPr="002F036A">
        <w:rPr>
          <w:rFonts w:ascii="Verdana" w:hAnsi="Verdana" w:cs="Segoe UI"/>
          <w:sz w:val="22"/>
          <w:szCs w:val="22"/>
        </w:rPr>
        <w:t>To contextualise our response, we begin by comparing gambling advertising regulation in Britain with that of other European countries.</w:t>
      </w:r>
    </w:p>
    <w:p w:rsidR="00B172BB" w:rsidRPr="002F036A" w:rsidP="002F036A">
      <w:pPr>
        <w:rPr>
          <w:rFonts w:ascii="Verdana" w:hAnsi="Verdana" w:cs="Segoe UI"/>
          <w:sz w:val="22"/>
          <w:szCs w:val="22"/>
        </w:rPr>
      </w:pPr>
      <w:r w:rsidRPr="002F036A">
        <w:rPr>
          <w:rFonts w:ascii="Verdana" w:hAnsi="Verdana" w:cs="Segoe UI"/>
          <w:sz w:val="22"/>
          <w:szCs w:val="22"/>
        </w:rPr>
        <w:t xml:space="preserve">Compared with other European countries, Great Britain maintains one of the most permissive regulatory regimes for advertising, as evidenced in a recent review comparing gambling advertising regulations across Europe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10.1080/14459795.2026.2682456","ISSN":"1445-9795","author":[{"dropping-particle":"","family":"Marionneau","given":"Virve","non-dropping-particle":"","parse-names":false,"suffix":""},{"dropping-particle":"","family":"Mcgrane","given":"Ellen","non-dropping-particle":"","parse-names":false,"suffix":""},{"dropping-particle":"","family":"Ukhova","given":"Daria","non-dropping-particle":"","parse-names":false,"suffix":""},{"dropping-particle":"","family":"Wardle","given":"Heather","non-dropping-particle":"","parse-names":false,"suffix":""}],"container-title":"International Gambling Studies","id":"ITEM-1","issue":"00","issued":{"date-parts":[["2026"]]},"page":"1-27","publisher":"Routledge","title":"Regulations on gambling advertising in Europe : a comparative policy review Regulations on gambling advertising in Europe : a comparative policy review ABSTRACT","type":"article-journal","volume":"00"},"uris":["http://www.mendeley.com/documents/?uuid=4be8f048-06fb-4f9d-b7bb-bbd690a4c1fa"]}],"mendeley":{"formattedCitation":"(Marionneau &lt;i&gt;et al.&lt;/i&gt;, 2026)","plainTextFormattedCitation":"(Marionneau et al., 2026)","previouslyFormattedCitation":"(Marionneau &lt;i&gt;et al.&lt;/i&gt;,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(Marionneau </w:t>
      </w:r>
      <w:r w:rsidRPr="002F036A">
        <w:rPr>
          <w:rFonts w:ascii="Verdana" w:hAnsi="Verdana" w:cs="Segoe UI"/>
          <w:i/>
          <w:noProof/>
          <w:sz w:val="22"/>
          <w:szCs w:val="22"/>
        </w:rPr>
        <w:t>et al.</w:t>
      </w:r>
      <w:r w:rsidRPr="002F036A">
        <w:rPr>
          <w:rFonts w:ascii="Verdana" w:hAnsi="Verdana" w:cs="Segoe UI"/>
          <w:noProof/>
          <w:sz w:val="22"/>
          <w:szCs w:val="22"/>
        </w:rPr>
        <w:t>, 2026)</w:t>
      </w:r>
      <w:r w:rsidRPr="002F036A">
        <w:rPr>
          <w:rFonts w:ascii="Verdana" w:hAnsi="Verdana" w:cs="Segoe UI"/>
          <w:sz w:val="22"/>
          <w:szCs w:val="22"/>
        </w:rPr>
        <w:fldChar w:fldCharType="end"/>
      </w:r>
      <w:r w:rsidRPr="002F036A">
        <w:rPr>
          <w:rFonts w:ascii="Verdana" w:hAnsi="Verdana" w:cs="Segoe UI"/>
          <w:sz w:val="22"/>
          <w:szCs w:val="22"/>
        </w:rPr>
        <w:t xml:space="preserve"> (N=30 jurisdictions). Based on a comparison of jurisdictions across eight different regulatory domains (advertising content, target audiences, channels/media, times, objects of advertising, sponsorship arrangements, online advertising, harm prevention measures), Great Britain was classified as having few</w:t>
      </w:r>
      <w:r w:rsidRPr="002F036A" w:rsidR="00034889">
        <w:rPr>
          <w:rFonts w:ascii="Verdana" w:hAnsi="Verdana" w:cs="Segoe UI"/>
          <w:sz w:val="22"/>
          <w:szCs w:val="22"/>
        </w:rPr>
        <w:t xml:space="preserve"> overall</w:t>
      </w:r>
      <w:r w:rsidRPr="002F036A">
        <w:rPr>
          <w:rFonts w:ascii="Verdana" w:hAnsi="Verdana" w:cs="Segoe UI"/>
          <w:sz w:val="22"/>
          <w:szCs w:val="22"/>
        </w:rPr>
        <w:t xml:space="preserve"> restrictions on gambling advertising, particularly in comparison to other Western European countries (see Figure 1). The review focused on binding regulations and excluded industry self-regulatory documents. </w:t>
      </w:r>
      <w:r w:rsidRPr="002F036A" w:rsidR="00034889">
        <w:rPr>
          <w:rFonts w:ascii="Verdana" w:hAnsi="Verdana" w:cs="Segoe UI"/>
          <w:sz w:val="22"/>
          <w:szCs w:val="22"/>
        </w:rPr>
        <w:t xml:space="preserve">Comparatively, </w:t>
      </w:r>
      <w:r w:rsidRPr="002F036A">
        <w:rPr>
          <w:rFonts w:ascii="Verdana" w:hAnsi="Verdana" w:cs="Segoe UI"/>
          <w:sz w:val="22"/>
          <w:szCs w:val="22"/>
        </w:rPr>
        <w:t xml:space="preserve">Great Britain had weaker binding regulations on the times and media of advertising, no binding regulations on sponsorship, and few regulations on </w:t>
      </w:r>
      <w:r w:rsidRPr="002F036A">
        <w:rPr>
          <w:rFonts w:ascii="Verdana" w:hAnsi="Verdana" w:cs="Segoe UI"/>
          <w:sz w:val="22"/>
          <w:szCs w:val="22"/>
        </w:rPr>
        <w:t>bonuses or direct marketing. Great Britain was also one of only a few countries that did not mandate any harm prevention messaging on advertising (warning message, age limit, helpline information, or similar). Existing responsible gambling messages are based on industry codes rather than enforceable regulation.</w:t>
      </w:r>
    </w:p>
    <w:p w:rsidR="00B172BB" w:rsidRPr="002F036A" w:rsidP="002F036A">
      <w:pPr>
        <w:pStyle w:val="ListParagraph"/>
        <w:ind w:left="1440"/>
        <w:contextualSpacing w:val="0"/>
        <w:rPr>
          <w:rFonts w:ascii="Verdana" w:hAnsi="Verdana" w:cs="Segoe UI"/>
          <w:sz w:val="22"/>
          <w:szCs w:val="22"/>
        </w:rPr>
      </w:pPr>
    </w:p>
    <w:p w:rsidR="00B40B20" w:rsidRPr="002F036A" w:rsidP="002F036A">
      <w:pPr>
        <w:rPr>
          <w:rFonts w:ascii="Verdana" w:hAnsi="Verdana" w:cs="Segoe UI"/>
          <w:b/>
          <w:bCs/>
          <w:sz w:val="22"/>
          <w:szCs w:val="22"/>
        </w:rPr>
      </w:pPr>
      <w:r w:rsidRPr="002F036A">
        <w:rPr>
          <w:rFonts w:ascii="Verdana" w:hAnsi="Verdana" w:cs="Segoe UI"/>
          <w:b/>
          <w:bCs/>
          <w:sz w:val="22"/>
          <w:szCs w:val="22"/>
        </w:rPr>
        <w:br w:type="page"/>
      </w:r>
    </w:p>
    <w:p w:rsidR="00B40B20" w:rsidRPr="002F036A" w:rsidP="002F036A">
      <w:pPr>
        <w:pStyle w:val="ListParagraph"/>
        <w:ind w:left="0"/>
        <w:contextualSpacing w:val="0"/>
        <w:rPr>
          <w:rFonts w:ascii="Verdana" w:hAnsi="Verdana" w:cs="Segoe UI"/>
          <w:b/>
          <w:bCs/>
          <w:sz w:val="22"/>
          <w:szCs w:val="22"/>
        </w:rPr>
      </w:pPr>
      <w:r w:rsidRPr="002F036A">
        <w:rPr>
          <w:rFonts w:ascii="Verdana" w:hAnsi="Verdana" w:cs="Segoe UI"/>
          <w:b/>
          <w:bCs/>
          <w:sz w:val="22"/>
          <w:szCs w:val="22"/>
        </w:rPr>
        <w:t xml:space="preserve">Figure 1: Regulatory approaches to gambling advertising in Europe (based on </w:t>
      </w:r>
      <w:r w:rsidRPr="002F036A">
        <w:rPr>
          <w:rFonts w:ascii="Verdana" w:hAnsi="Verdana" w:cs="Segoe UI"/>
          <w:b/>
          <w:bCs/>
          <w:sz w:val="22"/>
          <w:szCs w:val="22"/>
        </w:rPr>
        <w:t>Marionneau</w:t>
      </w:r>
      <w:r w:rsidRPr="002F036A">
        <w:rPr>
          <w:rFonts w:ascii="Verdana" w:hAnsi="Verdana" w:cs="Segoe UI"/>
          <w:b/>
          <w:bCs/>
          <w:sz w:val="22"/>
          <w:szCs w:val="22"/>
        </w:rPr>
        <w:t xml:space="preserve"> et al., 2026)</w:t>
      </w:r>
    </w:p>
    <w:p w:rsidR="00B40B20" w:rsidRPr="002F036A" w:rsidP="002F036A">
      <w:pPr>
        <w:pStyle w:val="ListParagraph"/>
        <w:ind w:left="0"/>
        <w:contextualSpacing w:val="0"/>
        <w:rPr>
          <w:rFonts w:ascii="Verdana" w:hAnsi="Verdana" w:cs="Segoe UI"/>
          <w:b/>
          <w:bCs/>
          <w:sz w:val="22"/>
          <w:szCs w:val="22"/>
        </w:rPr>
      </w:pPr>
    </w:p>
    <w:p w:rsidR="00B172BB" w:rsidRPr="002F036A" w:rsidP="002F036A">
      <w:pPr>
        <w:pStyle w:val="ListParagraph"/>
        <w:ind w:left="0"/>
        <w:contextualSpacing w:val="0"/>
        <w:rPr>
          <w:rFonts w:ascii="Verdana" w:hAnsi="Verdana" w:cs="Segoe UI"/>
          <w:b/>
          <w:bCs/>
          <w:sz w:val="22"/>
          <w:szCs w:val="22"/>
        </w:rPr>
      </w:pPr>
      <w:r w:rsidRPr="002F036A">
        <w:rPr>
          <w:rFonts w:ascii="Verdana" w:hAnsi="Verdana" w:cs="Segoe UI"/>
          <w:b/>
          <w:bCs/>
          <w:noProof/>
          <w:sz w:val="22"/>
          <w:szCs w:val="22"/>
        </w:rPr>
        <w:drawing>
          <wp:inline distT="0" distB="0" distL="0" distR="0">
            <wp:extent cx="4356515" cy="3026780"/>
            <wp:effectExtent l="0" t="0" r="6350" b="2540"/>
            <wp:docPr id="1966894893" name="Kuva 1" descr="Kuva, joka sisältää kohteen kartta, atlas, teksti&#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324139" name="Kuva 1" descr="Kuva, joka sisältää kohteen kartta, atlas, teksti&#10;&#10;Tekoälyllä luotu sisältö voi olla virheellistä."/>
                    <pic:cNvPicPr/>
                  </pic:nvPicPr>
                  <pic:blipFill>
                    <a:blip xmlns:r="http://schemas.openxmlformats.org/officeDocument/2006/relationships" r:embed="rId6"/>
                    <a:stretch>
                      <a:fillRect/>
                    </a:stretch>
                  </pic:blipFill>
                  <pic:spPr>
                    <a:xfrm>
                      <a:off x="0" y="0"/>
                      <a:ext cx="4369986" cy="3036139"/>
                    </a:xfrm>
                    <a:prstGeom prst="rect">
                      <a:avLst/>
                    </a:prstGeom>
                  </pic:spPr>
                </pic:pic>
              </a:graphicData>
            </a:graphic>
          </wp:inline>
        </w:drawing>
      </w:r>
    </w:p>
    <w:p w:rsidR="00B172BB" w:rsidRPr="002F036A" w:rsidP="002F036A">
      <w:pPr>
        <w:rPr>
          <w:rFonts w:ascii="Verdana" w:hAnsi="Verdana" w:cs="Segoe UI"/>
          <w:sz w:val="22"/>
          <w:szCs w:val="22"/>
        </w:rPr>
      </w:pPr>
    </w:p>
    <w:p w:rsidR="00B172BB" w:rsidRPr="002F036A" w:rsidP="002F036A">
      <w:pPr>
        <w:rPr>
          <w:rFonts w:ascii="Verdana" w:hAnsi="Verdana" w:cs="Segoe UI"/>
          <w:sz w:val="22"/>
          <w:szCs w:val="22"/>
        </w:rPr>
      </w:pPr>
      <w:r w:rsidRPr="002F036A">
        <w:rPr>
          <w:rFonts w:ascii="Verdana" w:hAnsi="Verdana" w:cs="Segoe UI"/>
          <w:sz w:val="22"/>
          <w:szCs w:val="22"/>
        </w:rPr>
        <w:t xml:space="preserve">Similarly, a report by Ipsos MORI and the University of Bristol found that Britain has by far the largest evidence base on gambling marketing harms, more than Belgium, the Netherlands, Italy and Spain combined, yet the fewest restrictions of any comparator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author":[{"dropping-particle":"","family":"Wilson","given":"Jessie","non-dropping-particle":"","parse-names":false,"suffix":""},{"dropping-particle":"","family":"Rossi","given":"Raffaello","non-dropping-particle":"","parse-names":false,"suffix":""},{"dropping-particle":"","family":"Bransden","given":"Nathan","non-dropping-particle":"","parse-names":false,"suffix":""},{"dropping-particle":"","family":"Amos","given":"Mary","non-dropping-particle":"","parse-names":false,"suffix":""},{"dropping-particle":"","family":"Sakis","given":"Peter","non-dropping-particle":"","parse-names":false,"suffix":""}],"id":"ITEM-1","issued":{"date-parts":[["2024"]]},"publisher-place":"Bristol","title":"Drivers of Gambling Marketing Restrictions – An International Comparison The University of Bristol","type":"report"},"uris":["http://www.mendeley.com/documents/?uuid=001b252e-2d3a-4802-b01d-2752c6865c5c"]}],"mendeley":{"formattedCitation":"(Wilson &lt;i&gt;et al.&lt;/i&gt;, 2024)","plainTextFormattedCitation":"(Wilson et al., 2024)","previouslyFormattedCitation":"(Wilson &lt;i&gt;et al.&lt;/i&gt;, 2024)"},"properties":{"noteIndex":0},"schema":"https://github.com/citation-style-language/schema/raw/master/csl-citation.json"}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(Wilson </w:t>
      </w:r>
      <w:r w:rsidRPr="002F036A">
        <w:rPr>
          <w:rFonts w:ascii="Verdana" w:hAnsi="Verdana" w:cs="Segoe UI"/>
          <w:i/>
          <w:noProof/>
          <w:sz w:val="22"/>
          <w:szCs w:val="22"/>
        </w:rPr>
        <w:t>et al.</w:t>
      </w:r>
      <w:r w:rsidRPr="002F036A">
        <w:rPr>
          <w:rFonts w:ascii="Verdana" w:hAnsi="Verdana" w:cs="Segoe UI"/>
          <w:noProof/>
          <w:sz w:val="22"/>
          <w:szCs w:val="22"/>
        </w:rPr>
        <w:t>, 2024)</w:t>
      </w:r>
      <w:r w:rsidRPr="002F036A">
        <w:rPr>
          <w:rFonts w:ascii="Verdana" w:hAnsi="Verdana" w:cs="Segoe UI"/>
          <w:sz w:val="22"/>
          <w:szCs w:val="22"/>
        </w:rPr>
        <w:fldChar w:fldCharType="end"/>
      </w:r>
      <w:r w:rsidRPr="002F036A">
        <w:rPr>
          <w:rFonts w:ascii="Verdana" w:hAnsi="Verdana" w:cs="Segoe UI"/>
          <w:sz w:val="22"/>
          <w:szCs w:val="22"/>
        </w:rPr>
        <w:t xml:space="preserve">. The authors </w:t>
      </w:r>
      <w:r w:rsidRPr="002F036A" w:rsidR="00034889">
        <w:rPr>
          <w:rFonts w:ascii="Verdana" w:hAnsi="Verdana" w:cs="Segoe UI"/>
          <w:sz w:val="22"/>
          <w:szCs w:val="22"/>
        </w:rPr>
        <w:t xml:space="preserve">noted that advertising and marketing reform had been enacted in countries like Spain, Italy, and the Netherlands via primary legislation on public health grounds and </w:t>
      </w:r>
      <w:r w:rsidRPr="002F036A">
        <w:rPr>
          <w:rFonts w:ascii="Verdana" w:hAnsi="Verdana" w:cs="Segoe UI"/>
          <w:sz w:val="22"/>
          <w:szCs w:val="22"/>
        </w:rPr>
        <w:t xml:space="preserve">identified political will as the primary </w:t>
      </w:r>
      <w:r w:rsidRPr="002F036A" w:rsidR="00034889">
        <w:rPr>
          <w:rFonts w:ascii="Verdana" w:hAnsi="Verdana" w:cs="Segoe UI"/>
          <w:sz w:val="22"/>
          <w:szCs w:val="22"/>
        </w:rPr>
        <w:t>driver.</w:t>
      </w:r>
      <w:r w:rsidRPr="002F036A">
        <w:rPr>
          <w:rFonts w:ascii="Verdana" w:hAnsi="Verdana" w:cs="Segoe UI"/>
          <w:sz w:val="22"/>
          <w:szCs w:val="22"/>
        </w:rPr>
        <w:t xml:space="preserve"> In all cases, the presence or absence of direct causal evidence was not a decisive issue within the decision-making on this issue. The authors note</w:t>
      </w:r>
      <w:r w:rsidRPr="002F036A" w:rsidR="00034889">
        <w:rPr>
          <w:rFonts w:ascii="Verdana" w:hAnsi="Verdana" w:cs="Segoe UI"/>
          <w:sz w:val="22"/>
          <w:szCs w:val="22"/>
        </w:rPr>
        <w:t>d</w:t>
      </w:r>
      <w:r w:rsidRPr="002F036A">
        <w:rPr>
          <w:rFonts w:ascii="Verdana" w:hAnsi="Verdana" w:cs="Segoe UI"/>
          <w:sz w:val="22"/>
          <w:szCs w:val="22"/>
        </w:rPr>
        <w:t xml:space="preserve"> that meaningful change </w:t>
      </w:r>
      <w:r w:rsidRPr="002F036A" w:rsidR="00034889">
        <w:rPr>
          <w:rFonts w:ascii="Verdana" w:hAnsi="Verdana" w:cs="Segoe UI"/>
          <w:sz w:val="22"/>
          <w:szCs w:val="22"/>
        </w:rPr>
        <w:t>is unlikely to come</w:t>
      </w:r>
      <w:r w:rsidRPr="002F036A">
        <w:rPr>
          <w:rFonts w:ascii="Verdana" w:hAnsi="Verdana" w:cs="Segoe UI"/>
          <w:sz w:val="22"/>
          <w:szCs w:val="22"/>
        </w:rPr>
        <w:t xml:space="preserve"> from further evidence but from the political will to legislate. </w:t>
      </w:r>
    </w:p>
    <w:p w:rsidR="00B172BB" w:rsidRPr="002F036A" w:rsidP="002F036A">
      <w:pPr>
        <w:spacing w:after="0" w:line="276" w:lineRule="auto"/>
        <w:rPr>
          <w:rFonts w:ascii="Verdana" w:hAnsi="Verdana" w:cs="Segoe UI"/>
          <w:sz w:val="22"/>
          <w:szCs w:val="22"/>
        </w:rPr>
      </w:pPr>
      <w:r w:rsidRPr="002F036A">
        <w:rPr>
          <w:rFonts w:ascii="Verdana" w:hAnsi="Verdana" w:cs="Segoe UI"/>
          <w:sz w:val="22"/>
          <w:szCs w:val="22"/>
        </w:rPr>
        <w:t xml:space="preserve">Taken together, this evidence indicates that international trends are moving towards statutory, comprehensive frameworks for regulating gambling advertising, rather than the voluntary, industry-led self-regulation that predominates in Great Britain (see also </w:t>
      </w:r>
      <w:r w:rsidRPr="002F036A">
        <w:rPr>
          <w:rFonts w:ascii="Verdana" w:hAnsi="Verdana" w:cs="Segoe UI"/>
          <w:sz w:val="22"/>
          <w:szCs w:val="22"/>
        </w:rPr>
        <w:t>Ukhova</w:t>
      </w:r>
      <w:r w:rsidRPr="002F036A">
        <w:rPr>
          <w:rFonts w:ascii="Verdana" w:hAnsi="Verdana" w:cs="Segoe UI"/>
          <w:sz w:val="22"/>
          <w:szCs w:val="22"/>
        </w:rPr>
        <w:t xml:space="preserve"> </w:t>
      </w:r>
      <w:r w:rsidRPr="002F036A">
        <w:rPr>
          <w:rFonts w:ascii="Verdana" w:hAnsi="Verdana" w:cs="Segoe UI"/>
          <w:i/>
          <w:iCs/>
          <w:sz w:val="22"/>
          <w:szCs w:val="22"/>
        </w:rPr>
        <w:t>et al</w:t>
      </w:r>
      <w:r w:rsidRPr="002F036A">
        <w:rPr>
          <w:rFonts w:ascii="Verdana" w:hAnsi="Verdana" w:cs="Segoe UI"/>
          <w:sz w:val="22"/>
          <w:szCs w:val="22"/>
        </w:rPr>
        <w:t>., 2025).</w:t>
      </w:r>
    </w:p>
    <w:p w:rsidR="00B172BB" w:rsidRPr="002F036A" w:rsidP="002F036A">
      <w:pPr>
        <w:spacing w:after="0" w:line="276" w:lineRule="auto"/>
        <w:rPr>
          <w:rFonts w:ascii="Verdana" w:hAnsi="Verdana" w:cs="Segoe UI"/>
          <w:sz w:val="22"/>
          <w:szCs w:val="22"/>
        </w:rPr>
      </w:pPr>
    </w:p>
    <w:p w:rsidR="00B172BB" w:rsidRPr="002F036A" w:rsidP="002F036A">
      <w:pPr>
        <w:spacing w:after="0" w:line="276" w:lineRule="auto"/>
        <w:rPr>
          <w:rFonts w:ascii="Verdana" w:hAnsi="Verdana" w:cs="Segoe UI"/>
          <w:sz w:val="22"/>
          <w:szCs w:val="22"/>
        </w:rPr>
      </w:pPr>
      <w:r w:rsidRPr="002F036A">
        <w:rPr>
          <w:rFonts w:ascii="Verdana" w:hAnsi="Verdana" w:cs="Segoe UI"/>
          <w:sz w:val="22"/>
          <w:szCs w:val="22"/>
        </w:rPr>
        <w:t>For the remainder of this submission, we list the questions provided by the House of Lords Select Committee and our response to them.</w:t>
      </w:r>
    </w:p>
    <w:p w:rsidR="00B172BB" w:rsidRPr="002F036A" w:rsidP="002F036A">
      <w:pPr>
        <w:rPr>
          <w:rFonts w:ascii="Verdana" w:hAnsi="Verdana" w:cs="Segoe UI"/>
          <w:sz w:val="22"/>
          <w:szCs w:val="22"/>
          <w:u w:val="single"/>
        </w:rPr>
      </w:pPr>
      <w:r w:rsidRPr="002F036A">
        <w:rPr>
          <w:rFonts w:ascii="Verdana" w:hAnsi="Verdana" w:cs="Segoe UI"/>
          <w:sz w:val="22"/>
          <w:szCs w:val="22"/>
          <w:u w:val="single"/>
        </w:rPr>
        <w:br w:type="page"/>
      </w:r>
    </w:p>
    <w:p w:rsidR="00B172BB" w:rsidRPr="002F036A" w:rsidP="002F036A">
      <w:pPr>
        <w:rPr>
          <w:rFonts w:ascii="Verdana" w:hAnsi="Verdana" w:cs="Segoe UI"/>
          <w:b/>
          <w:bCs/>
          <w:sz w:val="22"/>
          <w:szCs w:val="22"/>
        </w:rPr>
      </w:pPr>
      <w:r w:rsidRPr="002F036A">
        <w:rPr>
          <w:rFonts w:ascii="Verdana" w:hAnsi="Verdana" w:cs="Segoe UI"/>
          <w:b/>
          <w:bCs/>
          <w:sz w:val="22"/>
          <w:szCs w:val="22"/>
        </w:rPr>
        <w:t>Written evidence questions for academics and public health experts</w:t>
      </w:r>
    </w:p>
    <w:p w:rsidR="00B172BB" w:rsidRPr="002F036A" w:rsidP="002F036A">
      <w:pPr>
        <w:rPr>
          <w:rFonts w:ascii="Verdana" w:hAnsi="Verdana" w:cs="Segoe UI"/>
          <w:b/>
          <w:bCs/>
          <w:i/>
          <w:iCs/>
          <w:sz w:val="22"/>
          <w:szCs w:val="22"/>
        </w:rPr>
      </w:pPr>
      <w:r w:rsidRPr="002F036A">
        <w:rPr>
          <w:rFonts w:ascii="Verdana" w:hAnsi="Verdana" w:cs="Segoe UI"/>
          <w:b/>
          <w:bCs/>
          <w:i/>
          <w:iCs/>
          <w:sz w:val="22"/>
          <w:szCs w:val="22"/>
        </w:rPr>
        <w:t>Research</w:t>
      </w:r>
    </w:p>
    <w:p w:rsidR="00B172BB" w:rsidRPr="002F036A" w:rsidP="002F036A">
      <w:pPr>
        <w:pStyle w:val="paragraph"/>
        <w:numPr>
          <w:ilvl w:val="0"/>
          <w:numId w:val="28"/>
        </w:numPr>
        <w:spacing w:before="0" w:beforeAutospacing="0" w:after="0" w:afterAutospacing="0"/>
        <w:textAlignment w:val="baseline"/>
        <w:rPr>
          <w:rFonts w:ascii="Verdana" w:hAnsi="Verdana" w:cs="Segoe UI"/>
          <w:sz w:val="22"/>
          <w:szCs w:val="22"/>
        </w:rPr>
      </w:pPr>
      <w:r w:rsidRPr="002F036A">
        <w:rPr>
          <w:rStyle w:val="normaltextrun"/>
          <w:rFonts w:ascii="Verdana" w:hAnsi="Verdana" w:cs="Segoe UI"/>
          <w:sz w:val="22"/>
          <w:szCs w:val="22"/>
          <w:lang w:val="en-GB"/>
        </w:rPr>
        <w:t>The 2020 special inquiry committee recommended that the Government “commission independent research to establish the links between gambling advertising and gambling related harm for both adults and children”.</w:t>
      </w:r>
      <w:r w:rsidRPr="002F036A">
        <w:rPr>
          <w:rStyle w:val="superscript"/>
          <w:rFonts w:ascii="Verdana" w:hAnsi="Verdana" w:cs="Segoe UI"/>
          <w:sz w:val="22"/>
          <w:szCs w:val="22"/>
          <w:vertAlign w:val="superscript"/>
          <w:lang w:val="en-GB"/>
        </w:rPr>
        <w:t>1</w:t>
      </w:r>
      <w:r w:rsidRPr="002F036A">
        <w:rPr>
          <w:rStyle w:val="normaltextrun"/>
          <w:rFonts w:ascii="Verdana" w:hAnsi="Verdana" w:cs="Segoe UI"/>
          <w:sz w:val="22"/>
          <w:szCs w:val="22"/>
          <w:lang w:val="en-GB"/>
        </w:rPr>
        <w:t> As of May 2026, how clear is the evidence of a causal link between gambling advertising by licensed operators (in all its forms) and:</w:t>
      </w:r>
      <w:r w:rsidRPr="002F036A">
        <w:rPr>
          <w:rStyle w:val="eop"/>
          <w:rFonts w:ascii="Verdana" w:hAnsi="Verdana" w:cs="Segoe UI"/>
          <w:sz w:val="22"/>
          <w:szCs w:val="22"/>
        </w:rPr>
        <w:t> </w:t>
      </w:r>
    </w:p>
    <w:p w:rsidR="00B172BB" w:rsidRPr="002F036A" w:rsidP="002F036A">
      <w:pPr>
        <w:pStyle w:val="paragraph"/>
        <w:numPr>
          <w:ilvl w:val="0"/>
          <w:numId w:val="25"/>
        </w:numPr>
        <w:spacing w:before="0" w:beforeAutospacing="0" w:after="0" w:afterAutospacing="0"/>
        <w:ind w:left="1800" w:firstLine="0"/>
        <w:textAlignment w:val="baseline"/>
        <w:rPr>
          <w:rFonts w:ascii="Verdana" w:hAnsi="Verdana" w:cs="Segoe UI"/>
          <w:sz w:val="22"/>
          <w:szCs w:val="22"/>
        </w:rPr>
      </w:pPr>
      <w:r w:rsidRPr="002F036A">
        <w:rPr>
          <w:rStyle w:val="normaltextrun"/>
          <w:rFonts w:ascii="Verdana" w:hAnsi="Verdana" w:cs="Segoe UI"/>
          <w:sz w:val="22"/>
          <w:szCs w:val="22"/>
          <w:lang w:val="en-GB"/>
        </w:rPr>
        <w:t>increased gambling participation by adults;</w:t>
      </w:r>
      <w:r w:rsidRPr="002F036A">
        <w:rPr>
          <w:rStyle w:val="eop"/>
          <w:rFonts w:ascii="Verdana" w:hAnsi="Verdana" w:cs="Segoe UI"/>
          <w:sz w:val="22"/>
          <w:szCs w:val="22"/>
        </w:rPr>
        <w:t> </w:t>
      </w:r>
    </w:p>
    <w:p w:rsidR="00B172BB" w:rsidRPr="002F036A" w:rsidP="002F036A">
      <w:pPr>
        <w:pStyle w:val="paragraph"/>
        <w:numPr>
          <w:ilvl w:val="0"/>
          <w:numId w:val="26"/>
        </w:numPr>
        <w:spacing w:before="0" w:beforeAutospacing="0" w:after="0" w:afterAutospacing="0"/>
        <w:ind w:left="1800" w:firstLine="0"/>
        <w:textAlignment w:val="baseline"/>
        <w:rPr>
          <w:rFonts w:ascii="Verdana" w:hAnsi="Verdana" w:cs="Segoe UI"/>
          <w:sz w:val="22"/>
          <w:szCs w:val="22"/>
        </w:rPr>
      </w:pPr>
      <w:r w:rsidRPr="002F036A">
        <w:rPr>
          <w:rStyle w:val="normaltextrun"/>
          <w:rFonts w:ascii="Verdana" w:hAnsi="Verdana" w:cs="Segoe UI"/>
          <w:sz w:val="22"/>
          <w:szCs w:val="22"/>
          <w:lang w:val="en-GB"/>
        </w:rPr>
        <w:t>increased incidence of problem gambling amongst adults; and,</w:t>
      </w:r>
      <w:r w:rsidRPr="002F036A">
        <w:rPr>
          <w:rStyle w:val="eop"/>
          <w:rFonts w:ascii="Verdana" w:hAnsi="Verdana" w:cs="Segoe UI"/>
          <w:sz w:val="22"/>
          <w:szCs w:val="22"/>
        </w:rPr>
        <w:t> </w:t>
      </w:r>
    </w:p>
    <w:p w:rsidR="00B172BB" w:rsidRPr="002F036A" w:rsidP="002F036A">
      <w:pPr>
        <w:pStyle w:val="paragraph"/>
        <w:numPr>
          <w:ilvl w:val="0"/>
          <w:numId w:val="27"/>
        </w:numPr>
        <w:spacing w:before="0" w:beforeAutospacing="0" w:after="0" w:afterAutospacing="0"/>
        <w:ind w:left="1800" w:firstLine="0"/>
        <w:textAlignment w:val="baseline"/>
        <w:rPr>
          <w:rFonts w:ascii="Verdana" w:hAnsi="Verdana" w:cs="Segoe UI"/>
          <w:sz w:val="22"/>
          <w:szCs w:val="22"/>
        </w:rPr>
      </w:pPr>
      <w:r w:rsidRPr="002F036A">
        <w:rPr>
          <w:rStyle w:val="normaltextrun"/>
          <w:rFonts w:ascii="Verdana" w:hAnsi="Verdana" w:cs="Segoe UI"/>
          <w:sz w:val="22"/>
          <w:szCs w:val="22"/>
          <w:lang w:val="en-GB"/>
        </w:rPr>
        <w:t>increased gambling participation by under-18s?</w:t>
      </w:r>
      <w:r w:rsidRPr="002F036A">
        <w:rPr>
          <w:rStyle w:val="eop"/>
          <w:rFonts w:ascii="Verdana" w:hAnsi="Verdana" w:cs="Segoe UI"/>
          <w:sz w:val="22"/>
          <w:szCs w:val="22"/>
        </w:rPr>
        <w:t> </w:t>
      </w:r>
    </w:p>
    <w:p w:rsidR="008D2F6C" w:rsidRPr="002F036A" w:rsidP="002F036A">
      <w:pPr>
        <w:rPr>
          <w:rFonts w:ascii="Verdana" w:hAnsi="Verdana" w:cs="Segoe UI"/>
          <w:i/>
          <w:iCs/>
          <w:sz w:val="22"/>
          <w:szCs w:val="22"/>
        </w:rPr>
      </w:pPr>
    </w:p>
    <w:p w:rsidR="00B172BB"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To our knowledge, little independent academic research has been commissioned directly by government on this issue. The second part of this question deals with issues around causal inference, which we discuss in detail below.</w:t>
      </w:r>
    </w:p>
    <w:p w:rsidR="00B172BB" w:rsidRPr="002F036A" w:rsidP="002F036A">
      <w:pPr>
        <w:rPr>
          <w:rFonts w:ascii="Verdana" w:hAnsi="Verdana" w:cs="Segoe UI"/>
          <w:i/>
          <w:iCs/>
          <w:sz w:val="22"/>
          <w:szCs w:val="22"/>
        </w:rPr>
      </w:pPr>
    </w:p>
    <w:p w:rsidR="00B172BB" w:rsidRPr="002F036A" w:rsidP="002F036A">
      <w:pPr>
        <w:pStyle w:val="ListParagraph"/>
        <w:numPr>
          <w:ilvl w:val="0"/>
          <w:numId w:val="28"/>
        </w:numPr>
        <w:rPr>
          <w:rFonts w:ascii="Verdana" w:hAnsi="Verdana" w:cs="Segoe UI"/>
          <w:sz w:val="22"/>
          <w:szCs w:val="22"/>
        </w:rPr>
      </w:pPr>
      <w:r w:rsidRPr="002F036A">
        <w:rPr>
          <w:rFonts w:ascii="Verdana" w:hAnsi="Verdana" w:cs="Segoe UI"/>
          <w:sz w:val="22"/>
          <w:szCs w:val="22"/>
        </w:rPr>
        <w:t>In July 2025, the Government stated that “more high-quality research on the impacts of gambling advertising is needed and there are a range of evidence gaps that need to be addressed”.</w:t>
      </w:r>
      <w:r>
        <w:rPr>
          <w:rStyle w:val="FootnoteReference"/>
          <w:rFonts w:ascii="Verdana" w:hAnsi="Verdana"/>
          <w:sz w:val="22"/>
          <w:szCs w:val="22"/>
        </w:rPr>
        <w:footnoteReference w:id="2"/>
      </w:r>
    </w:p>
    <w:p w:rsidR="00B172BB" w:rsidRPr="002F036A" w:rsidP="002F036A">
      <w:pPr>
        <w:pStyle w:val="ListParagraph"/>
        <w:numPr>
          <w:ilvl w:val="1"/>
          <w:numId w:val="28"/>
        </w:numPr>
        <w:rPr>
          <w:rFonts w:ascii="Verdana" w:hAnsi="Verdana" w:cs="Segoe UI"/>
          <w:sz w:val="22"/>
          <w:szCs w:val="22"/>
        </w:rPr>
      </w:pPr>
      <w:r w:rsidRPr="002F036A">
        <w:rPr>
          <w:rStyle w:val="normaltextrun"/>
          <w:rFonts w:ascii="Verdana" w:hAnsi="Verdana" w:cs="Segoe UI"/>
          <w:sz w:val="22"/>
          <w:szCs w:val="22"/>
          <w:shd w:val="clear" w:color="auto" w:fill="FFFFFF"/>
        </w:rPr>
        <w:t>What evidence gaps are there and to what extent is this characterisation of the evidence base justified?</w:t>
      </w:r>
      <w:r w:rsidRPr="002F036A">
        <w:rPr>
          <w:rStyle w:val="eop"/>
          <w:rFonts w:ascii="Verdana" w:hAnsi="Verdana" w:cs="Segoe UI"/>
          <w:sz w:val="22"/>
          <w:szCs w:val="22"/>
          <w:shd w:val="clear" w:color="auto" w:fill="FFFFFF"/>
        </w:rPr>
        <w:t> </w:t>
      </w:r>
    </w:p>
    <w:p w:rsidR="00B172BB" w:rsidRPr="002F036A" w:rsidP="002F036A">
      <w:pPr>
        <w:rPr>
          <w:rFonts w:ascii="Verdana" w:eastAsia="Times New Roman" w:hAnsi="Verdana" w:cs="Segoe UI"/>
          <w:sz w:val="22"/>
          <w:szCs w:val="22"/>
        </w:rPr>
      </w:pPr>
      <w:r w:rsidRPr="002F036A">
        <w:rPr>
          <w:rFonts w:ascii="Verdana" w:eastAsia="Times New Roman" w:hAnsi="Verdana" w:cs="Segoe UI"/>
          <w:b/>
          <w:bCs/>
          <w:sz w:val="22"/>
          <w:szCs w:val="22"/>
        </w:rPr>
        <w:t>Response:</w:t>
      </w:r>
      <w:r w:rsidRPr="002F036A">
        <w:rPr>
          <w:rFonts w:ascii="Verdana" w:eastAsia="Times New Roman" w:hAnsi="Verdana" w:cs="Segoe UI"/>
          <w:sz w:val="22"/>
          <w:szCs w:val="22"/>
        </w:rPr>
        <w:t xml:space="preserve"> As stated above, Wilson et al </w:t>
      </w:r>
      <w:r w:rsidRPr="002F036A" w:rsidR="00034889">
        <w:rPr>
          <w:rFonts w:ascii="Verdana" w:eastAsia="Times New Roman" w:hAnsi="Verdana" w:cs="Segoe UI"/>
          <w:sz w:val="22"/>
          <w:szCs w:val="22"/>
        </w:rPr>
        <w:t xml:space="preserve">(2024) </w:t>
      </w:r>
      <w:r w:rsidRPr="002F036A">
        <w:rPr>
          <w:rFonts w:ascii="Verdana" w:eastAsia="Times New Roman" w:hAnsi="Verdana" w:cs="Segoe UI"/>
          <w:sz w:val="22"/>
          <w:szCs w:val="22"/>
        </w:rPr>
        <w:t xml:space="preserve">found that Great Britain, out of five comparator countries, had the largest evidence base on gambling marketing harms.   On the central question, whether </w:t>
      </w:r>
      <w:r w:rsidRPr="002F036A" w:rsidR="00620BBA">
        <w:rPr>
          <w:rFonts w:ascii="Verdana" w:eastAsia="Times New Roman" w:hAnsi="Verdana" w:cs="Segoe UI"/>
          <w:sz w:val="22"/>
          <w:szCs w:val="22"/>
        </w:rPr>
        <w:t xml:space="preserve">advertising </w:t>
      </w:r>
      <w:r w:rsidRPr="002F036A">
        <w:rPr>
          <w:rFonts w:ascii="Verdana" w:eastAsia="Times New Roman" w:hAnsi="Verdana" w:cs="Segoe UI"/>
          <w:sz w:val="22"/>
          <w:szCs w:val="22"/>
        </w:rPr>
        <w:t xml:space="preserve">exposure is associated with behaviour, the evidence is settled. Several reviews of the literature </w:t>
      </w:r>
      <w:r w:rsidRPr="002F036A">
        <w:rPr>
          <w:rFonts w:ascii="Verdana" w:eastAsia="Times New Roman" w:hAnsi="Verdana" w:cs="Segoe UI"/>
          <w:sz w:val="22"/>
          <w:szCs w:val="22"/>
        </w:rPr>
        <w:fldChar w:fldCharType="begin" w:fldLock="1"/>
      </w:r>
      <w:r w:rsidRPr="002F036A">
        <w:rPr>
          <w:rFonts w:ascii="Verdana" w:eastAsia="Times New Roman" w:hAnsi="Verdana" w:cs="Segoe UI"/>
          <w:sz w:val="22"/>
          <w:szCs w:val="22"/>
        </w:rPr>
        <w:instrText>ADDIN CSL_CITATION {"citationItems":[{"id":"ITEM-1","itemData":{"DOI":"10.1016/j.cobeha.2020.02.010","author":[{"dropping-particle":"","family":"Bouguettaya","given":"Ayoub","non-dropping-particle":"","parse-names":false,"suffix":""},{"dropping-particle":"","family":"Lynott","given":"Dermot","non-dropping-particle":"","parse-names":false,"suffix":""},{"dropping-particle":"","family":"Carter","given":"Adrian","non-dropping-particle":"","parse-names":false,"suffix":""},{"dropping-particle":"","family":"Zerhouni","given":"Oulmann","non-dropping-particle":"","parse-names":false,"suffix":""},{"dropping-particle":"","family":"Meyer","given":"Silke","non-dropping-particle":"","parse-names":false,"suffix":""},{"dropping-particle":"","family":"Ladegaard","given":"Isak","non-dropping-particle":"","parse-names":false,"suffix":""},{"dropping-particle":"","family":"Gardner","given":"John","non-dropping-particle":"","parse-names":false,"suffix":""},{"dropping-particle":"","family":"Brien","given":"Kerry S O","non-dropping-particle":"","parse-names":false,"suffix":""}],"container-title":"Behavioral Sciences","id":"ITEM-1","issued":{"date-parts":[["2020"]]},"page":"89-101","title":"The relationship between gambling advertising and gambling attitudes , intentions and behaviours : a critical and meta-analytic review","type":"article-journal","volume":"31"},"uris":["http://www.mendeley.com/documents/?uuid=7d57bc19-8ba3-459f-a62f-4de77a853aca"]},{"id":"ITEM-2","itemData":{"DOI":"10.1016/j.puhe.2022.11.019","ISSN":"14765616","PMID":"36725155","abstract":"Objective: To summarise the evidence on the impacts of gambling-related advertising that could lead to gambling-related harm, including impacts on vulnerable individuals and inequalities in the distribution of harms. Study design: An umbrella review of studies investigating the impact of gambling advertising. Methods: A review was undertaken of systematic reviews of qualitative, quantitative and mixed method studies reporting outcomes associated with gambling advertising and marketing. The search strategy included database searches (Web of Science, PsycInfo) and website searches. The quality of the included reviews was determined using A MeaSurement Tool to Assess systematic Reviews 2. Results: 1024 papers were identified by database searches. Eight systematic reviews, including 74 unique studies, met inclusion criteria. Included studies, using quantitative and qualitative methods, consistently support the existence of a causal relationship between exposure to advertising of gambling products/brands and more positive attitudes to gambling, greater intentions to gamble and increased gambling activity at both individual and population level. There is evidence of a ‘dose–response’ effect; greater advertising exposure increases participation which leads to a greater risk of harm. There was more evidence for the impact on children and young people and for those already at risk from current gambling activity with those most vulnerable more likely to be influenced. Conclusion: Gambling advertising restrictions could reduce overall harm and mitigate the impact of advertising on gambling-related inequalities. Public health harm prevention strategies should include policies which limit exposure to advertising, particularly among children and vulnerable groups.","author":[{"dropping-particle":"","family":"McGrane","given":"E.","non-dropping-particle":"","parse-names":false,"suffix":""},{"dropping-particle":"","family":"Wardle","given":"H.","non-dropping-particle":"","parse-names":false,"suffix":""},{"dropping-particle":"","family":"Clowes","given":"M.","non-dropping-particle":"","parse-names":false,"suffix":""},{"dropping-particle":"","family":"Blank","given":"L.","non-dropping-particle":"","parse-names":false,"suffix":""},{"dropping-particle":"","family":"Pryce","given":"R.","non-dropping-particle":"","parse-names":false,"suffix":""},{"dropping-particle":"","family":"Field","given":"M.","non-dropping-particle":"","parse-names":false,"suffix":""},{"dropping-particle":"","family":"Sharpe","given":"C.","non-dropping-particle":"","parse-names":false,"suffix":""},{"dropping-particle":"","family":"Goyder","given":"E.","non-dropping-particle":"","parse-names":false,"suffix":""}],"container-title":"Public Health","id":"ITEM-2","issued":{"date-parts":[["2023"]]},"page":"124-130","publisher":"The Author(s)","title":"What is the evidence that advertising policies could have an impact on gambling-related harms? A systematic umbrella review of the literature","type":"article-journal","volume":"215"},"uris":["http://www.mendeley.com/documents/?uuid=8f928f06-ec26-4a4e-a9d8-8aee47d30491"]},{"id":"ITEM-3","itemData":{"DOI":"10.1111/add.16761","author":[{"dropping-particle":"","family":"Mcgrane","given":"Ellen","non-dropping-particle":"","parse-names":false,"suffix":""},{"dropping-particle":"","family":"Pryce","given":"Robert","non-dropping-particle":"","parse-names":false,"suffix":""},{"dropping-particle":"","family":"Moore","given":"Esther C","non-dropping-particle":"","parse-names":false,"suffix":""},{"dropping-particle":"","family":"Goyder","given":"Elizabeth","non-dropping-particle":"","parse-names":false,"suffix":""},{"dropping-particle":"","family":"Field","given":"Matt","non-dropping-particle":"","parse-names":false,"suffix":""}],"container-title":"Addiction","id":"ITEM-3","issue":"July 2024","issued":{"date-parts":[["2025"]]},"page":"589-607","title":"What is the impact of sports-related gambling advertising on gambling behaviour ? A systematic review Search strategy","type":"article-journal"},"uris":["http://www.mendeley.com/documents/?uuid=c8f6a0b7-bc49-4c3b-bebc-2bd48cd3b073"]}],"mendeley":{"formattedCitation":"(Bouguettaya &lt;i&gt;et al.&lt;/i&gt;, 2020; McGrane &lt;i&gt;et al.&lt;/i&gt;, 2023; Mcgrane, Pryce, Moore, &lt;i&gt;et al.&lt;/i&gt;, 2025)","plainTextFormattedCitation":"(Bouguettaya et al., 2020; McGrane et al., 2023; Mcgrane, Pryce, Moore, et al., 2025)","previouslyFormattedCitation":"(Bouguettaya &lt;i&gt;et al.&lt;/i&gt;, 2020; McGrane &lt;i&gt;et al.&lt;/i&gt;, 2023; Mcgrane, Pryce, Moore, &lt;i&gt;et al.&lt;/i&gt;, 2025)"},"properties":{"noteIndex":0},"schema":"https://github.com/citation-style-language/schema/raw/master/csl-citation.json"}</w:instrText>
      </w:r>
      <w:r w:rsidRPr="002F036A">
        <w:rPr>
          <w:rFonts w:ascii="Verdana" w:eastAsia="Times New Roman" w:hAnsi="Verdana" w:cs="Segoe UI"/>
          <w:sz w:val="22"/>
          <w:szCs w:val="22"/>
        </w:rPr>
        <w:fldChar w:fldCharType="separate"/>
      </w:r>
      <w:r w:rsidRPr="002F036A">
        <w:rPr>
          <w:rFonts w:ascii="Verdana" w:eastAsia="Times New Roman" w:hAnsi="Verdana" w:cs="Segoe UI"/>
          <w:noProof/>
          <w:sz w:val="22"/>
          <w:szCs w:val="22"/>
        </w:rPr>
        <w:t xml:space="preserve">(Bouguettaya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xml:space="preserve">, 2020; McGrane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xml:space="preserve">, 2023; Mcgrane, Pryce, Moore,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2025)</w:t>
      </w:r>
      <w:r w:rsidRPr="002F036A">
        <w:rPr>
          <w:rFonts w:ascii="Verdana" w:eastAsia="Times New Roman" w:hAnsi="Verdana" w:cs="Segoe UI"/>
          <w:sz w:val="22"/>
          <w:szCs w:val="22"/>
        </w:rPr>
        <w:fldChar w:fldCharType="end"/>
      </w:r>
      <w:r w:rsidRPr="002F036A">
        <w:rPr>
          <w:rFonts w:ascii="Verdana" w:eastAsia="Times New Roman" w:hAnsi="Verdana" w:cs="Segoe UI"/>
          <w:sz w:val="22"/>
          <w:szCs w:val="22"/>
        </w:rPr>
        <w:t xml:space="preserve"> have identified a substantial body of evidence demonstrating a consistent association between various forms of gambling advertising and increased gambling behaviour across a range of measures, particularly among individuals at greater risk of gambling-related harm. Findings from longitudinal, experimental or natural experimental designs support the positive association between gambling advertising and gambling behaviour observed in the wider literature </w:t>
      </w:r>
      <w:r w:rsidRPr="002F036A">
        <w:rPr>
          <w:rFonts w:ascii="Verdana" w:eastAsia="Times New Roman" w:hAnsi="Verdana" w:cs="Segoe UI"/>
          <w:sz w:val="22"/>
          <w:szCs w:val="22"/>
        </w:rPr>
        <w:fldChar w:fldCharType="begin" w:fldLock="1"/>
      </w:r>
      <w:r w:rsidRPr="002F036A">
        <w:rPr>
          <w:rFonts w:ascii="Verdana" w:eastAsia="Times New Roman" w:hAnsi="Verdana" w:cs="Segoe UI"/>
          <w:sz w:val="22"/>
          <w:szCs w:val="22"/>
        </w:rPr>
        <w:instrText xml:space="preserve">ADDIN CSL_CITATION {"citationItems":[{"id":"ITEM-1","itemData":{"DOI":"10.1111/add.70369","author":[{"dropping-particle":"","family":"Rockloff","given":"Matthew","non-dropping-particle":"","parse-names":false,"suffix":""},{"dropping-particle":"","family":"Browne","given":"Matthew","non-dropping-particle":"","parse-names":false,"suffix":""},{"dropping-particle":"","family":"Hing","given":"Nerilee","non-dropping-particle":"","parse-names":false,"suffix":""},{"dropping-particle":"","family":"Russell","given":"Alex M T","non-dropping-particle":"","parse-names":false,"suffix":""},{"dropping-particle":"","family":"Rawat","given":"Vijay","non-dropping-particle":"","parse-names":false,"suffix":""},{"dropping-particle":"","family":"Newall","given":"Philip","non-dropping-particle":"","parse-names":false,"suffix":""}],"container-title":"Addiction","id":"ITEM-1","issue":"January","issued":{"date-parts":[["2026"]]},"page":"1-13","title":"Direct gambling marketing , direct harm : A randomised experiment","type":"article-journal"},"uris":["http://www.mendeley.com/documents/?uuid=f564e7ab-c5a8-44ca-8b11-a9530bb04378"]},{"id":"ITEM-2","itemData":{"DOI":"10.1016/j.abrep.2026.100666","ISSN":"2352-8532","author":[{"dropping-particle":"","family":"Mcgrane","given":"Ellen","non-dropping-particle":"","parse-names":false,"suffix":""},{"dropping-particle":"","family":"Pryce","given":"Robert","non-dropping-particle":"","parse-names":false,"suffix":""},{"dropping-particle":"","family":"Field","given":"Matt","non-dropping-particle":"","parse-names":false,"suffix":""},{"dropping-particle":"","family":"Wilson","given":"Luke","non-dropping-particle":"","parse-names":false,"suffix":""},{"dropping-particle":"","family":"Goyder","given":"Elizabeth","non-dropping-particle":"","parse-names":false,"suffix":""}],"container-title":"Addictive Behaviors Reports","id":"ITEM-2","issue":"January","issued":{"date-parts":[["2026"]]},"page":"100666","publisher":"Elsevier Ltd","title":"The effect of television advertising on gambling behaviour : a quasi-experimental study during the 2022 Qatar FIFA World Cup","type":"article-journal","volume":"23"},"uris":["http://www.mendeley.com/documents/?uuid=50b601d1-07f8-46ca-aa26-993d1b9139ae"]},{"id":"ITEM-3","itemData":{"DOI":"10.1007/s10899-020-09949-y","ISBN":"0123456789","ISSN":"1573-3602","author":[{"dropping-particle":"","family":"Roderique","given":"Gareth","non-dropping-particle":"","parse-names":false,"suffix":""},{"dropping-particle":"","family":"Jamie","given":"Davies","non-dropping-particle":"","parse-names":false,"suffix":""},{"dropping-particle":"","family":"Trisha","given":"Torrance","non-dropping-particle":"","parse-names":false,"suffix":""},{"dropping-particle":"","family":"Alecia","given":"Bhairon","non-dropping-particle":"","parse-names":false,"suffix":""},{"dropping-particle":"","family":"John","given":"Bev","non-dropping-particle":"","parse-names":false,"suffix":""}],"container-title":"Journal of Gambling Studies","id":"ITEM-3","issue":"3","issued":{"date-parts":[["2020"]]},"page":"1013-1025","publisher":"Springer US","title":"Embedded Gambling Promotion in Football : An Explorative Study of Cue </w:instrText>
      </w:r>
      <w:r w:rsidRPr="002F036A">
        <w:rPr>
          <w:rFonts w:ascii="Cambria Math" w:eastAsia="Times New Roman" w:hAnsi="Cambria Math" w:cs="Cambria Math"/>
          <w:sz w:val="22"/>
          <w:szCs w:val="22"/>
        </w:rPr>
        <w:instrText>‑</w:instrText>
      </w:r>
      <w:r w:rsidRPr="002F036A">
        <w:rPr>
          <w:rFonts w:ascii="Verdana" w:eastAsia="Times New Roman" w:hAnsi="Verdana" w:cs="Segoe UI"/>
          <w:sz w:val="22"/>
          <w:szCs w:val="22"/>
        </w:rPr>
        <w:instrText xml:space="preserve"> Exposure and Urge to Gamble","type":"article-journal","volume":"36"},"uris":["http://www.mendeley.com/documents/?uuid=b97cf8a6-6c07-4e9f-b4e2-366dfed102c5"]}],"mendeley":{"formattedCitation":"(Roderique &lt;i&gt;et al.&lt;/i&gt;, 2020; Mcgrane &lt;i&gt;et al.&lt;/i&gt;, 2026; Rockloff &lt;i&gt;et al.&lt;/i&gt;, 2026)","plainTextFormattedCitation":"(Roderique et al., 2020; Mcgrane et al., 2026; Rockloff et al., 2026)","previouslyFormattedCitation":"(Roderique &lt;i&gt;et al.&lt;/i&gt;, 2020; Mcgrane &lt;i&gt;et al.&lt;/i&gt;, 2026; Rockloff &lt;i&gt;et al.&lt;/i&gt;, 2026)"},"properties":{"noteIndex":0},"schema":"https://github.com/citation-style-language/schema/raw/master/csl-citation.json"}</w:instrText>
      </w:r>
      <w:r w:rsidRPr="002F036A">
        <w:rPr>
          <w:rFonts w:ascii="Verdana" w:eastAsia="Times New Roman" w:hAnsi="Verdana" w:cs="Segoe UI"/>
          <w:sz w:val="22"/>
          <w:szCs w:val="22"/>
        </w:rPr>
        <w:fldChar w:fldCharType="separate"/>
      </w:r>
      <w:r w:rsidRPr="002F036A">
        <w:rPr>
          <w:rFonts w:ascii="Verdana" w:eastAsia="Times New Roman" w:hAnsi="Verdana" w:cs="Segoe UI"/>
          <w:noProof/>
          <w:sz w:val="22"/>
          <w:szCs w:val="22"/>
        </w:rPr>
        <w:t xml:space="preserve">(Roderique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xml:space="preserve">, 2020; Mcgrane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xml:space="preserve">, 2026; Rockloff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2026)</w:t>
      </w:r>
      <w:r w:rsidRPr="002F036A">
        <w:rPr>
          <w:rFonts w:ascii="Verdana" w:eastAsia="Times New Roman" w:hAnsi="Verdana" w:cs="Segoe UI"/>
          <w:sz w:val="22"/>
          <w:szCs w:val="22"/>
        </w:rPr>
        <w:fldChar w:fldCharType="end"/>
      </w:r>
      <w:r w:rsidRPr="002F036A">
        <w:rPr>
          <w:rFonts w:ascii="Verdana" w:eastAsia="Times New Roman" w:hAnsi="Verdana" w:cs="Segoe UI"/>
          <w:sz w:val="22"/>
          <w:szCs w:val="22"/>
        </w:rPr>
        <w:t>.</w:t>
      </w:r>
    </w:p>
    <w:p w:rsidR="00B172BB" w:rsidRPr="002F036A" w:rsidP="002F036A">
      <w:pPr>
        <w:rPr>
          <w:rFonts w:ascii="Verdana" w:eastAsia="Times New Roman" w:hAnsi="Verdana" w:cs="Segoe UI"/>
          <w:sz w:val="22"/>
          <w:szCs w:val="22"/>
        </w:rPr>
      </w:pPr>
      <w:r w:rsidRPr="002F036A">
        <w:rPr>
          <w:rFonts w:ascii="Verdana" w:eastAsia="Times New Roman" w:hAnsi="Verdana" w:cs="Segoe UI"/>
          <w:sz w:val="22"/>
          <w:szCs w:val="22"/>
        </w:rPr>
        <w:t xml:space="preserve">There is also a wide-ranging evidence base demonstrating that increased gambling consumption is associated with increased risk of gambling harms </w:t>
      </w:r>
      <w:r w:rsidRPr="002F036A">
        <w:rPr>
          <w:rFonts w:ascii="Verdana" w:eastAsia="Times New Roman" w:hAnsi="Verdana" w:cs="Segoe UI"/>
          <w:sz w:val="22"/>
          <w:szCs w:val="22"/>
        </w:rPr>
        <w:fldChar w:fldCharType="begin" w:fldLock="1"/>
      </w:r>
      <w:r w:rsidRPr="002F036A">
        <w:rPr>
          <w:rFonts w:ascii="Verdana" w:eastAsia="Times New Roman" w:hAnsi="Verdana" w:cs="Segoe UI"/>
          <w:sz w:val="22"/>
          <w:szCs w:val="22"/>
        </w:rPr>
        <w:instrText>ADDIN CSL_CITATION {"citationItems":[{"id":"ITEM-1","itemData":{"DOI":"10.1007/s10899-022-10186-8","ISBN":"0123456789","ISSN":"15733602","abstract":"There is a need for evidence-based guidelines for gamblers who wish to reduce their risk of harm by setting self-directed limits on their gambling. Recognizing this, the Canadian Low-Risk Gambling Guidelines were developed using data from 8 countries to establish the relationship between gambling behaviour and harm. The guidelines include recommended limits on gambling spending as a percentage of income, gambling frequency, and number of types of games played. However, the developers of the LRGG’s did not include UK data in their analysis. This study analyzes data from Health Survey England to assess the applicability of the Canadian Low-Risk Gambling Guidelines to gamblers in England. Using HSE data from 2016 to 2018, we generated risk curves for the relationship between 2 dimensions of gambling behaviour—frequency of gambling sessions and number of types of games played—and gambling harm. We defined harm as a score of 1 or above on the Problem Gambling Severity Index. HSE does not include questions on gambling spending, therefore this was not assessed. The relationship observed between frequency and types of gambling and harm among HSE respondents was similar to the risk curves generated for the development of the Canadian LRGG’s. Gamblers in England who gambled twice weekly or more, or who played 3 or more types of games, were significantly more likely to experience harm from gambling than those who gambled below these limits. The Canadian LRGG’s may potentially be applied to gambling harm reduction efforts in England. More research is needed to determine the acceptability of these guidelines to people who gamble in England.","author":[{"dropping-particle":"","family":"Rochester","given":"Eleanor","non-dropping-particle":"","parse-names":false,"suffix":""},{"dropping-particle":"","family":"Cunningham","given":"John A.","non-dropping-particle":"","parse-names":false,"suffix":""}],"container-title":"Journal of Gambling Studies","id":"ITEM-1","issue":"0123456789","issued":{"date-parts":[["2023"]]},"publisher":"Springer US","title":"Applying the Canadian Low-Risk Gambling Guidelines to Gambling Harm Reduction in England","type":"article-journal"},"uris":["http://www.mendeley.com/documents/?uuid=cc97cc43-d9d5-4aa3-b75c-01f4da0fddff"]},{"id":"ITEM-2","itemData":{"DOI":"10.1080/16066359.2024.2430486","author":[{"dropping-particle":"","family":"Rossow","given":"Ingeborg","non-dropping-particle":"","parse-names":false,"suffix":""},{"dropping-particle":"","family":"Kesaite","given":"Viktorija","non-dropping-particle":"","parse-names":false,"suffix":""},{"dropping-particle":"","family":"Pallesen","given":"Ståle","non-dropping-particle":"","parse-names":false,"suffix":""},{"dropping-particle":"","family":"Wardle","given":"Heather","non-dropping-particle":"","parse-names":false,"suffix":""}],"container-title":"Addiction Research &amp; Theory","id":"ITEM-2","issue":"4","issued":{"date-parts":[["2025"]]},"page":"267-275","publisher":"Taylor &amp; Francis","title":"The total consumption model applied to gambling : an analysis of gambling accounts records in Norway ABSTRACT","type":"article-journal","volume":"33"},"uris":["http://www.mendeley.com/documents/?uuid=391ac5aa-86e1-44ab-aca4-adc654c5b4a9"]},{"id":"ITEM-3","itemData":{"DOI":"10.1080/16066359.2023.2238608","ISSN":"14767392","abstract":"The total consumption model (TCM) postulates a close link between total consumption and levels of harm within the population, which has important implications for prevention. This review aimed to explore evidence relating to the application of the TCM and theoretical elements associated with it (i.e. the distribution of harms; the concentration of consumption) to gambling by reviewing evidence pertaining to the distribution of harms across the population; the concentration of gambling consumption; and evidence of the validity of the TCM in gambling. Systematic literature searches were performed using MEDLINE, PsycINFO, and Web of Science databases, restricted to publications between January 1, 2010, and March 29, 2023. The search identified seven studies examining risk curves for gambling harm, of which only two employed continuous consumption measures. This nascent literature suggests mixed evidence for the relationship between gambling consumption (e.g. losses, frequency, expenditure, and expenditure as a percentage of income) and risk of harm. Five publications found that the concentration of gambling consumption was high among those experiencing gambling harms, with some evidence that spending is more concentrated for certain games (e.g. online casinos) than for others (e.g. lotteries). Finally, four studies assessed the TCM, suggesting close association between gambling consumption and problem gambling, lending empirical support to the validity of the TCM. However, robust evidence is nascent and further research is required to assess these relationships.","author":[{"dropping-particle":"","family":"Kesaite","given":"Viktorija","non-dropping-particle":"","parse-names":false,"suffix":""},{"dropping-particle":"","family":"Wardle","given":"Heather","non-dropping-particle":"","parse-names":false,"suffix":""},{"dropping-particle":"","family":"Rossow","given":"Ingeborg","non-dropping-particle":"","parse-names":false,"suffix":""}],"container-title":"Addiction Research and Theory","id":"ITEM-3","issue":"0","issued":{"date-parts":[["2023"]]},"page":"1-10","publisher":"Taylor &amp; Francis","title":"Gambling consumption and harm: a systematic review of the evidence","type":"article-journal","volume":"0"},"uris":["http://www.mendeley.com/documents/?uuid=fd409d61-aa1b-4f18-b8cf-fe7c6520dae2"]},{"id":"ITEM-4","itemData":{"DOI":"10.1080/14459795.2022.2143546","ISSN":"1445-9795","author":[{"dropping-particle":"","family":"Hodgins","given":"David C","non-dropping-particle":"","parse-names":false,"suffix":""},{"dropping-particle":"","family":"Young","given":"Matthew M","non-dropping-particle":"","parse-names":false,"suffix":""},{"dropping-particle":"","family":"Currie","given":"Shawn R","non-dropping-particle":"","parse-names":false,"suffix":""},{"dropping-particle":"","family":"Abbott","given":"Max","non-dropping-particle":"","parse-names":false,"suffix":""},{"dropping-particle":"","family":"Brunelle","given":"Natacha","non-dropping-particle":"","parse-names":false,"suffix":""},{"dropping-particle":"","family":"Costes","given":"Jean-michel","non-dropping-particle":"","parse-names":false,"suffix":""},{"dropping-particle":"","family":"Dufour","given":"Magali","non-dropping-particle":"","parse-names":false,"suffix":""},{"dropping-particle":"","family":"Olason","given":"Daniel T","non-dropping-particle":"","parse-names":false,"suffix":""},{"dropping-particle":"","family":"Paradis","given":"Catherine","non-dropping-particle":"","parse-names":false,"suffix":""},{"dropping-particle":"","family":"Romild","given":"Ulla","non-dropping-particle":"","parse-names":false,"suffix":""},{"dropping-particle":"","family":"Salonen","given":"Anne","non-dropping-particle":"","parse-names":false,"suffix":""},{"dropping-particle":"","family":"Volberg","given":"Rachel","non-dropping-particle":"","parse-names":false,"suffix":""},{"dropping-particle":"","family":"Nadeau","given":"Louise","non-dropping-particle":"","parse-names":false,"suffix":""},{"dropping-particle":"","family":"Hodgins","given":"David C","non-dropping-particle":"","parse-names":false,"suffix":""},{"dropping-particle":"","family":"Young","given":"Matthew M","non-dropping-particle":"","parse-names":false,"suffix":""},{"dropping-particle":"","family":"Currie","given":"Shawn R","non-dropping-particle":"","parse-names":false,"suffix":""},{"dropping-particle":"","family":"Abbott","given":"Max","non-dropping-particle":"","parse-names":false,"suffix":""},{"dropping-particle":"","family":"Brunelle","given":"Natacha","non-dropping-particle":"","parse-names":false,"suffix":""},{"dropping-particle":"","family":"Costes","given":"Jean-michel","non-dropping-particle":"","parse-names":false,"suffix":""},{"dropping-particle":"","family":"Dufour","given":"Magali","non-dropping-particle":"","parse-names":false,"suffix":""},{"dropping-particle":"","family":"Daniel","given":"T","non-dropping-particle":"","parse-names":false,"suffix":""},{"dropping-particle":"","family":"Paradis","given":"Catherine","non-dropping-particle":"","parse-names":false,"suffix":""},{"dropping-particle":"","family":"Romild","given":"Ulla","non-dropping-particle":"","parse-names":false,"suffix":""},{"dropping-particle":"","family":"Salonen","given":"Anne","non-dropping-particle":"","parse-names":false,"suffix":""},{"dropping-particle":"","family":"Volberg","given":"Rachel","non-dropping-particle":"","parse-names":false,"suffix":""},{"dropping-particle":"","family":"Nadeau","given":"Louise","non-dropping-particle":"","parse-names":false,"suffix":""}],"container-title":"International Gambling Studies","id":"ITEM-4","issue":"2","issued":{"date-parts":[["2023"]]},"page":"328-344","publisher":"Routledge","title":"Lower-risk gambling limits : linked analyses across eight countries","type":"article-journal","volume":"23"},"uris":["http://www.mendeley.com/documents/?uuid=1d211459-ce91-4cbb-be84-9b6f9cb8602c"]}],"mendeley":{"formattedCitation":"(Hodgins &lt;i&gt;et al.&lt;/i&gt;, 2023; Kesaite, Wardle and Rossow, 2023; Rochester and Cunningham, 2023; Rossow &lt;i&gt;et al.&lt;/i&gt;, 2025)","plainTextFormattedCitation":"(Hodgins et al., 2023; Kesaite, Wardle and Rossow, 2023; Rochester and Cunningham, 2023; Rossow et al., 2025)","previouslyFormattedCitation":"(Hodgins &lt;i&gt;et al.&lt;/i&gt;, 2023; Kesaite, Wardle and Rossow, 2023; Rochester and Cunningham, 2023; Rossow &lt;i&gt;et al.&lt;/i&gt;, 2025)"},"properties":{"noteIndex":0},"schema":"https://github.com/citation-style-language/schema/raw/master/csl-citation.json"}</w:instrText>
      </w:r>
      <w:r w:rsidRPr="002F036A">
        <w:rPr>
          <w:rFonts w:ascii="Verdana" w:eastAsia="Times New Roman" w:hAnsi="Verdana" w:cs="Segoe UI"/>
          <w:sz w:val="22"/>
          <w:szCs w:val="22"/>
        </w:rPr>
        <w:fldChar w:fldCharType="separate"/>
      </w:r>
      <w:r w:rsidRPr="002F036A">
        <w:rPr>
          <w:rFonts w:ascii="Verdana" w:eastAsia="Times New Roman" w:hAnsi="Verdana" w:cs="Segoe UI"/>
          <w:noProof/>
          <w:sz w:val="22"/>
          <w:szCs w:val="22"/>
        </w:rPr>
        <w:t xml:space="preserve">(Hodgins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xml:space="preserve">, 2023; Kesaite, Wardle and Rossow, 2023; Rochester and Cunningham, 2023; Rossow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2025)</w:t>
      </w:r>
      <w:r w:rsidRPr="002F036A">
        <w:rPr>
          <w:rFonts w:ascii="Verdana" w:eastAsia="Times New Roman" w:hAnsi="Verdana" w:cs="Segoe UI"/>
          <w:sz w:val="22"/>
          <w:szCs w:val="22"/>
        </w:rPr>
        <w:fldChar w:fldCharType="end"/>
      </w:r>
      <w:r w:rsidRPr="002F036A">
        <w:rPr>
          <w:rFonts w:ascii="Verdana" w:eastAsia="Times New Roman" w:hAnsi="Verdana" w:cs="Segoe UI"/>
          <w:sz w:val="22"/>
          <w:szCs w:val="22"/>
        </w:rPr>
        <w:t xml:space="preserve">. </w:t>
      </w:r>
    </w:p>
    <w:p w:rsidR="00B172BB" w:rsidRPr="002F036A" w:rsidP="002F036A">
      <w:pPr>
        <w:rPr>
          <w:rFonts w:ascii="Verdana" w:eastAsia="Times New Roman" w:hAnsi="Verdana" w:cs="Segoe UI"/>
          <w:sz w:val="22"/>
          <w:szCs w:val="22"/>
        </w:rPr>
      </w:pPr>
      <w:r w:rsidRPr="002F036A">
        <w:rPr>
          <w:rFonts w:ascii="Verdana" w:eastAsia="Times New Roman" w:hAnsi="Verdana" w:cs="Segoe UI"/>
          <w:sz w:val="22"/>
          <w:szCs w:val="22"/>
        </w:rPr>
        <w:t xml:space="preserve">The genuine </w:t>
      </w:r>
      <w:r w:rsidRPr="002F036A" w:rsidR="00620BBA">
        <w:rPr>
          <w:rFonts w:ascii="Verdana" w:eastAsia="Times New Roman" w:hAnsi="Verdana" w:cs="Segoe UI"/>
          <w:sz w:val="22"/>
          <w:szCs w:val="22"/>
        </w:rPr>
        <w:t xml:space="preserve">evidence </w:t>
      </w:r>
      <w:r w:rsidRPr="002F036A">
        <w:rPr>
          <w:rFonts w:ascii="Verdana" w:eastAsia="Times New Roman" w:hAnsi="Verdana" w:cs="Segoe UI"/>
          <w:sz w:val="22"/>
          <w:szCs w:val="22"/>
        </w:rPr>
        <w:t>gaps are narrow and specific, rather than foundational, as summarised below:</w:t>
      </w:r>
    </w:p>
    <w:p w:rsidR="00620BBA" w:rsidRPr="002F036A" w:rsidP="002F036A">
      <w:pPr>
        <w:pStyle w:val="ListParagraph"/>
        <w:numPr>
          <w:ilvl w:val="0"/>
          <w:numId w:val="31"/>
        </w:numPr>
        <w:rPr>
          <w:rFonts w:ascii="Verdana" w:eastAsia="Times New Roman" w:hAnsi="Verdana" w:cs="Segoe UI"/>
          <w:sz w:val="22"/>
          <w:szCs w:val="22"/>
        </w:rPr>
      </w:pPr>
      <w:r w:rsidRPr="002F036A">
        <w:rPr>
          <w:rFonts w:ascii="Verdana" w:hAnsi="Verdana" w:cs="Segoe UI"/>
          <w:sz w:val="22"/>
          <w:szCs w:val="22"/>
        </w:rPr>
        <w:t>There is a</w:t>
      </w:r>
      <w:r w:rsidRPr="002F036A">
        <w:rPr>
          <w:rFonts w:ascii="Verdana" w:eastAsia="Times New Roman" w:hAnsi="Verdana" w:cs="Segoe UI"/>
          <w:sz w:val="22"/>
          <w:szCs w:val="22"/>
        </w:rPr>
        <w:t xml:space="preserve"> near absence of </w:t>
      </w:r>
      <w:r w:rsidRPr="002F036A">
        <w:rPr>
          <w:rFonts w:ascii="Verdana" w:hAnsi="Verdana" w:cs="Segoe UI"/>
          <w:sz w:val="22"/>
          <w:szCs w:val="22"/>
        </w:rPr>
        <w:t xml:space="preserve">evaluations of gambling advertising policies after their implementation. </w:t>
      </w:r>
      <w:r w:rsidRPr="002F036A">
        <w:rPr>
          <w:rFonts w:ascii="Verdana" w:eastAsia="Times New Roman" w:hAnsi="Verdana" w:cs="Segoe UI"/>
          <w:sz w:val="22"/>
          <w:szCs w:val="22"/>
        </w:rPr>
        <w:t xml:space="preserve">The limited evidence base reflects a lack of available data to support policy evaluation rather than a methodological deficiency in the field. One notable exception is a study conducted in Spain </w:t>
      </w:r>
      <w:r w:rsidRPr="002F036A">
        <w:rPr>
          <w:rFonts w:ascii="Verdana" w:eastAsia="Times New Roman" w:hAnsi="Verdana" w:cs="Segoe UI"/>
          <w:sz w:val="22"/>
          <w:szCs w:val="22"/>
        </w:rPr>
        <w:fldChar w:fldCharType="begin" w:fldLock="1"/>
      </w:r>
      <w:r w:rsidRPr="002F036A">
        <w:rPr>
          <w:rFonts w:ascii="Verdana" w:eastAsia="Times New Roman" w:hAnsi="Verdana" w:cs="Segoe UI"/>
          <w:sz w:val="22"/>
          <w:szCs w:val="22"/>
        </w:rPr>
        <w:instrText>ADDIN CSL_CITATION {"citationItems":[{"id":"ITEM-1","itemData":{"author":[{"dropping-particle":"","family":"Aonso-Diego","given":"Gema","non-dropping-particle":"","parse-names":false,"suffix":""},{"dropping-particle":"","family":"García-pérez","given":"Ángel","non-dropping-particle":"","parse-names":false,"suffix":""},{"dropping-particle":"","family":"Krotter","given":"Andrea","non-dropping-particle":"","parse-names":false,"suffix":""}],"container-title":"Harm Reduction Journal","id":"ITEM-1","issued":{"date-parts":[["2025"]]},"page":"107","title":"Impact of Spanish gambling regulations on online gambling behavior and marketing strategies","type":"article-journal","volume":"22"},"uris":["http://www.mendeley.com/documents/?uuid=736bad1d-affc-4563-9e12-92c986363758"]}],"mendeley":{"formattedCitation":"(Aonso-Diego, García-pérez and Krotter, 2025)","manualFormatting":"(Aonso-diego et al., 2025)","plainTextFormattedCitation":"(Aonso-Diego, García-pérez and Krotter, 2025)","previouslyFormattedCitation":"(Aonso-Diego, García-pérez and Krotter, 2025)"},"properties":{"noteIndex":0},"schema":"https://github.com/citation-style-language/schema/raw/master/csl-citation.json"}</w:instrText>
      </w:r>
      <w:r w:rsidRPr="002F036A">
        <w:rPr>
          <w:rFonts w:ascii="Verdana" w:eastAsia="Times New Roman" w:hAnsi="Verdana" w:cs="Segoe UI"/>
          <w:sz w:val="22"/>
          <w:szCs w:val="22"/>
        </w:rPr>
        <w:fldChar w:fldCharType="separate"/>
      </w:r>
      <w:r w:rsidRPr="002F036A">
        <w:rPr>
          <w:rFonts w:ascii="Verdana" w:eastAsia="Times New Roman" w:hAnsi="Verdana" w:cs="Segoe UI"/>
          <w:noProof/>
          <w:sz w:val="22"/>
          <w:szCs w:val="22"/>
        </w:rPr>
        <w:t>(Aonso-diego</w:t>
      </w:r>
      <w:r w:rsidRPr="002F036A">
        <w:rPr>
          <w:rFonts w:ascii="Verdana" w:eastAsia="Times New Roman" w:hAnsi="Verdana" w:cs="Segoe UI"/>
          <w:i/>
          <w:iCs/>
          <w:noProof/>
          <w:sz w:val="22"/>
          <w:szCs w:val="22"/>
        </w:rPr>
        <w:t xml:space="preserve"> et al.</w:t>
      </w:r>
      <w:r w:rsidRPr="002F036A">
        <w:rPr>
          <w:rFonts w:ascii="Verdana" w:eastAsia="Times New Roman" w:hAnsi="Verdana" w:cs="Segoe UI"/>
          <w:noProof/>
          <w:sz w:val="22"/>
          <w:szCs w:val="22"/>
        </w:rPr>
        <w:t>, 2025)</w:t>
      </w:r>
      <w:r w:rsidRPr="002F036A">
        <w:rPr>
          <w:rFonts w:ascii="Verdana" w:eastAsia="Times New Roman" w:hAnsi="Verdana" w:cs="Segoe UI"/>
          <w:sz w:val="22"/>
          <w:szCs w:val="22"/>
        </w:rPr>
        <w:fldChar w:fldCharType="end"/>
      </w:r>
      <w:r w:rsidRPr="002F036A">
        <w:rPr>
          <w:rFonts w:ascii="Verdana" w:eastAsia="Times New Roman" w:hAnsi="Verdana" w:cs="Segoe UI"/>
          <w:sz w:val="22"/>
          <w:szCs w:val="22"/>
        </w:rPr>
        <w:t xml:space="preserve">, which examined the effects of a broader policy change that included restrictions on advertising and found a statistically significant decreases in the number of new accounts and total money bet on gambling. The restrictions had also reduced the total advertising budgets of gambling operators. </w:t>
      </w:r>
      <w:r w:rsidRPr="002F036A">
        <w:rPr>
          <w:rFonts w:ascii="Verdana" w:hAnsi="Verdana" w:cs="Segoe UI"/>
          <w:sz w:val="22"/>
          <w:szCs w:val="22"/>
        </w:rPr>
        <w:t>The study illustrates the value of evaluating policy interventions using routinely collected population-level data.</w:t>
      </w:r>
      <w:r w:rsidRPr="002F036A">
        <w:rPr>
          <w:rFonts w:ascii="Verdana" w:eastAsia="Times New Roman" w:hAnsi="Verdana" w:cs="Segoe UI"/>
          <w:sz w:val="22"/>
          <w:szCs w:val="22"/>
        </w:rPr>
        <w:t xml:space="preserve"> </w:t>
      </w:r>
    </w:p>
    <w:p w:rsidR="00B172BB" w:rsidRPr="002F036A" w:rsidP="002F036A">
      <w:pPr>
        <w:pStyle w:val="ListParagraph"/>
        <w:numPr>
          <w:ilvl w:val="0"/>
          <w:numId w:val="31"/>
        </w:numPr>
        <w:rPr>
          <w:rFonts w:ascii="Verdana" w:eastAsia="Times New Roman" w:hAnsi="Verdana" w:cs="Segoe UI"/>
          <w:sz w:val="22"/>
          <w:szCs w:val="22"/>
        </w:rPr>
      </w:pPr>
      <w:r w:rsidRPr="002F036A">
        <w:rPr>
          <w:rFonts w:ascii="Verdana" w:hAnsi="Verdana" w:cs="Segoe UI"/>
          <w:sz w:val="22"/>
          <w:szCs w:val="22"/>
        </w:rPr>
        <w:t xml:space="preserve">The evidence base is geographically concentrated. For example, 16 of the 22 studies included in McGrane and colleagues’ 2025 review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10.1111/add.16761","author":[{"dropping-particle":"","family":"Mcgrane","given":"Ellen","non-dropping-particle":"","parse-names":false,"suffix":""},{"dropping-particle":"","family":"Pryce","given":"Robert","non-dropping-particle":"","parse-names":false,"suffix":""},{"dropping-particle":"","family":"Moore","given":"Esther C","non-dropping-particle":"","parse-names":false,"suffix":""},{"dropping-particle":"","family":"Goyder","given":"Elizabeth","non-dropping-particle":"","parse-names":false,"suffix":""},{"dropping-particle":"","family":"Field","given":"Matt","non-dropping-particle":"","parse-names":false,"suffix":""}],"container-title":"Addiction","id":"ITEM-1","issue":"July 2024","issued":{"date-parts":[["2025"]]},"page":"589-607","title":"What is the impact of sports-related gambling advertising on gambling behaviour ? A systematic review Search strategy","type":"article-journal"},"uris":["http://www.mendeley.com/documents/?uuid=c8f6a0b7-bc49-4c3b-bebc-2bd48cd3b073"]}],"mendeley":{"formattedCitation":"(Mcgrane, Pryce, Moore, &lt;i&gt;et al.&lt;/i&gt;, 2025)","plainTextFormattedCitation":"(Mcgrane, Pryce, Moore, et al., 2025)","previouslyFormattedCitation":"(Mcgrane, Pryce, Moore, &lt;i&gt;et al.&lt;/i&gt;, 2025)"},"properties":{"noteIndex":0},"schema":"https://github.com/citation-style-language/schema/raw/master/csl-citation.json"}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(Mcgrane, Pryce, Moore, </w:t>
      </w:r>
      <w:r w:rsidRPr="002F036A">
        <w:rPr>
          <w:rFonts w:ascii="Verdana" w:hAnsi="Verdana" w:cs="Segoe UI"/>
          <w:i/>
          <w:noProof/>
          <w:sz w:val="22"/>
          <w:szCs w:val="22"/>
        </w:rPr>
        <w:t>et al.</w:t>
      </w:r>
      <w:r w:rsidRPr="002F036A">
        <w:rPr>
          <w:rFonts w:ascii="Verdana" w:hAnsi="Verdana" w:cs="Segoe UI"/>
          <w:noProof/>
          <w:sz w:val="22"/>
          <w:szCs w:val="22"/>
        </w:rPr>
        <w:t>, 2025)</w:t>
      </w:r>
      <w:r w:rsidRPr="002F036A">
        <w:rPr>
          <w:rFonts w:ascii="Verdana" w:hAnsi="Verdana" w:cs="Segoe UI"/>
          <w:sz w:val="22"/>
          <w:szCs w:val="22"/>
        </w:rPr>
        <w:fldChar w:fldCharType="end"/>
      </w:r>
      <w:r w:rsidRPr="002F036A">
        <w:rPr>
          <w:rFonts w:ascii="Verdana" w:hAnsi="Verdana" w:cs="Segoe UI"/>
          <w:sz w:val="22"/>
          <w:szCs w:val="22"/>
        </w:rPr>
        <w:t xml:space="preserve"> were conducted in Australia, though as noted</w:t>
      </w:r>
      <w:r w:rsidRPr="002F036A" w:rsidR="00620BBA">
        <w:rPr>
          <w:rFonts w:ascii="Verdana" w:hAnsi="Verdana" w:cs="Segoe UI"/>
          <w:sz w:val="22"/>
          <w:szCs w:val="22"/>
        </w:rPr>
        <w:t xml:space="preserve"> by Wilson et al (2024)</w:t>
      </w:r>
      <w:r w:rsidRPr="002F036A">
        <w:rPr>
          <w:rFonts w:ascii="Verdana" w:hAnsi="Verdana" w:cs="Segoe UI"/>
          <w:sz w:val="22"/>
          <w:szCs w:val="22"/>
        </w:rPr>
        <w:t>, out of five European Countries</w:t>
      </w:r>
      <w:r w:rsidRPr="002F036A" w:rsidR="00620BBA">
        <w:rPr>
          <w:rFonts w:ascii="Verdana" w:hAnsi="Verdana" w:cs="Segoe UI"/>
          <w:sz w:val="22"/>
          <w:szCs w:val="22"/>
        </w:rPr>
        <w:t>, Great Britain</w:t>
      </w:r>
      <w:r w:rsidRPr="002F036A">
        <w:rPr>
          <w:rFonts w:ascii="Verdana" w:hAnsi="Verdana" w:cs="Segoe UI"/>
          <w:sz w:val="22"/>
          <w:szCs w:val="22"/>
        </w:rPr>
        <w:t xml:space="preserve"> is characterised as having a largest evidence base</w:t>
      </w:r>
      <w:r w:rsidRPr="002F036A" w:rsidR="00620BBA">
        <w:rPr>
          <w:rFonts w:ascii="Verdana" w:hAnsi="Verdana" w:cs="Segoe UI"/>
          <w:sz w:val="22"/>
          <w:szCs w:val="22"/>
        </w:rPr>
        <w:t>.</w:t>
      </w:r>
    </w:p>
    <w:p w:rsidR="00B172BB" w:rsidRPr="002F036A" w:rsidP="002F036A">
      <w:pPr>
        <w:pStyle w:val="ListParagraph"/>
        <w:numPr>
          <w:ilvl w:val="0"/>
          <w:numId w:val="31"/>
        </w:numPr>
        <w:rPr>
          <w:rFonts w:ascii="Verdana" w:eastAsia="Times New Roman" w:hAnsi="Verdana" w:cs="Segoe UI"/>
          <w:sz w:val="22"/>
          <w:szCs w:val="22"/>
        </w:rPr>
      </w:pPr>
      <w:r w:rsidRPr="002F036A">
        <w:rPr>
          <w:rFonts w:ascii="Verdana" w:hAnsi="Verdana" w:cs="Segoe UI"/>
          <w:sz w:val="22"/>
          <w:szCs w:val="22"/>
        </w:rPr>
        <w:t xml:space="preserve">Comparatively little research has examined children and young adults, or inducements as distinct from general advertising exposure. </w:t>
      </w:r>
    </w:p>
    <w:p w:rsidR="00B172BB" w:rsidRPr="002F036A" w:rsidP="002F036A">
      <w:pPr>
        <w:pStyle w:val="ListParagraph"/>
        <w:numPr>
          <w:ilvl w:val="0"/>
          <w:numId w:val="31"/>
        </w:numPr>
        <w:rPr>
          <w:rFonts w:ascii="Verdana" w:hAnsi="Verdana" w:cs="Segoe UI"/>
          <w:sz w:val="22"/>
          <w:szCs w:val="22"/>
        </w:rPr>
      </w:pPr>
      <w:r w:rsidRPr="002F036A">
        <w:rPr>
          <w:rFonts w:ascii="Verdana" w:hAnsi="Verdana" w:cs="Segoe UI"/>
          <w:sz w:val="22"/>
          <w:szCs w:val="22"/>
        </w:rPr>
        <w:t xml:space="preserve">Much of the quantitative evidence remains correlational. The shortage of prospective longitudinal research is notable compared with cognate public-health fields. In tobacco and alcohol research, substantial bodies of cohort evidence have followed individuals over time and found that greater marketing exposure predicts subsequent initiation and consumption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10.1093/alcalc/agn115","ISBN":"3497266248","author":[{"dropping-particle":"","family":"Anderson","given":"Peter","non-dropping-particle":"","parse-names":false,"suffix":""},{"dropping-particle":"De","family":"Bruijn","given":"Avalon","non-dropping-particle":"","parse-names":false,"suffix":""},{"dropping-particle":"","family":"Angus","given":"Kathryn","non-dropping-particle":"","parse-names":false,"suffix":""},{"dropping-particle":"","family":"Gordon","given":"Ross","non-dropping-particle":"","parse-names":false,"suffix":""},{"dropping-particle":"","family":"Hastings","given":"Gerard","non-dropping-particle":"","parse-names":false,"suffix":""}],"container-title":"Alcohol &amp; Alcoholism","id":"ITEM-1","issue":"3","issued":{"date-parts":[["2009"]]},"page":"229-243","title":"Impact of Alcohol Advertising and Media Exposure on Adolescent Alcohol Use : A Systematic Review of Longitudinal Studies","type":"article-journal","volume":"44"},"uris":["http://www.mendeley.com/documents/?uuid=a5ea1529-b987-454d-a7a9-3bc39ec8e2be"]},{"id":"ITEM-2","itemData":{"DOI":"10.1002/14651858.CD003439.pub2.www.cochranelibrary.com","author":[{"dropping-particle":"","family":"Lovato","given":"C","non-dropping-particle":"","parse-names":false,"suffix":""},{"dropping-particle":"","family":"Watts","given":"A","non-dropping-particle":"","parse-names":false,"suffix":""},{"dropping-particle":"","family":"Lf","given":"Stead","non-dropping-particle":"","parse-names":false,"suffix":""}],"container-title":"Cochrane Database of Systematic Reviews","id":"ITEM-2","issue":"10","issued":{"date-parts":[["2011"]]},"page":"CD003439","title":"Impact of tobacco advertising and promotion on increasing adolescent smoking behaviours (Review)","type":"article-journal"},"uris":["http://www.mendeley.com/documents/?uuid=68c77389-af8e-4733-aa46-096ed0fd4e4d"]},{"id":"ITEM-3","itemData":{"DOI":"10.1093/alcalc/agq047","author":[{"dropping-particle":"","family":"Gordon","given":"Ross","non-dropping-particle":"","parse-names":false,"suffix":""},{"dropping-particle":"","family":"Mackintosh","given":"Anne Marie","non-dropping-particle":"","parse-names":false,"suffix":""},{"dropping-particle":"","family":"Moodie","given":"Crawford","non-dropping-particle":"","parse-names":false,"suffix":""}],"container-title":"Alcohol &amp; Alcoholism","id":"ITEM-3","issue":"5","issued":{"date-parts":[["2010"]]},"page":"470-480","title":"The Impact of Alcohol Marketing on Youth Drinking Behaviour : A Two-stage Cohort Study","type":"article-journal","volume":"45"},"uris":["http://www.mendeley.com/documents/?uuid=aea34daa-42dd-4b32-977e-e0627d5fdcd1"]}],"mendeley":{"formattedCitation":"(Anderson &lt;i&gt;et al.&lt;/i&gt;, 2009; Gordon, Mackintosh and Moodie, 2010; Lovato, Watts and Lf, 2011)","plainTextFormattedCitation":"(Anderson et al., 2009; Gordon, Mackintosh and Moodie, 2010; Lovato, Watts and Lf, 2011)","previouslyFormattedCitation":"(Anderson &lt;i&gt;et al.&lt;/i&gt;, 2009; Gordon, Mackintosh and Moodie, 2010; Lovato, Watts and Lf, 2011)"},"properties":{"noteIndex":0},"schema":"https://github.com/citation-style-language/schema/raw/master/csl-citation.json"}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(Anderson </w:t>
      </w:r>
      <w:r w:rsidRPr="002F036A">
        <w:rPr>
          <w:rFonts w:ascii="Verdana" w:hAnsi="Verdana" w:cs="Segoe UI"/>
          <w:i/>
          <w:noProof/>
          <w:sz w:val="22"/>
          <w:szCs w:val="22"/>
        </w:rPr>
        <w:t>et al.</w:t>
      </w:r>
      <w:r w:rsidRPr="002F036A">
        <w:rPr>
          <w:rFonts w:ascii="Verdana" w:hAnsi="Verdana" w:cs="Segoe UI"/>
          <w:noProof/>
          <w:sz w:val="22"/>
          <w:szCs w:val="22"/>
        </w:rPr>
        <w:t>, 2009; Gordon, Mackintosh and Moodie, 2010; Lovato, Watts and Lf, 2011)</w:t>
      </w:r>
      <w:r w:rsidRPr="002F036A">
        <w:rPr>
          <w:rFonts w:ascii="Verdana" w:hAnsi="Verdana" w:cs="Segoe UI"/>
          <w:sz w:val="22"/>
          <w:szCs w:val="22"/>
        </w:rPr>
        <w:fldChar w:fldCharType="end"/>
      </w:r>
      <w:r w:rsidRPr="002F036A">
        <w:rPr>
          <w:rFonts w:ascii="Verdana" w:hAnsi="Verdana" w:cs="Segoe UI"/>
          <w:sz w:val="22"/>
          <w:szCs w:val="22"/>
        </w:rPr>
        <w:t>. Gambling research has not yet developed a comparable longitudinal evidence base.</w:t>
      </w:r>
    </w:p>
    <w:p w:rsidR="00B172BB" w:rsidRPr="002F036A" w:rsidP="002F036A">
      <w:pPr>
        <w:rPr>
          <w:rFonts w:ascii="Verdana" w:eastAsia="Times New Roman" w:hAnsi="Verdana" w:cs="Segoe UI"/>
          <w:sz w:val="22"/>
          <w:szCs w:val="22"/>
        </w:rPr>
      </w:pPr>
      <w:r w:rsidRPr="002F036A">
        <w:rPr>
          <w:rFonts w:ascii="Verdana" w:eastAsia="Times New Roman" w:hAnsi="Verdana" w:cs="Segoe UI"/>
          <w:sz w:val="22"/>
          <w:szCs w:val="22"/>
        </w:rPr>
        <w:t xml:space="preserve">Related to point </w:t>
      </w:r>
      <w:r w:rsidRPr="002F036A" w:rsidR="00620BBA">
        <w:rPr>
          <w:rFonts w:ascii="Verdana" w:eastAsia="Times New Roman" w:hAnsi="Verdana" w:cs="Segoe UI"/>
          <w:sz w:val="22"/>
          <w:szCs w:val="22"/>
        </w:rPr>
        <w:t>1</w:t>
      </w:r>
      <w:r w:rsidRPr="002F036A">
        <w:rPr>
          <w:rFonts w:ascii="Verdana" w:eastAsia="Times New Roman" w:hAnsi="Verdana" w:cs="Segoe UI"/>
          <w:sz w:val="22"/>
          <w:szCs w:val="22"/>
        </w:rPr>
        <w:t xml:space="preserve">, an important route to strengthening the evidence base is </w:t>
      </w:r>
      <w:r w:rsidRPr="002F036A">
        <w:rPr>
          <w:rFonts w:ascii="Verdana" w:eastAsia="Times New Roman" w:hAnsi="Verdana" w:cs="Segoe UI"/>
          <w:b/>
          <w:bCs/>
          <w:sz w:val="22"/>
          <w:szCs w:val="22"/>
        </w:rPr>
        <w:t>piloting, trialling and evaluating different policy approaches</w:t>
      </w:r>
      <w:r w:rsidRPr="002F036A">
        <w:rPr>
          <w:rFonts w:ascii="Verdana" w:eastAsia="Times New Roman" w:hAnsi="Verdana" w:cs="Segoe UI"/>
          <w:sz w:val="22"/>
          <w:szCs w:val="22"/>
        </w:rPr>
        <w:t xml:space="preserve">, rather than </w:t>
      </w:r>
      <w:r w:rsidRPr="002F036A">
        <w:rPr>
          <w:rStyle w:val="Strong"/>
          <w:rFonts w:ascii="Verdana" w:hAnsi="Verdana" w:cs="Segoe UI"/>
          <w:b w:val="0"/>
          <w:bCs w:val="0"/>
          <w:sz w:val="22"/>
          <w:szCs w:val="22"/>
        </w:rPr>
        <w:t>postponing action until definitive evidence becomes available. This method is used in other cognate policy fields.</w:t>
      </w:r>
    </w:p>
    <w:p w:rsidR="00B172BB" w:rsidRPr="002F036A" w:rsidP="002F036A">
      <w:pPr>
        <w:rPr>
          <w:rFonts w:ascii="Verdana" w:eastAsia="Times New Roman" w:hAnsi="Verdana" w:cs="Segoe UI"/>
          <w:sz w:val="22"/>
          <w:szCs w:val="22"/>
        </w:rPr>
      </w:pPr>
      <w:r w:rsidRPr="002F036A">
        <w:rPr>
          <w:rFonts w:ascii="Verdana" w:eastAsia="Times New Roman" w:hAnsi="Verdana" w:cs="Segoe UI"/>
          <w:sz w:val="22"/>
          <w:szCs w:val="22"/>
        </w:rPr>
        <w:t xml:space="preserve">This could involve piloting policies prior to wider rollout or incorporating sunset clauses, whereby policies are implemented for a fixed period and subject to evaluation before requiring a positive parliamentary vote to remain in force. Modern evaluation approaches enable robust assessment of policy impacts even when experimental conditions are not feasible, drawing on methods developed for complex interventions and natural experiments </w:t>
      </w:r>
      <w:r w:rsidRPr="002F036A">
        <w:rPr>
          <w:rFonts w:ascii="Verdana" w:eastAsia="Times New Roman" w:hAnsi="Verdana" w:cs="Segoe UI"/>
          <w:sz w:val="22"/>
          <w:szCs w:val="22"/>
        </w:rPr>
        <w:fldChar w:fldCharType="begin" w:fldLock="1"/>
      </w:r>
      <w:r w:rsidRPr="002F036A">
        <w:rPr>
          <w:rFonts w:ascii="Verdana" w:eastAsia="Times New Roman" w:hAnsi="Verdana" w:cs="Segoe UI"/>
          <w:sz w:val="22"/>
          <w:szCs w:val="22"/>
        </w:rPr>
        <w:instrText>ADDIN CSL_CITATION {"citationItems":[{"id":"ITEM-1","itemData":{"DOI":"10.1136/bmj-2024-080505","ISBN":"0000000276535","author":[{"dropping-particle":"","family":"Craig","given":"Peter","non-dropping-particle":"","parse-names":false,"suffix":""},{"dropping-particle":"","family":"Campbell","given":"Mhairi","non-dropping-particle":"","parse-names":false,"suffix":""},{"dropping-particle":"","family":"Deidda","given":"Manuela","non-dropping-particle":"","parse-names":false,"suffix":""},{"dropping-particle":"","family":"Dundas","given":"Ruth","non-dropping-particle":"","parse-names":false,"suffix":""},{"dropping-particle":"","family":"Green","given":"Judith","non-dropping-particle":"","parse-names":false,"suffix":""},{"dropping-particle":"","family":"Katikireddi","given":"Srinivasa Vittal","non-dropping-particle":"","parse-names":false,"suffix":""},{"dropping-particle":"","family":"Lewsey","given":"Jim","non-dropping-particle":"","parse-names":false,"suffix":""},{"dropping-particle":"","family":"Ogilvie","given":"David","non-dropping-particle":"","parse-names":false,"suffix":""},{"dropping-particle":"De","family":"Vocht","given":"Frank","non-dropping-particle":"","parse-names":false,"suffix":""},{"dropping-particle":"","family":"White","given":"Martin","non-dropping-particle":"","parse-names":false,"suffix":""}],"container-title":"BMJ","id":"ITEM-1","issued":{"date-parts":[["2025"]]},"page":"1-11","title":"Using natural experiments to evaluate population health and health system interventions : new framework for producers and users of evidence","type":"article-journal"},"uris":["http://www.mendeley.com/documents/?uuid=e4d80efb-dcfb-4ad5-9e50-c587eeaf14f2"]},{"id":"ITEM-2","itemData":{"DOI":"10.1136/bmj.n2061","author":[{"dropping-particle":"","family":"Skivington","given":"Kathryn","non-dropping-particle":"","parse-names":false,"suffix":""},{"dropping-particle":"","family":"Matthews","given":"Lynsay","non-dropping-particle":"","parse-names":false,"suffix":""},{"dropping-particle":"","family":"Simpson","given":"Sharon Anne","non-dropping-particle":"","parse-names":false,"suffix":""},{"dropping-particle":"","family":"Craig","given":"Peter","non-dropping-particle":"","parse-names":false,"suffix":""},{"dropping-particle":"","family":"Baird","given":"Janis","non-dropping-particle":"","parse-names":false,"suffix":""},{"dropping-particle":"","family":"Blazeby","given":"Jane M","non-dropping-particle":"","parse-names":false,"suffix":""},{"dropping-particle":"","family":"Boyd","given":"Kathleen Anne","non-dropping-particle":"","parse-names":false,"suffix":""},{"dropping-particle":"","family":"Craig","given":"Neil","non-dropping-particle":"","parse-names":false,"suffix":""},{"dropping-particle":"","family":"French","given":"David P","non-dropping-particle":"","parse-names":false,"suffix":""},{"dropping-particle":"","family":"Mcintosh","given":"Emma","non-dropping-particle":"","parse-names":false,"suffix":""},{"dropping-particle":"","family":"Petticrew","given":"Mark","non-dropping-particle":"","parse-names":false,"suffix":""},{"dropping-particle":"","family":"Rycroft-malone","given":"Jo","non-dropping-particle":"","parse-names":false,"suffix":""},{"dropping-particle":"","family":"White","given":"Martin","non-dropping-particle":"","parse-names":false,"suffix":""},{"dropping-particle":"","family":"Moore","given":"Laurence","non-dropping-particle":"","parse-names":false,"suffix":""}],"container-title":"BMJ","id":"ITEM-2","issue":"2018","issued":{"date-parts":[["2021"]]},"page":"1-11","title":"A new framework for developing and evaluating complex interventions: update of Medical Research Council guidance","type":"article-journal"},"uris":["http://www.mendeley.com/documents/?uuid=b253ea01-3ce7-4666-8886-1c03a68ab839"]}],"mendeley":{"formattedCitation":"(Skivington &lt;i&gt;et al.&lt;/i&gt;, 2021; Craig &lt;i&gt;et al.&lt;/i&gt;, 2025)","plainTextFormattedCitation":"(Skivington et al., 2021; Craig et al., 2025)","previouslyFormattedCitation":"(Skivington &lt;i&gt;et al.&lt;/i&gt;, 2021; Craig &lt;i&gt;et al.&lt;/i&gt;, 2025)"},"properties":{"noteIndex":0},"schema":"https://github.com/citation-style-language/schema/raw/master/csl-citation.json"}</w:instrText>
      </w:r>
      <w:r w:rsidRPr="002F036A">
        <w:rPr>
          <w:rFonts w:ascii="Verdana" w:eastAsia="Times New Roman" w:hAnsi="Verdana" w:cs="Segoe UI"/>
          <w:sz w:val="22"/>
          <w:szCs w:val="22"/>
        </w:rPr>
        <w:fldChar w:fldCharType="separate"/>
      </w:r>
      <w:r w:rsidRPr="002F036A">
        <w:rPr>
          <w:rFonts w:ascii="Verdana" w:eastAsia="Times New Roman" w:hAnsi="Verdana" w:cs="Segoe UI"/>
          <w:noProof/>
          <w:sz w:val="22"/>
          <w:szCs w:val="22"/>
        </w:rPr>
        <w:t xml:space="preserve">(Skivington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xml:space="preserve">, 2021; Craig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2025)</w:t>
      </w:r>
      <w:r w:rsidRPr="002F036A">
        <w:rPr>
          <w:rFonts w:ascii="Verdana" w:eastAsia="Times New Roman" w:hAnsi="Verdana" w:cs="Segoe UI"/>
          <w:sz w:val="22"/>
          <w:szCs w:val="22"/>
        </w:rPr>
        <w:fldChar w:fldCharType="end"/>
      </w:r>
      <w:r w:rsidRPr="002F036A">
        <w:rPr>
          <w:rFonts w:ascii="Verdana" w:eastAsia="Times New Roman" w:hAnsi="Verdana" w:cs="Segoe UI"/>
          <w:sz w:val="22"/>
          <w:szCs w:val="22"/>
        </w:rPr>
        <w:t xml:space="preserve">. </w:t>
      </w:r>
    </w:p>
    <w:p w:rsidR="00B172BB" w:rsidRPr="002F036A" w:rsidP="002F036A">
      <w:pPr>
        <w:rPr>
          <w:rFonts w:ascii="Verdana" w:eastAsia="Times New Roman" w:hAnsi="Verdana" w:cs="Segoe UI"/>
          <w:sz w:val="22"/>
          <w:szCs w:val="22"/>
        </w:rPr>
      </w:pPr>
      <w:r w:rsidRPr="002F036A">
        <w:rPr>
          <w:rFonts w:ascii="Verdana" w:eastAsia="Times New Roman" w:hAnsi="Verdana" w:cs="Segoe UI"/>
          <w:sz w:val="22"/>
          <w:szCs w:val="22"/>
        </w:rPr>
        <w:t xml:space="preserve">A useful example is the introduction of Minimum Unit Pricing (MUP) for alcohol in Scotland. Although the policy was supported by indirect evidence, it had not previously been implemented at a national level. The legislation therefore included both a five-year sunset clause and a statutory requirement for </w:t>
      </w:r>
      <w:r w:rsidRPr="002F036A">
        <w:rPr>
          <w:rFonts w:ascii="Verdana" w:eastAsia="Times New Roman" w:hAnsi="Verdana" w:cs="Segoe UI"/>
          <w:sz w:val="22"/>
          <w:szCs w:val="22"/>
        </w:rPr>
        <w:t>evaluation. The resulting evaluation programme was extensive, well-resourced, and methodologically rigorous</w:t>
      </w:r>
      <w:r w:rsidRPr="002F036A" w:rsidR="007B2641">
        <w:rPr>
          <w:rFonts w:ascii="Verdana" w:eastAsia="Times New Roman" w:hAnsi="Verdana" w:cs="Segoe UI"/>
          <w:sz w:val="22"/>
          <w:szCs w:val="22"/>
        </w:rPr>
        <w:t xml:space="preserve"> </w:t>
      </w:r>
      <w:r w:rsidRPr="002F036A">
        <w:rPr>
          <w:rFonts w:ascii="Verdana" w:eastAsia="Times New Roman" w:hAnsi="Verdana" w:cs="Segoe UI"/>
          <w:sz w:val="22"/>
          <w:szCs w:val="22"/>
        </w:rPr>
        <w:fldChar w:fldCharType="begin" w:fldLock="1"/>
      </w:r>
      <w:r w:rsidRPr="002F036A">
        <w:rPr>
          <w:rFonts w:ascii="Verdana" w:eastAsia="Times New Roman" w:hAnsi="Verdana" w:cs="Segoe UI"/>
          <w:sz w:val="22"/>
          <w:szCs w:val="22"/>
        </w:rPr>
        <w:instrText>ADDIN CSL_CITATION {"citationItems":[{"id":"ITEM-1","itemData":{"author":[{"dropping-particle":"","family":"Public Health Scotland","given":"","non-dropping-particle":"","parse-names":false,"suffix":""}],"id":"ITEM-1","issue":"June","issued":{"date-parts":[["2023"]]},"publisher-place":"Edinburgh","title":"Evaluating the impact of minimum unit pricing for alcohol in Scotland : Final report A synthesis of the evidence","type":"report"},"uris":["http://www.mendeley.com/documents/?uuid=baf0a686-8a88-4ea0-840e-a2184811df0a"]},{"id":"ITEM-2","itemData":{"DOI":"10.1016/j.drugpo.2025.105014","ISSN":"0955-3959","author":[{"dropping-particle":"","family":"Clay","given":"James M","non-dropping-particle":"","parse-names":false,"suffix":""},{"dropping-particle":"","family":"Farkouh","given":"Elizabeth K","non-dropping-particle":"","parse-names":false,"suffix":""},{"dropping-particle":"","family":"Stockwell","given":"Tim","non-dropping-particle":"","parse-names":false,"suffix":""},{"dropping-particle":"","family":"Thomas","given":"Gerald","non-dropping-particle":"","parse-names":false,"suffix":""},{"dropping-particle":"","family":"Johnston","given":"Kate","non-dropping-particle":"","parse-names":false,"suffix":""},{"dropping-particle":"","family":"Naimi","given":"Timothy S","non-dropping-particle":"","parse-names":false,"suffix":""}],"container-title":"International Journal of Drug Policy","id":"ITEM-2","issue":"September","issued":{"date-parts":[["2025"]]},"page":"105014","publisher":"Elsevier B.V.","title":"International Journal of Drug Policy The impact of alcohol minimum pricing policies on vulnerable populations and health equity : A rapid review","type":"article-journal","volume":"145"},"uris":["http://www.mendeley.com/documents/?uuid=cffc6e97-78b9-4891-b975-d518bec3b7f9"]}],"mendeley":{"formattedCitation":"(Public Health Scotland, 2023; Clay &lt;i&gt;et al.&lt;/i&gt;, 2025)","plainTextFormattedCitation":"(Public Health Scotland, 2023; Clay et al., 2025)","previouslyFormattedCitation":"(Public Health Scotland, 2023; Clay &lt;i&gt;et al.&lt;/i&gt;, 2025)"},"properties":{"noteIndex":0},"schema":"https://github.com/citation-style-language/schema/raw/master/csl-citation.json"}</w:instrText>
      </w:r>
      <w:r w:rsidRPr="002F036A">
        <w:rPr>
          <w:rFonts w:ascii="Verdana" w:eastAsia="Times New Roman" w:hAnsi="Verdana" w:cs="Segoe UI"/>
          <w:sz w:val="22"/>
          <w:szCs w:val="22"/>
        </w:rPr>
        <w:fldChar w:fldCharType="separate"/>
      </w:r>
      <w:r w:rsidRPr="002F036A">
        <w:rPr>
          <w:rFonts w:ascii="Verdana" w:eastAsia="Times New Roman" w:hAnsi="Verdana" w:cs="Segoe UI"/>
          <w:noProof/>
          <w:sz w:val="22"/>
          <w:szCs w:val="22"/>
        </w:rPr>
        <w:t xml:space="preserve">(Public Health Scotland, 2023; Clay </w:t>
      </w:r>
      <w:r w:rsidRPr="002F036A">
        <w:rPr>
          <w:rFonts w:ascii="Verdana" w:eastAsia="Times New Roman" w:hAnsi="Verdana" w:cs="Segoe UI"/>
          <w:i/>
          <w:noProof/>
          <w:sz w:val="22"/>
          <w:szCs w:val="22"/>
        </w:rPr>
        <w:t>et al.</w:t>
      </w:r>
      <w:r w:rsidRPr="002F036A">
        <w:rPr>
          <w:rFonts w:ascii="Verdana" w:eastAsia="Times New Roman" w:hAnsi="Verdana" w:cs="Segoe UI"/>
          <w:noProof/>
          <w:sz w:val="22"/>
          <w:szCs w:val="22"/>
        </w:rPr>
        <w:t>, 2025)</w:t>
      </w:r>
      <w:r w:rsidRPr="002F036A">
        <w:rPr>
          <w:rFonts w:ascii="Verdana" w:eastAsia="Times New Roman" w:hAnsi="Verdana" w:cs="Segoe UI"/>
          <w:sz w:val="22"/>
          <w:szCs w:val="22"/>
        </w:rPr>
        <w:fldChar w:fldCharType="end"/>
      </w:r>
      <w:r w:rsidRPr="002F036A">
        <w:rPr>
          <w:rFonts w:ascii="Verdana" w:eastAsia="Times New Roman" w:hAnsi="Verdana" w:cs="Segoe UI"/>
          <w:sz w:val="22"/>
          <w:szCs w:val="22"/>
        </w:rPr>
        <w:t xml:space="preserve">, providing the evidence required for the Scottish Parliament to make an informed decision on whether the policy should continue beyond the initial five-year period. </w:t>
      </w:r>
    </w:p>
    <w:p w:rsidR="00B172BB" w:rsidRPr="002F036A" w:rsidP="002F036A">
      <w:pPr>
        <w:rPr>
          <w:rFonts w:ascii="Verdana" w:hAnsi="Verdana" w:cs="Segoe UI"/>
          <w:sz w:val="22"/>
          <w:szCs w:val="22"/>
        </w:rPr>
      </w:pPr>
      <w:r w:rsidRPr="002F036A">
        <w:rPr>
          <w:rFonts w:ascii="Verdana" w:eastAsia="Times New Roman" w:hAnsi="Verdana" w:cs="Segoe UI"/>
          <w:sz w:val="22"/>
          <w:szCs w:val="22"/>
        </w:rPr>
        <w:t>Similar approaches could strengthen the evidence base for gambling policy.</w:t>
      </w:r>
      <w:r w:rsidRPr="002F036A" w:rsidR="00875A68">
        <w:rPr>
          <w:rFonts w:ascii="Verdana" w:eastAsia="Times New Roman" w:hAnsi="Verdana" w:cs="Segoe UI"/>
          <w:sz w:val="22"/>
          <w:szCs w:val="22"/>
        </w:rPr>
        <w:t xml:space="preserve"> </w:t>
      </w:r>
      <w:r w:rsidRPr="002F036A" w:rsidR="00875A68">
        <w:rPr>
          <w:rFonts w:ascii="Verdana" w:hAnsi="Verdana" w:cs="Segoe UI"/>
          <w:sz w:val="22"/>
          <w:szCs w:val="22"/>
        </w:rPr>
        <w:t>Effective implementation of evidence-based evaluation would require continued investment in gambling data infrastructure to improve access to comprehensive, high-quality gambling data.</w:t>
      </w:r>
    </w:p>
    <w:p w:rsidR="00B40B20" w:rsidRPr="002F036A" w:rsidP="002F036A">
      <w:pPr>
        <w:rPr>
          <w:rFonts w:ascii="Verdana" w:eastAsia="Times New Roman" w:hAnsi="Verdana" w:cs="Segoe UI"/>
          <w:sz w:val="22"/>
          <w:szCs w:val="22"/>
        </w:rPr>
      </w:pPr>
    </w:p>
    <w:p w:rsidR="00B172BB" w:rsidRPr="002F036A" w:rsidP="002F036A">
      <w:pPr>
        <w:pStyle w:val="ListParagraph"/>
        <w:numPr>
          <w:ilvl w:val="1"/>
          <w:numId w:val="28"/>
        </w:numPr>
        <w:rPr>
          <w:rFonts w:ascii="Verdana" w:eastAsia="Gill Sans MT" w:hAnsi="Verdana" w:cs="Segoe UI"/>
          <w:sz w:val="22"/>
          <w:szCs w:val="22"/>
        </w:rPr>
      </w:pPr>
      <w:r w:rsidRPr="002F036A">
        <w:rPr>
          <w:rFonts w:ascii="Verdana" w:hAnsi="Verdana" w:cs="Segoe UI"/>
          <w:sz w:val="22"/>
          <w:szCs w:val="22"/>
        </w:rPr>
        <w:t>What methodological problems are associated with definitively establishing a causal link in the above areas?</w:t>
      </w:r>
    </w:p>
    <w:p w:rsidR="00B172BB" w:rsidRPr="002F036A" w:rsidP="002F036A">
      <w:pPr>
        <w:rPr>
          <w:rFonts w:ascii="Verdana" w:eastAsia="Gill Sans MT" w:hAnsi="Verdana" w:cs="Segoe UI"/>
          <w:sz w:val="22"/>
          <w:szCs w:val="22"/>
        </w:rPr>
      </w:pPr>
      <w:r w:rsidRPr="002F036A">
        <w:rPr>
          <w:rFonts w:ascii="Verdana" w:eastAsia="Gill Sans MT" w:hAnsi="Verdana" w:cs="Segoe UI"/>
          <w:b/>
          <w:bCs/>
          <w:sz w:val="22"/>
          <w:szCs w:val="22"/>
        </w:rPr>
        <w:t>Response:</w:t>
      </w:r>
      <w:r w:rsidRPr="002F036A">
        <w:rPr>
          <w:rFonts w:ascii="Verdana" w:eastAsia="Gill Sans MT" w:hAnsi="Verdana" w:cs="Segoe UI"/>
          <w:sz w:val="22"/>
          <w:szCs w:val="22"/>
        </w:rPr>
        <w:t xml:space="preserve"> </w:t>
      </w:r>
      <w:r w:rsidRPr="002F036A">
        <w:rPr>
          <w:rFonts w:ascii="Verdana" w:eastAsia="Gill Sans MT" w:hAnsi="Verdana" w:cs="Segoe UI"/>
          <w:sz w:val="22"/>
          <w:szCs w:val="22"/>
        </w:rPr>
        <w:t xml:space="preserve">The scientific methods best suited to establishing causality pose deep challenges when applied to social sciences more widely and to gambling research specifically. Within sciences, causation is most securely tested through controlled, often laboratory-based experiments. However, no experiment can accurately or ethically reproduce the experience of being exposed to, and influenced by, gambling advertising across everyday life or of gambling in a real-world context. </w:t>
      </w:r>
    </w:p>
    <w:p w:rsidR="00B172BB" w:rsidRPr="002F036A" w:rsidP="002F036A">
      <w:pPr>
        <w:rPr>
          <w:rFonts w:ascii="Verdana" w:eastAsia="Gill Sans MT" w:hAnsi="Verdana" w:cs="Segoe UI"/>
          <w:sz w:val="22"/>
          <w:szCs w:val="22"/>
        </w:rPr>
      </w:pPr>
      <w:r w:rsidRPr="002F036A">
        <w:rPr>
          <w:rFonts w:ascii="Verdana" w:eastAsia="Gill Sans MT" w:hAnsi="Verdana" w:cs="Segoe UI"/>
          <w:sz w:val="22"/>
          <w:szCs w:val="22"/>
        </w:rPr>
        <w:t>Instead, social science</w:t>
      </w:r>
      <w:r w:rsidRPr="002F036A" w:rsidR="00875A68">
        <w:rPr>
          <w:rFonts w:ascii="Verdana" w:eastAsia="Gill Sans MT" w:hAnsi="Verdana" w:cs="Segoe UI"/>
          <w:sz w:val="22"/>
          <w:szCs w:val="22"/>
        </w:rPr>
        <w:t xml:space="preserve"> disciplines</w:t>
      </w:r>
      <w:r w:rsidRPr="002F036A">
        <w:rPr>
          <w:rFonts w:ascii="Verdana" w:eastAsia="Gill Sans MT" w:hAnsi="Verdana" w:cs="Segoe UI"/>
          <w:sz w:val="22"/>
          <w:szCs w:val="22"/>
        </w:rPr>
        <w:t xml:space="preserve"> tend to rely on a range of other metrics to understand and determine the likelihood of causal relationships. This includes multiple criteria such as observing strong statistical relationships that are consistent over space and time and </w:t>
      </w:r>
      <w:r w:rsidRPr="002F036A" w:rsidR="00875A68">
        <w:rPr>
          <w:rFonts w:ascii="Verdana" w:eastAsia="Gill Sans MT" w:hAnsi="Verdana" w:cs="Segoe UI"/>
          <w:sz w:val="22"/>
          <w:szCs w:val="22"/>
        </w:rPr>
        <w:t xml:space="preserve">which </w:t>
      </w:r>
      <w:r w:rsidRPr="002F036A">
        <w:rPr>
          <w:rFonts w:ascii="Verdana" w:eastAsia="Gill Sans MT" w:hAnsi="Verdana" w:cs="Segoe UI"/>
          <w:sz w:val="22"/>
          <w:szCs w:val="22"/>
        </w:rPr>
        <w:t xml:space="preserve">remain when other variables are taken into account; temporal evidence providing insight that experience of or exposure to one element is associated with the subsequent outcome; that increased experience or exposure leads to increased experience of subsequent outcomes (dose/response relationships). In addition, use of natural experiment data can also help understand casual relationships. </w:t>
      </w:r>
      <w:r w:rsidRPr="002F036A" w:rsidR="00875A68">
        <w:rPr>
          <w:rFonts w:ascii="Verdana" w:eastAsia="Gill Sans MT" w:hAnsi="Verdana" w:cs="Segoe UI"/>
          <w:sz w:val="22"/>
          <w:szCs w:val="22"/>
        </w:rPr>
        <w:t>In this context,</w:t>
      </w:r>
      <w:r w:rsidRPr="002F036A">
        <w:rPr>
          <w:rFonts w:ascii="Verdana" w:eastAsia="Gill Sans MT" w:hAnsi="Verdana" w:cs="Segoe UI"/>
          <w:sz w:val="22"/>
          <w:szCs w:val="22"/>
        </w:rPr>
        <w:t xml:space="preserve"> establishing casual relationships is rarely definitive but through a series of synthesised research evidence can be examined for high likelihood</w:t>
      </w:r>
      <w:r w:rsidRPr="002F036A" w:rsidR="00875A68">
        <w:rPr>
          <w:rFonts w:ascii="Verdana" w:eastAsia="Gill Sans MT" w:hAnsi="Verdana" w:cs="Segoe UI"/>
          <w:sz w:val="22"/>
          <w:szCs w:val="22"/>
        </w:rPr>
        <w:t xml:space="preserve"> or probability</w:t>
      </w:r>
      <w:r w:rsidRPr="002F036A">
        <w:rPr>
          <w:rFonts w:ascii="Verdana" w:eastAsia="Gill Sans MT" w:hAnsi="Verdana" w:cs="Segoe UI"/>
          <w:sz w:val="22"/>
          <w:szCs w:val="22"/>
        </w:rPr>
        <w:t xml:space="preserve"> </w:t>
      </w:r>
      <w:r w:rsidRPr="002F036A">
        <w:rPr>
          <w:rFonts w:ascii="Verdana" w:eastAsia="Gill Sans MT" w:hAnsi="Verdana" w:cs="Segoe UI"/>
          <w:sz w:val="22"/>
          <w:szCs w:val="22"/>
        </w:rPr>
        <w:fldChar w:fldCharType="begin" w:fldLock="1"/>
      </w:r>
      <w:r w:rsidRPr="002F036A" w:rsidR="009B79ED">
        <w:rPr>
          <w:rFonts w:ascii="Verdana" w:eastAsia="Gill Sans MT" w:hAnsi="Verdana" w:cs="Segoe UI"/>
          <w:sz w:val="22"/>
          <w:szCs w:val="22"/>
        </w:rPr>
        <w:instrText>ADDIN CSL_CITATION {"citationItems":[{"id":"ITEM-1","itemData":{"DOI":"10.1177/003591576505800503","author":[{"dropping-particle":"","family":"Hill","given":"A.B.","non-dropping-particle":"","parse-names":false,"suffix":""}],"container-title":"Proceedings of the Royal Society of Medicine","id":"ITEM-1","issue":"5","issued":{"date-parts":[["1965"]]},"page":"295-300","title":"The environment and disease: Association or causation?","type":"article-journal","volume":"58"},"uris":["http://www.mendeley.com/documents/?uuid=ed718785-6209-48bd-94cd-e981923e5b35"]}],"mendeley":{"formattedCitation":"(Hill, 1965)","plainTextFormattedCitation":"(Hill, 1965)","previouslyFormattedCitation":"(Hill, 1965)"},"properties":{"noteIndex":0},"schema":"https://github.com/citation-style-language/schema/raw/master/csl-citation.json"}</w:instrText>
      </w:r>
      <w:r w:rsidRPr="002F036A">
        <w:rPr>
          <w:rFonts w:ascii="Verdana" w:eastAsia="Gill Sans MT" w:hAnsi="Verdana" w:cs="Segoe UI"/>
          <w:sz w:val="22"/>
          <w:szCs w:val="22"/>
        </w:rPr>
        <w:fldChar w:fldCharType="separate"/>
      </w:r>
      <w:r w:rsidRPr="002F036A">
        <w:rPr>
          <w:rFonts w:ascii="Verdana" w:eastAsia="Gill Sans MT" w:hAnsi="Verdana" w:cs="Segoe UI"/>
          <w:noProof/>
          <w:sz w:val="22"/>
          <w:szCs w:val="22"/>
        </w:rPr>
        <w:t>(Hill, 1965)</w:t>
      </w:r>
      <w:r w:rsidRPr="002F036A">
        <w:rPr>
          <w:rFonts w:ascii="Verdana" w:eastAsia="Gill Sans MT" w:hAnsi="Verdana" w:cs="Segoe UI"/>
          <w:sz w:val="22"/>
          <w:szCs w:val="22"/>
        </w:rPr>
        <w:fldChar w:fldCharType="end"/>
      </w:r>
      <w:r w:rsidRPr="002F036A">
        <w:rPr>
          <w:rFonts w:ascii="Verdana" w:eastAsia="Gill Sans MT" w:hAnsi="Verdana" w:cs="Segoe UI"/>
          <w:sz w:val="22"/>
          <w:szCs w:val="22"/>
        </w:rPr>
        <w:t xml:space="preserve">. </w:t>
      </w:r>
    </w:p>
    <w:p w:rsidR="00B172BB" w:rsidRPr="002F036A" w:rsidP="002F036A">
      <w:pPr>
        <w:rPr>
          <w:rFonts w:ascii="Verdana" w:eastAsia="Gill Sans MT" w:hAnsi="Verdana" w:cs="Segoe UI"/>
          <w:sz w:val="22"/>
          <w:szCs w:val="22"/>
        </w:rPr>
      </w:pPr>
      <w:r w:rsidRPr="002F036A">
        <w:rPr>
          <w:rFonts w:ascii="Verdana" w:eastAsia="Gill Sans MT" w:hAnsi="Verdana" w:cs="Segoe UI"/>
          <w:sz w:val="22"/>
          <w:szCs w:val="22"/>
        </w:rPr>
        <w:t xml:space="preserve">There are certain methodological advancements which would enhance our ability to examine causal relationships within gambling advertising studies. These include: </w:t>
      </w:r>
    </w:p>
    <w:p w:rsidR="00B172BB" w:rsidRPr="002F036A" w:rsidP="002F036A">
      <w:pPr>
        <w:pStyle w:val="ListParagraph"/>
        <w:numPr>
          <w:ilvl w:val="0"/>
          <w:numId w:val="29"/>
        </w:numPr>
        <w:rPr>
          <w:rFonts w:ascii="Verdana" w:hAnsi="Verdana" w:cs="Segoe UI"/>
          <w:sz w:val="22"/>
          <w:szCs w:val="22"/>
        </w:rPr>
      </w:pPr>
      <w:r w:rsidRPr="002F036A">
        <w:rPr>
          <w:rFonts w:ascii="Verdana" w:hAnsi="Verdana" w:cs="Segoe UI"/>
          <w:sz w:val="22"/>
          <w:szCs w:val="22"/>
        </w:rPr>
        <w:t>Access to operator data, which are inherently longitudinal in nature, and routinely collect information on a) marketing offers sent and b) resulting consumption patterns. Unlike other countries (</w:t>
      </w:r>
      <w:r w:rsidRPr="002F036A">
        <w:rPr>
          <w:rFonts w:ascii="Verdana" w:hAnsi="Verdana" w:cs="Segoe UI"/>
          <w:sz w:val="22"/>
          <w:szCs w:val="22"/>
        </w:rPr>
        <w:t>cf</w:t>
      </w:r>
      <w:r w:rsidRPr="002F036A">
        <w:rPr>
          <w:rFonts w:ascii="Verdana" w:hAnsi="Verdana" w:cs="Segoe UI"/>
          <w:sz w:val="22"/>
          <w:szCs w:val="22"/>
        </w:rPr>
        <w:t xml:space="preserve">, The Netherlands, Switzerland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{"citationItems":[{"id":"ITEM-1","itemData":{"DOI":"10.1016/S2468-2667(23)00221-9","ISSN":"24682667","abstract":"The public health community has called for governments to recognise the harms associated with gambling, and for gambling policies to include population-based harm prevention approaches. This Health Policy explores the translation of this call into global policy action by systematically reviewing legislation of jurisdictions that introduced major gambling legislation change (ie, restricting or extending gambling provision) between Jan 1, 2018, and Dec 31, 2021. We mapped the global availability of legal gambling and changes in its provision, and conducted critical frame analysis on a sample of 33 jurisdictions introducing major policy change to assess the extent to which the protection of health and wellbeing was embedded within legislation. More than 80% of countries worldwide now legally permit gambling. Harmful gambling was recognised as a health and wellbeing issue in most of the analysed jurisdictions, but near-exclusive focus was given to individual-level harms rather than to wider social and economic harms, or harms to others. Most of the proposed prevention measures focused on individual responsibility. Gambling policies worldwide are changing, but addressing gambling as a public health issue is not yet translating into comprehensive policy action across jurisdictions.","author":[{"dropping-particle":"","family":"Ukhova","given":"Daria","non-dropping-particle":"","parse-names":false,"suffix":""},{"dropping-particle":"","family":"Marionneau","given":"Virve","non-dropping-particle":"","parse-names":false,"suffix":""},{"dropping-particle":"","family":"Nikkinen","given":"Janne","non-dropping-particle":"","parse-names":false,"suffix":""},{"dropping-particle":"","family":"Wardle","given":"Heather","non-dropping-particle":"","parse-names":false,"suffix":""}],"container-title":"The Lancet Public Health","id":"ITEM-1","issue":"23","issued":{"date-parts":[["2023"]]},"publisher":"The Author(s). Published by Elsevier Ltd. This is an Open Access article under the CC BY 4.0 license","title":"Public health approaches to gambling: a global review of legislative trends","type":"article-journal","volume":"2667"},"uris":["http://www.mendeley.com/documents/?uuid=91b3ade4-03c7-49a8-b116-9e7d2df4c7f7"]}],"mendeley":{"formattedCitation":"(Ukhova &lt;i&gt;et al.&lt;/i&gt;, 2023)","plainTextFormattedCitation":"(Ukhova et al., 2023)","previouslyFormattedCitation":"(Ukhova &lt;i&gt;et al.&lt;/i&gt;, 2023)"},"properties":{"noteIndex":0},"schema":"https://github.com/citation-style-language/schema/raw/master/csl-citation.json"}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(Ukhova </w:t>
      </w:r>
      <w:r w:rsidRPr="002F036A">
        <w:rPr>
          <w:rFonts w:ascii="Verdana" w:hAnsi="Verdana" w:cs="Segoe UI"/>
          <w:i/>
          <w:iCs/>
          <w:noProof/>
          <w:sz w:val="22"/>
          <w:szCs w:val="22"/>
        </w:rPr>
        <w:t>et al.</w:t>
      </w:r>
      <w:r w:rsidRPr="002F036A">
        <w:rPr>
          <w:rFonts w:ascii="Verdana" w:hAnsi="Verdana" w:cs="Segoe UI"/>
          <w:noProof/>
          <w:sz w:val="22"/>
          <w:szCs w:val="22"/>
        </w:rPr>
        <w:t>, 2023)</w:t>
      </w:r>
      <w:r w:rsidRPr="002F036A">
        <w:rPr>
          <w:rFonts w:ascii="Verdana" w:hAnsi="Verdana" w:cs="Segoe UI"/>
          <w:sz w:val="22"/>
          <w:szCs w:val="22"/>
        </w:rPr>
        <w:fldChar w:fldCharType="end"/>
      </w:r>
      <w:r w:rsidRPr="002F036A">
        <w:rPr>
          <w:rFonts w:ascii="Verdana" w:hAnsi="Verdana" w:cs="Segoe UI"/>
          <w:sz w:val="22"/>
          <w:szCs w:val="22"/>
        </w:rPr>
        <w:t xml:space="preserve">), researchers in the UK have no routine right of access to these important sources of data. We would strongly recommend the implementation of a statutory framework requiring licensed operators to provide suitably anonymised data for approved independent research, subject to clear safeguards for privacy, commercial </w:t>
      </w:r>
      <w:r w:rsidRPr="002F036A">
        <w:rPr>
          <w:rFonts w:ascii="Verdana" w:hAnsi="Verdana" w:cs="Segoe UI"/>
          <w:sz w:val="22"/>
          <w:szCs w:val="22"/>
        </w:rPr>
        <w:t>confidentiality, and research independence, as is the case in several European countries, including the Netherlands and Switzerland</w:t>
      </w:r>
    </w:p>
    <w:p w:rsidR="00B172BB" w:rsidRPr="002F036A" w:rsidP="002F036A">
      <w:pPr>
        <w:pStyle w:val="ListParagraph"/>
        <w:numPr>
          <w:ilvl w:val="0"/>
          <w:numId w:val="29"/>
        </w:numPr>
        <w:rPr>
          <w:rFonts w:ascii="Verdana" w:hAnsi="Verdana" w:cs="Segoe UI"/>
          <w:sz w:val="22"/>
          <w:szCs w:val="22"/>
        </w:rPr>
      </w:pPr>
      <w:r w:rsidRPr="002F036A">
        <w:rPr>
          <w:rFonts w:ascii="Verdana" w:hAnsi="Verdana" w:cs="Segoe UI"/>
          <w:sz w:val="22"/>
          <w:szCs w:val="22"/>
        </w:rPr>
        <w:t xml:space="preserve">Development of prospective longitudinal cohort studies to track real-world exposure against later behaviour over time. </w:t>
      </w:r>
    </w:p>
    <w:p w:rsidR="00B172BB" w:rsidRPr="002F036A" w:rsidP="002F036A">
      <w:pPr>
        <w:rPr>
          <w:rFonts w:ascii="Verdana" w:hAnsi="Verdana" w:cs="Segoe UI"/>
          <w:sz w:val="22"/>
          <w:szCs w:val="22"/>
        </w:rPr>
      </w:pPr>
      <w:r w:rsidRPr="002F036A">
        <w:rPr>
          <w:rFonts w:ascii="Verdana" w:hAnsi="Verdana" w:cs="Segoe UI"/>
          <w:sz w:val="22"/>
          <w:szCs w:val="22"/>
        </w:rPr>
        <w:t xml:space="preserve">Finally, exposure occurs across a wider marketing mix, including sponsorship, inducements, direct marketing and social-media content, making it difficult to isolate the effect of any single form of advertising. However, research in the alcohol field has shown that it is possible and useful to measure exposure across multiple marketing channels and examine its relationship with subsequent consumption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{"citationItems":[{"id":"ITEM-1","itemData":{"DOI":"10.1093/alcalc/agq047","author":[{"dropping-particle":"","family":"Gordon","given":"Ross","non-dropping-particle":"","parse-names":false,"suffix":""},{"dropping-particle":"","family":"Mackintosh","given":"Anne Marie","non-dropping-particle":"","parse-names":false,"suffix":""},{"dropping-particle":"","family":"Moodie","given":"Crawford","non-dropping-particle":"","parse-names":false,"suffix":""}],"container-title":"Alcohol &amp; Alcoholism","id":"ITEM-1","issue":"5","issued":{"date-parts":[["2010"]]},"page":"470-480","title":"The Impact of Alcohol Marketing on Youth Drinking Behaviour : A Two-stage Cohort Study","type":"article-journal","volume":"45"},"uris":["http://www.mendeley.com/documents/?uuid=aea34daa-42dd-4b32-977e-e0627d5fdcd1"]}],"mendeley":{"formattedCitation":"(Gordon, Mackintosh and Moodie, 2010)","plainTextFormattedCitation":"(Gordon, Mackintosh and Moodie, 2010)","previouslyFormattedCitation":"(Gordon, Mackintosh and Moodie, 2010)"},"properties":{"noteIndex":0},"schema":"https://github.com/citation-style-language/schema/raw/master/csl-citation.json"}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(Gordon, Mackintosh and Moodie, 2010)</w:t>
      </w:r>
      <w:r w:rsidRPr="002F036A">
        <w:rPr>
          <w:rFonts w:ascii="Verdana" w:hAnsi="Verdana" w:cs="Segoe UI"/>
          <w:sz w:val="22"/>
          <w:szCs w:val="22"/>
        </w:rPr>
        <w:fldChar w:fldCharType="end"/>
      </w:r>
      <w:r w:rsidRPr="002F036A">
        <w:rPr>
          <w:rFonts w:ascii="Verdana" w:hAnsi="Verdana" w:cs="Segoe UI"/>
          <w:sz w:val="22"/>
          <w:szCs w:val="22"/>
        </w:rPr>
        <w:t>. Gambling research similarly needs to examine the cumulative and potentially reinforcing effects of the wider marketing mix rather than treating each channel (i.e., sponsorship) in isolation.</w:t>
      </w:r>
    </w:p>
    <w:p w:rsidR="00B172BB" w:rsidRPr="002F036A" w:rsidP="002F036A">
      <w:pPr>
        <w:rPr>
          <w:rFonts w:ascii="Verdana" w:eastAsia="Gill Sans MT" w:hAnsi="Verdana" w:cs="Segoe UI"/>
          <w:sz w:val="22"/>
          <w:szCs w:val="22"/>
        </w:rPr>
      </w:pPr>
      <w:r w:rsidRPr="002F036A">
        <w:rPr>
          <w:rFonts w:ascii="Verdana" w:eastAsia="Gill Sans MT" w:hAnsi="Verdana" w:cs="Segoe UI"/>
          <w:sz w:val="22"/>
          <w:szCs w:val="22"/>
        </w:rPr>
        <w:t xml:space="preserve">Despite these constraints, the application of increasingly robust research designs has continued to yield evidence consistent with the conclusion that gambling advertising is associated with increased gambling behaviour </w:t>
      </w:r>
      <w:r w:rsidRPr="002F036A">
        <w:rPr>
          <w:rFonts w:ascii="Verdana" w:eastAsia="Gill Sans MT" w:hAnsi="Verdana" w:cs="Segoe UI"/>
          <w:sz w:val="22"/>
          <w:szCs w:val="22"/>
        </w:rPr>
        <w:fldChar w:fldCharType="begin" w:fldLock="1"/>
      </w:r>
      <w:r w:rsidRPr="002F036A">
        <w:rPr>
          <w:rFonts w:ascii="Verdana" w:eastAsia="Gill Sans MT" w:hAnsi="Verdana" w:cs="Segoe UI"/>
          <w:sz w:val="22"/>
          <w:szCs w:val="22"/>
        </w:rPr>
        <w:instrText>ADDIN CSL_CITATION {"citationItems":[{"id":"ITEM-1","itemData":{"DOI":"10.1111/add.70369","author":[{"dropping-particle":"","family":"Rockloff","given":"Matthew","non-dropping-particle":"","parse-names":false,"suffix":""},{"dropping-particle":"","family":"Browne","given":"Matthew","non-dropping-particle":"","parse-names":false,"suffix":""},{"dropping-particle":"","family":"Hing","given":"Nerilee","non-dropping-particle":"","parse-names":false,"suffix":""},{"dropping-particle":"","family":"Russell","given":"Alex M T","non-dropping-particle":"","parse-names":false,"suffix":""},{"dropping-particle":"","family":"Rawat","given":"Vijay","non-dropping-particle":"","parse-names":false,"suffix":""},{"dropping-particle":"","family":"Newall","given":"Philip","non-dropping-particle":"","parse-names":false,"suffix":""}],"container-title":"Addiction","id":"ITEM-1","issue":"January","issued":{"date-parts":[["2026"]]},"page":"1-13","title":"Direct gambling marketing , direct harm : A randomised experiment","type":"article-journal"},"uris":["http://www.mendeley.com/documents/?uuid=f564e7ab-c5a8-44ca-8b11-a9530bb04378"]},{"id":"ITEM-2","itemData":{"DOI":"10.1016/j.abrep.2026.100666","ISSN":"2352-8532","author":[{"dropping-particle":"","family":"Mcgrane","given":"Ellen","non-dropping-particle":"","parse-names":false,"suffix":""},{"dropping-particle":"","family":"Pryce","given":"Robert","non-dropping-particle":"","parse-names":false,"suffix":""},{"dropping-particle":"","family":"Field","given":"Matt","non-dropping-particle":"","parse-names":false,"suffix":""},{"dropping-particle":"","family":"Wilson","given":"Luke","non-dropping-particle":"","parse-names":false,"suffix":""},{"dropping-particle":"","family":"Goyder","given":"Elizabeth","non-dropping-particle":"","parse-names":false,"suffix":""}],"container-title":"Addictive Behaviors Reports","id":"ITEM-2","issue":"January","issued":{"date-parts":[["2026"]]},"page":"100666","publisher":"Elsevier Ltd","title":"The effect of television advertising on gambling behaviour : a quasi-experimental study during the 2022 Qatar FIFA World Cup","type":"article-journal","volume":"23"},"uris":["http://www.mendeley.com/documents/?uuid=50b601d1-07f8-46ca-aa26-993d1b9139ae"]},{"id":"ITEM-3","itemData":{"DOI":"10.1186/s12889-021-10805-w","ISSN":"14712458","PMID":"33849493","abstract":"Background: Gambling advertising is well-funded and has become increasingly sophisticated in recent years. As the presence and pervasiveness of gambling advertising increases, there is a corresponding need for empirical understanding of the characteristics and trends associated with emergent gambling advertisements and marketing. However, there is limited data on this rapidly evolving phenomenon. Methods: A rapid review was undertaken of the empirical research (2015–2020) that focused upon the content, delivery and structural features incorporated within emerging gambling advertising. Results: Twenty-five studies were included in the review. The majority of these studies were conducted in either the UK or Australia; two jurisdictions that have unique and particularly liberal gambling environments. The literature suggests that emergent gambling advertising content is targeted, positively framed and in some instances, may overrepresent riskier bets. The sporting and social media spheres are densely populated with such advertisements that involve both direct and indirect marketing strategies. In relation to the online environment, there is evidence to suggest the emergence of more interactive advertisements that prompt user engagement. In addition, financial incentivisation has diversified and is often subject to strict and esoteric conditions. Despite these emergent trends, little provision is devoted to adequately displaying harm reductive or responsible gambling content within gambling advertising. Conclusions: Overall, there is a paucity of research and lack of methodological diversity concerning the characteristics of advertising within the literature. The barriers to investigating emerging gambling advertising are discussed alongside future research priorities. It is important for this research area to expand in order to appropriately inform ethical industry marketing and effective harm-reduction strategies. [Pre-registered online via Prospero: CRD42020184349].","author":[{"dropping-particle":"","family":"Torrance","given":"Jamie","non-dropping-particle":"","parse-names":false,"suffix":""},{"dropping-particle":"","family":"John","given":"Bev","non-dropping-particle":"","parse-names":false,"suffix":""},{"dropping-particle":"","family":"Greville","given":"James","non-dropping-particle":"","parse-names":false,"suffix":""},{"dropping-particle":"","family":"O’Hanrahan","given":"Marie","non-dropping-particle":"","parse-names":false,"suffix":""},{"dropping-particle":"","family":"Davies","given":"Nyle","non-dropping-particle":"","parse-names":false,"suffix":""},{"dropping-particle":"","family":"Roderique-Davies","given":"Gareth","non-dropping-particle":"","parse-names":false,"suffix":""}],"container-title":"BMC Public Health","id":"ITEM-3","issue":"1","issued":{"date-parts":[["2021","12","1"]]},"publisher":"BioMed Central Ltd","title":"Emergent gambling advertising; a rapid review of marketing content, delivery and structural features","type":"article-journal","volume":"21"},"uris":["http://www.mendeley.com/documents/?uuid=f833f075-d513-300b-ba48-6f177378740a"]}],"mendeley":{"formattedCitation":"(Torrance &lt;i&gt;et al.&lt;/i&gt;, 2021; Mcgrane &lt;i&gt;et al.&lt;/i&gt;, 2026; Rockloff &lt;i&gt;et al.&lt;/i&gt;, 2026)","plainTextFormattedCitation":"(Torrance et al., 2021; Mcgrane et al., 2026; Rockloff et al., 2026)","previouslyFormattedCitation":"(Torrance &lt;i&gt;et al.&lt;/i&gt;, 2021; Mcgrane &lt;i&gt;et al.&lt;/i&gt;, 2026; Rockloff &lt;i&gt;et al.&lt;/i&gt;, 2026)"},"properties":{"noteIndex":0},"schema":"https://github.com/citation-style-language/schema/raw/master/csl-citation.json"}</w:instrText>
      </w:r>
      <w:r w:rsidRPr="002F036A">
        <w:rPr>
          <w:rFonts w:ascii="Verdana" w:eastAsia="Gill Sans MT" w:hAnsi="Verdana" w:cs="Segoe UI"/>
          <w:sz w:val="22"/>
          <w:szCs w:val="22"/>
        </w:rPr>
        <w:fldChar w:fldCharType="separate"/>
      </w:r>
      <w:r w:rsidRPr="002F036A">
        <w:rPr>
          <w:rFonts w:ascii="Verdana" w:eastAsia="Gill Sans MT" w:hAnsi="Verdana" w:cs="Segoe UI"/>
          <w:noProof/>
          <w:sz w:val="22"/>
          <w:szCs w:val="22"/>
        </w:rPr>
        <w:t xml:space="preserve">(Torrance </w:t>
      </w:r>
      <w:r w:rsidRPr="002F036A">
        <w:rPr>
          <w:rFonts w:ascii="Verdana" w:eastAsia="Gill Sans MT" w:hAnsi="Verdana" w:cs="Segoe UI"/>
          <w:i/>
          <w:noProof/>
          <w:sz w:val="22"/>
          <w:szCs w:val="22"/>
        </w:rPr>
        <w:t>et al.</w:t>
      </w:r>
      <w:r w:rsidRPr="002F036A">
        <w:rPr>
          <w:rFonts w:ascii="Verdana" w:eastAsia="Gill Sans MT" w:hAnsi="Verdana" w:cs="Segoe UI"/>
          <w:noProof/>
          <w:sz w:val="22"/>
          <w:szCs w:val="22"/>
        </w:rPr>
        <w:t xml:space="preserve">, 2021; Mcgrane </w:t>
      </w:r>
      <w:r w:rsidRPr="002F036A">
        <w:rPr>
          <w:rFonts w:ascii="Verdana" w:eastAsia="Gill Sans MT" w:hAnsi="Verdana" w:cs="Segoe UI"/>
          <w:i/>
          <w:noProof/>
          <w:sz w:val="22"/>
          <w:szCs w:val="22"/>
        </w:rPr>
        <w:t>et al.</w:t>
      </w:r>
      <w:r w:rsidRPr="002F036A">
        <w:rPr>
          <w:rFonts w:ascii="Verdana" w:eastAsia="Gill Sans MT" w:hAnsi="Verdana" w:cs="Segoe UI"/>
          <w:noProof/>
          <w:sz w:val="22"/>
          <w:szCs w:val="22"/>
        </w:rPr>
        <w:t xml:space="preserve">, 2026; Rockloff </w:t>
      </w:r>
      <w:r w:rsidRPr="002F036A">
        <w:rPr>
          <w:rFonts w:ascii="Verdana" w:eastAsia="Gill Sans MT" w:hAnsi="Verdana" w:cs="Segoe UI"/>
          <w:i/>
          <w:noProof/>
          <w:sz w:val="22"/>
          <w:szCs w:val="22"/>
        </w:rPr>
        <w:t>et al.</w:t>
      </w:r>
      <w:r w:rsidRPr="002F036A">
        <w:rPr>
          <w:rFonts w:ascii="Verdana" w:eastAsia="Gill Sans MT" w:hAnsi="Verdana" w:cs="Segoe UI"/>
          <w:noProof/>
          <w:sz w:val="22"/>
          <w:szCs w:val="22"/>
        </w:rPr>
        <w:t>, 2026)</w:t>
      </w:r>
      <w:r w:rsidRPr="002F036A">
        <w:rPr>
          <w:rFonts w:ascii="Verdana" w:eastAsia="Gill Sans MT" w:hAnsi="Verdana" w:cs="Segoe UI"/>
          <w:sz w:val="22"/>
          <w:szCs w:val="22"/>
        </w:rPr>
        <w:fldChar w:fldCharType="end"/>
      </w:r>
      <w:r w:rsidRPr="002F036A">
        <w:rPr>
          <w:rFonts w:ascii="Verdana" w:eastAsia="Gill Sans MT" w:hAnsi="Verdana" w:cs="Segoe UI"/>
          <w:sz w:val="22"/>
          <w:szCs w:val="22"/>
        </w:rPr>
        <w:t xml:space="preserve">. </w:t>
      </w:r>
      <w:r w:rsidRPr="002F036A">
        <w:rPr>
          <w:rFonts w:ascii="Verdana" w:hAnsi="Verdana" w:cs="Segoe UI"/>
          <w:sz w:val="22"/>
          <w:szCs w:val="22"/>
        </w:rPr>
        <w:t xml:space="preserve">The evidence gaps noted reflect methodological and data-access obstacles rather than any demonstrated absence of effect. Comparable evidence supporting the competing claim that gambling advertising is not harmful has not been produced. This asymmetry in evidentiary standards was highlighted in a letter co-authored by more than 50 gambling researchers </w:t>
      </w:r>
      <w:r w:rsidRPr="002F036A">
        <w:rPr>
          <w:rFonts w:ascii="Verdana" w:hAnsi="Verdana" w:cs="Segoe UI"/>
          <w:sz w:val="22"/>
          <w:szCs w:val="22"/>
        </w:rPr>
        <w:fldChar w:fldCharType="begin" w:fldLock="1"/>
      </w:r>
      <w:r w:rsidRPr="002F036A" w:rsidR="0066495B">
        <w:rPr>
          <w:rFonts w:ascii="Verdana" w:hAnsi="Verdana" w:cs="Segoe UI"/>
          <w:sz w:val="22"/>
          <w:szCs w:val="22"/>
        </w:rPr>
        <w:instrText>ADDIN CSL_CITATION {"citationItems":[{"id":"ITEM-1","itemData":{"DOI":"10.1111/add.16369","author":[{"dropping-particle":"","family":"Newall","given":"Philip","non-dropping-particle":"","parse-names":false,"suffix":""},{"dropping-particle":"","family":"Allami","given":"Youssef","non-dropping-particle":"","parse-names":false,"suffix":""},{"dropping-particle":"","family":"Andrade","given":"Maira","non-dropping-particle":"","parse-names":false,"suffix":""},{"dropping-particle":"","family":"Ayton","given":"Peter","non-dropping-particle":"","parse-names":false,"suffix":""},{"dropping-particle":"","family":"Baker-Frampton","given":"Rosalind","non-dropping-particle":"","parse-names":false,"suffix":""},{"dropping-particle":"","family":"Bennett","given":"Daniel","non-dropping-particle":"","parse-names":false,"suffix":""},{"dropping-particle":"","family":"Browne","given":"Matthew","non-dropping-particle":"","parse-names":false,"suffix":""},{"dropping-particle":"","family":"Bunn","given":"Christopher","non-dropping-particle":"","parse-names":false,"suffix":""},{"dropping-particle":"","family":"Bush-Evans","given":"Reece","non-dropping-particle":"","parse-names":false,"suffix":""},{"dropping-particle":"","family":"Chen","given":"Sonia","non-dropping-particle":"","parse-names":false,"suffix":""},{"dropping-particle":"","family":"Collard","given":"Sharon","non-dropping-particle":"","parse-names":false,"suffix":""},{"dropping-particle":"","family":"Jans","given":"Steffi","non-dropping-particle":"De","parse-names":false,"suffix":""},{"dropping-particle":"","family":"Derevensky","given":"Jeffrey L.","non-dropping-particle":"","parse-names":false,"suffix":""},{"dropping-particle":"","family":"Dowling","given":"Nicki A","non-dropping-particle":"","parse-names":false,"suffix":""},{"dropping-particle":"","family":"Dymond","given":"Simon","non-dropping-particle":"","parse-names":false,"suffix":""},{"dropping-particle":"","family":"Froude","given":"Andree","non-dropping-particle":"","parse-names":false,"suffix":""},{"dropping-particle":"","family":"Goyder","given":"Elizabeth","non-dropping-particle":"","parse-names":false,"suffix":""},{"dropping-particle":"","family":"Heirene","given":"Robert M.","non-dropping-particle":"","parse-names":false,"suffix":""},{"dropping-particle":"","family":"Hing","given":"Nerilee","non-dropping-particle":"","parse-names":false,"suffix":""},{"dropping-particle":"","family":"Hudders","given":"Liselot","non-dropping-particle":"","parse-names":false,"suffix":""},{"dropping-particle":"","family":"Hunt","given":"Kate","non-dropping-particle":"","parse-names":false,"suffix":""},{"dropping-particle":"","family":"James","given":"Richard J.E.","non-dropping-particle":"","parse-names":false,"suffix":""},{"dropping-particle":"","family":"Li, EnLudvig","given":"Elliot Andrew","non-dropping-particle":"","parse-names":false,"suffix":""},{"dropping-particle":"","family":"Marionneau","given":"Virve","non-dropping-particle":"","parse-names":false,"suffix":""},{"dropping-particle":"","family":"McGrane","given":"Ellen","non-dropping-particle":"","parse-names":false,"suffix":""},{"dropping-particle":"","family":"Merkouris","given":"Stephanie S.","non-dropping-particle":"","parse-names":false,"suffix":""},{"dropping-particle":"","family":"Orford","given":"Jim","non-dropping-particle":"","parse-names":false,"suffix":""},{"dropping-particle":"","family":"Parrado-Gonzalez","given":"Alberto","non-dropping-particle":"","parse-names":false,"suffix":""},{"dropping-particle":"","family":"Pryce","given":"Robert","non-dropping-particle":"","parse-names":false,"suffix":""},{"dropping-particle":"","family":"Rockloff","given":"Matthew J.","non-dropping-particle":"","parse-names":false,"suffix":""},{"dropping-particle":"","family":"Romild","given":"Ulla","non-dropping-particle":"","parse-names":false,"suffix":""},{"dropping-particle":"","family":"Rossi","given":"Raffaello","non-dropping-particle":"","parse-names":false,"suffix":""},{"dropping-particle":"","family":"Russell","given":"Alex","non-dropping-particle":"","parse-names":false,"suffix":""},{"dropping-particle":"","family":"Singmann","given":"Henrik","non-dropping-particle":"","parse-names":false,"suffix":""},{"dropping-particle":"","family":"Smit Quosai","given":"Trudy","non-dropping-particle":"","parse-names":false,"suffix":""},{"dropping-particle":"","family":"Stark","given":"Sasha","non-dropping-particle":"","parse-names":false,"suffix":""},{"dropping-particle":"","family":"Suomi","given":"Aino","non-dropping-particle":"","parse-names":false,"suffix":""},{"dropping-particle":"","family":"Swanton","given":"Thomas B.","non-dropping-particle":"","parse-names":false,"suffix":""},{"dropping-particle":"","family":"Talberg","given":"Niri","non-dropping-particle":"","parse-names":false,"suffix":""},{"dropping-particle":"","family":"Thoma","given":"Volker","non-dropping-particle":"","parse-names":false,"suffix":""},{"dropping-particle":"","family":"Torrance","given":"Jamie","non-dropping-particle":"","parse-names":false,"suffix":""},{"dropping-particle":"","family":"Tulloch","given":"Catherine","non-dropping-particle":"","parse-names":false,"suffix":""},{"dropping-particle":"","family":"Holst","given":"Ruth J.","non-dropping-particle":"van","parse-names":false,"suffix":""},{"dropping-particle":"","family":"Walasek","given":"Lukasz","non-dropping-particle":"","parse-names":false,"suffix":""},{"dropping-particle":"","family":"Wardle","given":"Heather","non-dropping-particle":"","parse-names":false,"suffix":""},{"dropping-particle":"","family":"West","given":"Jane","non-dropping-particle":"","parse-names":false,"suffix":""},{"dropping-particle":"","family":"Wheaton","given":"Jamie","non-dropping-particle":"","parse-names":false,"suffix":""},{"dropping-particle":"","family":"Xiao","given":"Leon Y.","non-dropping-particle":"","parse-names":false,"suffix":""},{"dropping-particle":"","family":"Young","given":"Matthew","non-dropping-particle":"","parse-names":false,"suffix":""},{"dropping-particle":"","family":"Bellringer","given":"Maria E.","non-dropping-particle":"","parse-names":false,"suffix":""},{"dropping-particle":"","family":"Sharman","given":"Steve","non-dropping-particle":"","parse-names":false,"suffix":""},{"dropping-particle":"","family":"Roberts","given":"Amanda","non-dropping-particle":"","parse-names":false,"suffix":""}],"container-title":"Addiction","id":"ITEM-1","issued":{"date-parts":[["2023"]]},"page":"391-396","title":"‘ No evidence of harm ’ implies no evidence of safety : Framing the lack of causal evidence in gambling advertising research","type":"article-journal"},"uris":["http://www.mendeley.com/documents/?uuid=0e74b3ff-b356-41a0-b6d6-069145ea9a4d"]}],"mendeley":{"formattedCitation":"(Newall, Allami, &lt;i&gt;et al.&lt;/i&gt;, 2023)","plainTextFormattedCitation":"(Newall, Allami, et al., 2023)","previouslyFormattedCitation":"(Newall, Allami, &lt;i&gt;et al.&lt;/i&gt;, 2023)"},"properties":{"noteIndex":0},"schema":"https://github.com/citation-style-language/schema/raw/master/csl-citation.json"}</w:instrText>
      </w:r>
      <w:r w:rsidRPr="002F036A">
        <w:rPr>
          <w:rFonts w:ascii="Verdana" w:hAnsi="Verdana" w:cs="Segoe UI"/>
          <w:sz w:val="22"/>
          <w:szCs w:val="22"/>
        </w:rPr>
        <w:fldChar w:fldCharType="separate"/>
      </w:r>
      <w:r w:rsidRPr="002F036A" w:rsidR="009B79ED">
        <w:rPr>
          <w:rFonts w:ascii="Verdana" w:hAnsi="Verdana" w:cs="Segoe UI"/>
          <w:noProof/>
          <w:sz w:val="22"/>
          <w:szCs w:val="22"/>
        </w:rPr>
        <w:t xml:space="preserve">(Newall </w:t>
      </w:r>
      <w:r w:rsidRPr="002F036A" w:rsidR="009B79ED">
        <w:rPr>
          <w:rFonts w:ascii="Verdana" w:hAnsi="Verdana" w:cs="Segoe UI"/>
          <w:i/>
          <w:noProof/>
          <w:sz w:val="22"/>
          <w:szCs w:val="22"/>
        </w:rPr>
        <w:t>et al.</w:t>
      </w:r>
      <w:r w:rsidRPr="002F036A" w:rsidR="009B79ED">
        <w:rPr>
          <w:rFonts w:ascii="Verdana" w:hAnsi="Verdana" w:cs="Segoe UI"/>
          <w:noProof/>
          <w:sz w:val="22"/>
          <w:szCs w:val="22"/>
        </w:rPr>
        <w:t>, 2023)</w:t>
      </w:r>
      <w:r w:rsidRPr="002F036A">
        <w:rPr>
          <w:rFonts w:ascii="Verdana" w:hAnsi="Verdana" w:cs="Segoe UI"/>
          <w:sz w:val="22"/>
          <w:szCs w:val="22"/>
        </w:rPr>
        <w:fldChar w:fldCharType="end"/>
      </w:r>
      <w:r w:rsidRPr="002F036A">
        <w:rPr>
          <w:rFonts w:ascii="Verdana" w:hAnsi="Verdana" w:cs="Segoe UI"/>
          <w:sz w:val="22"/>
          <w:szCs w:val="22"/>
        </w:rPr>
        <w:t>.</w:t>
      </w:r>
    </w:p>
    <w:p w:rsidR="00B172BB" w:rsidRPr="002F036A" w:rsidP="002F036A">
      <w:pPr>
        <w:pStyle w:val="ListParagraph"/>
        <w:ind w:left="1440" w:hanging="360"/>
        <w:rPr>
          <w:rFonts w:ascii="Verdana" w:hAnsi="Verdana" w:cs="Segoe UI"/>
          <w:sz w:val="22"/>
          <w:szCs w:val="22"/>
        </w:rPr>
      </w:pPr>
    </w:p>
    <w:p w:rsidR="00B172BB" w:rsidRPr="002F036A" w:rsidP="002F036A">
      <w:pPr>
        <w:pStyle w:val="ListParagraph"/>
        <w:numPr>
          <w:ilvl w:val="1"/>
          <w:numId w:val="28"/>
        </w:numPr>
        <w:contextualSpacing w:val="0"/>
        <w:rPr>
          <w:rFonts w:ascii="Verdana" w:hAnsi="Verdana" w:cs="Segoe UI"/>
          <w:sz w:val="22"/>
          <w:szCs w:val="22"/>
        </w:rPr>
      </w:pPr>
      <w:r w:rsidRPr="002F036A">
        <w:rPr>
          <w:rFonts w:ascii="Verdana" w:hAnsi="Verdana" w:cs="Segoe UI"/>
          <w:sz w:val="22"/>
          <w:szCs w:val="22"/>
        </w:rPr>
        <w:t>Can further research, such as the use of different techniques or larger samples, overcome these barriers to provide policymakers with meaningful further insight?</w:t>
      </w:r>
    </w:p>
    <w:p w:rsidR="00B172BB"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Yes, in part, though further research is better understood as refining what is already known rather than overcoming the barriers to establishing causation outright. Some barriers to research can be partially addressed. Ecological momentary assessment, already applied to gambling advertising in Australia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10.1111/add.70369","author":[{"dropping-particle":"","family":"Rockloff","given":"Matthew","non-dropping-particle":"","parse-names":false,"suffix":""},{"dropping-particle":"","family":"Browne","given":"Matthew","non-dropping-particle":"","parse-names":false,"suffix":""},{"dropping-particle":"","family":"Hing","given":"Nerilee","non-dropping-particle":"","parse-names":false,"suffix":""},{"dropping-particle":"","family":"Russell","given":"Alex M T","non-dropping-particle":"","parse-names":false,"suffix":""},{"dropping-particle":"","family":"Rawat","given":"Vijay","non-dropping-particle":"","parse-names":false,"suffix":""},{"dropping-particle":"","family":"Newall","given":"Philip","non-dropping-particle":"","parse-names":false,"suffix":""}],"container-title":"Addiction","id":"ITEM-1","issue":"January","issued":{"date-parts":[["2026"]]},"page":"1-13","title":"Direct gambling marketing , direct harm : A randomised experiment","type":"article-journal"},"uris":["http://www.mendeley.com/documents/?uuid=f564e7ab-c5a8-44ca-8b11-a9530bb04378"]},{"id":"ITEM-2","itemData":{"DOI":"10.1556/2006.8.2019.10","author":[{"dropping-particle":"","family":"Browne","given":"Matthew","non-dropping-particle":"","parse-names":false,"suffix":""},{"dropping-particle":"","family":"Hing","given":"Nerilee","non-dropping-particle":"","parse-names":false,"suffix":""},{"dropping-particle":"","family":"Russell","given":"Alex M T","non-dropping-particle":"","parse-names":false,"suffix":""},{"dropping-particle":"","family":"Thomas","given":"Anna","non-dropping-particle":"","parse-names":false,"suffix":""},{"dropping-particle":"","family":"Jenkinson","given":"Rebecca","non-dropping-particle":"","parse-names":false,"suffix":""}],"container-title":"Journal of Behavioral Addictions","id":"ITEM-2","issue":"1","issued":{"date-parts":[["2019"]]},"page":"146-156","title":"The impact of exposure to wagering advertisements and inducements on intended and actual betting expenditure : An ecological momentary assessment study","type":"article-journal","volume":"8"},"uris":["http://www.mendeley.com/documents/?uuid=15037616-f0ac-40d1-b0eb-859387e83b6a"]},{"id":"ITEM-3","itemData":{"DOI":"10.1556/2006.7.2018.99","author":[{"dropping-particle":"","family":"Russell","given":"Alex M T","non-dropping-particle":"","parse-names":false,"suffix":""},{"dropping-particle":"","family":"Hing","given":"Nerilee","non-dropping-particle":"","parse-names":false,"suffix":""},{"dropping-particle":"","family":"Browne","given":"Matthew","non-dropping-particle":"","parse-names":false,"suffix":""},{"dropping-particle":"","family":"Rawat","given":"Vijay","non-dropping-particle":"","parse-names":false,"suffix":""}],"container-title":"Journal of Behavioral Addictions","id":"ITEM-3","issue":"4","issued":{"date-parts":[["2018"]]},"page":"1079-1090","title":"Are direct messages (texts and emails) from wagering operators associated with betting intention and behavior? An ecological momentary assessment study","type":"article-journal","volume":"7"},"uris":["http://www.mendeley.com/documents/?uuid=818a35af-830f-4487-8019-ddabb4bfb6c7"]}],"mendeley":{"formattedCitation":"(Russell &lt;i&gt;et al.&lt;/i&gt;, 2018; Browne &lt;i&gt;et al.&lt;/i&gt;, 2019; Rockloff &lt;i&gt;et al.&lt;/i&gt;, 2026)","plainTextFormattedCitation":"(Russell et al., 2018; Browne et al., 2019; Rockloff et al., 2026)","previouslyFormattedCitation":"(Russell &lt;i&gt;et al.&lt;/i&gt;, 2018; Browne &lt;i&gt;et al.&lt;/i&gt;, 2019; Rockloff &lt;i&gt;et al.&lt;/i&gt;,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(Russell </w:t>
      </w:r>
      <w:r w:rsidRPr="002F036A">
        <w:rPr>
          <w:rFonts w:ascii="Verdana" w:hAnsi="Verdana" w:cs="Segoe UI"/>
          <w:i/>
          <w:noProof/>
          <w:sz w:val="22"/>
          <w:szCs w:val="22"/>
        </w:rPr>
        <w:t>et al.</w:t>
      </w:r>
      <w:r w:rsidRPr="002F036A">
        <w:rPr>
          <w:rFonts w:ascii="Verdana" w:hAnsi="Verdana" w:cs="Segoe UI"/>
          <w:noProof/>
          <w:sz w:val="22"/>
          <w:szCs w:val="22"/>
        </w:rPr>
        <w:t xml:space="preserve">, 2018; Browne </w:t>
      </w:r>
      <w:r w:rsidRPr="002F036A">
        <w:rPr>
          <w:rFonts w:ascii="Verdana" w:hAnsi="Verdana" w:cs="Segoe UI"/>
          <w:i/>
          <w:noProof/>
          <w:sz w:val="22"/>
          <w:szCs w:val="22"/>
        </w:rPr>
        <w:t>et al.</w:t>
      </w:r>
      <w:r w:rsidRPr="002F036A">
        <w:rPr>
          <w:rFonts w:ascii="Verdana" w:hAnsi="Verdana" w:cs="Segoe UI"/>
          <w:noProof/>
          <w:sz w:val="22"/>
          <w:szCs w:val="22"/>
        </w:rPr>
        <w:t xml:space="preserve">, 2019; Rockloff </w:t>
      </w:r>
      <w:r w:rsidRPr="002F036A">
        <w:rPr>
          <w:rFonts w:ascii="Verdana" w:hAnsi="Verdana" w:cs="Segoe UI"/>
          <w:i/>
          <w:noProof/>
          <w:sz w:val="22"/>
          <w:szCs w:val="22"/>
        </w:rPr>
        <w:t>et al.</w:t>
      </w:r>
      <w:r w:rsidRPr="002F036A">
        <w:rPr>
          <w:rFonts w:ascii="Verdana" w:hAnsi="Verdana" w:cs="Segoe UI"/>
          <w:noProof/>
          <w:sz w:val="22"/>
          <w:szCs w:val="22"/>
        </w:rPr>
        <w:t>, 2026)</w:t>
      </w:r>
      <w:r w:rsidRPr="002F036A">
        <w:rPr>
          <w:rFonts w:ascii="Verdana" w:hAnsi="Verdana" w:cs="Segoe UI"/>
          <w:sz w:val="22"/>
          <w:szCs w:val="22"/>
        </w:rPr>
        <w:fldChar w:fldCharType="end"/>
      </w:r>
      <w:r w:rsidRPr="002F036A">
        <w:rPr>
          <w:rFonts w:ascii="Verdana" w:hAnsi="Verdana" w:cs="Segoe UI"/>
          <w:sz w:val="22"/>
          <w:szCs w:val="22"/>
        </w:rPr>
        <w:t xml:space="preserve">, improves on the limited ecological validity of laboratory studies by capturing exposure and response as they occur in daily life. And while the individual-level longitudinal data needed for direct tracking remain largely inaccessible (see </w:t>
      </w:r>
      <w:r w:rsidRPr="002F036A">
        <w:rPr>
          <w:rFonts w:ascii="Verdana" w:hAnsi="Verdana" w:cs="Segoe UI"/>
          <w:sz w:val="22"/>
          <w:szCs w:val="22"/>
        </w:rPr>
        <w:t>response to Q</w:t>
      </w:r>
      <w:r w:rsidRPr="002F036A">
        <w:rPr>
          <w:rFonts w:ascii="Verdana" w:hAnsi="Verdana" w:cs="Segoe UI"/>
          <w:sz w:val="22"/>
          <w:szCs w:val="22"/>
        </w:rPr>
        <w:t xml:space="preserve">1b on how this could be addressed with reference to operator data), jurisdictions that introduce comprehensive bans generate population-level natural experiments, allowing harm indicators to be compared before and after a defined regulatory change, such as the study conducted in Spain </w:t>
      </w:r>
      <w:r w:rsidRPr="002F036A">
        <w:rPr>
          <w:rFonts w:ascii="Verdana" w:hAnsi="Verdana" w:cs="Segoe UI"/>
          <w:sz w:val="22"/>
          <w:szCs w:val="22"/>
        </w:rPr>
        <w:fldChar w:fldCharType="begin" w:fldLock="1"/>
      </w:r>
      <w:r w:rsidRPr="002F036A" w:rsidR="0066495B">
        <w:rPr>
          <w:rFonts w:ascii="Verdana" w:hAnsi="Verdana" w:cs="Segoe UI"/>
          <w:sz w:val="22"/>
          <w:szCs w:val="22"/>
        </w:rPr>
        <w:instrText>ADDIN CSL_CITATION {"citationItems":[{"id":"ITEM-1","itemData":{"author":[{"dropping-particle":"","family":"Aonso-Diego","given":"Gema","non-dropping-particle":"","parse-names":false,"suffix":""},{"dropping-particle":"","family":"García-pérez","given":"Ángel","non-dropping-particle":"","parse-names":false,"suffix":""},{"dropping-particle":"","family":"Krotter","given":"Andrea","non-dropping-particle":"","parse-names":false,"suffix":""}],"container-title":"Harm Reduction Journal","id":"ITEM-1","issued":{"date-parts":[["2025"]]},"page":"107","title":"Impact of Spanish gambling regulations on online gambling behavior and marketing strategies","type":"article-journal","volume":"22"},"uris":["http://www.mendeley.com/documents/?uuid=736bad1d-affc-4563-9e12-92c986363758"]}],"mendeley":{"formattedCitation":"(Aonso-Diego, García-pérez and Krotter, 2025)","plainTextFormattedCitation":"(Aonso-Diego, García-pérez and Krotter, 2025)","previouslyFormattedCitation":"(Aonso-Diego, García-pérez and Krotter, 2025)"},"properties":{"noteIndex":0},"schema":"https://github.com/citation-style-language/schema/raw/master/csl-citation.json"}</w:instrText>
      </w:r>
      <w:r w:rsidRPr="002F036A">
        <w:rPr>
          <w:rFonts w:ascii="Verdana" w:hAnsi="Verdana" w:cs="Segoe UI"/>
          <w:sz w:val="22"/>
          <w:szCs w:val="22"/>
        </w:rPr>
        <w:fldChar w:fldCharType="separate"/>
      </w:r>
      <w:r w:rsidRPr="002F036A" w:rsidR="009B79ED">
        <w:rPr>
          <w:rFonts w:ascii="Verdana" w:hAnsi="Verdana" w:cs="Segoe UI"/>
          <w:noProof/>
          <w:sz w:val="22"/>
          <w:szCs w:val="22"/>
        </w:rPr>
        <w:t>(Aonso-Diego, García-pérez and Krotter, 2025)</w:t>
      </w:r>
      <w:r w:rsidRPr="002F036A">
        <w:rPr>
          <w:rFonts w:ascii="Verdana" w:hAnsi="Verdana" w:cs="Segoe UI"/>
          <w:sz w:val="22"/>
          <w:szCs w:val="22"/>
        </w:rPr>
        <w:fldChar w:fldCharType="end"/>
      </w:r>
      <w:r w:rsidRPr="002F036A">
        <w:rPr>
          <w:rFonts w:ascii="Verdana" w:hAnsi="Verdana" w:cs="Segoe UI"/>
          <w:sz w:val="22"/>
          <w:szCs w:val="22"/>
        </w:rPr>
        <w:t xml:space="preserve">.  </w:t>
      </w:r>
    </w:p>
    <w:p w:rsidR="00B172BB" w:rsidRPr="002F036A" w:rsidP="002F036A">
      <w:pPr>
        <w:rPr>
          <w:rFonts w:ascii="Verdana" w:eastAsia="Gill Sans MT" w:hAnsi="Verdana" w:cs="Segoe UI"/>
          <w:sz w:val="22"/>
          <w:szCs w:val="22"/>
        </w:rPr>
      </w:pPr>
      <w:r w:rsidRPr="002F036A">
        <w:rPr>
          <w:rFonts w:ascii="Verdana" w:eastAsia="Gill Sans MT" w:hAnsi="Verdana" w:cs="Segoe UI"/>
          <w:sz w:val="22"/>
          <w:szCs w:val="22"/>
        </w:rPr>
        <w:t xml:space="preserve">Evaluation evidence from other settings demonstrates that such evaluations can be conducted using large and detailed datasets when available. For example, restrictions on advertising products high in fat, salt and sugar (HFSS) across the </w:t>
      </w:r>
      <w:r w:rsidRPr="002F036A">
        <w:rPr>
          <w:rFonts w:ascii="Verdana" w:eastAsia="Gill Sans MT" w:hAnsi="Verdana" w:cs="Segoe UI"/>
          <w:sz w:val="22"/>
          <w:szCs w:val="22"/>
        </w:rPr>
        <w:t xml:space="preserve">Transport for London network were associated with a relative reduction in household purchases of HFSS products compared with a constructed control region, reflecting a slowing in the growth of HFSS purchases </w:t>
      </w:r>
      <w:r w:rsidRPr="002F036A">
        <w:rPr>
          <w:rFonts w:ascii="Verdana" w:eastAsia="Gill Sans MT" w:hAnsi="Verdana" w:cs="Segoe UI"/>
          <w:sz w:val="22"/>
          <w:szCs w:val="22"/>
        </w:rPr>
        <w:fldChar w:fldCharType="begin" w:fldLock="1"/>
      </w:r>
      <w:r w:rsidRPr="002F036A">
        <w:rPr>
          <w:rFonts w:ascii="Verdana" w:eastAsia="Gill Sans MT" w:hAnsi="Verdana" w:cs="Segoe UI"/>
          <w:sz w:val="22"/>
          <w:szCs w:val="22"/>
        </w:rPr>
        <w:instrText>ADDIN CSL_CITATION {"citationItems":[{"id":"ITEM-1","itemData":{"DOI":"10.1371/journal.pmed.1003915","ISBN":"1111111111","ISSN":"15491676","PMID":"35176022","abstract":"Background Restricting the advertisement of products with high fat, salt, and sugar (HFSS) content has been recommended as a policy tool to improve diet and tackle obesity, but the impact on HFSS purchasing is unknown. This study aimed to evaluate the impact of HFSS advertising restrictions, implemented across the London (UK) transport network in February 2019, on HFSS purchases. Methods and findings Over 5 million take-home food and drink purchases were recorded by 1,970 households (London [intervention], n = 977; North of England [control], n = 993) randomly selected from the Kantar Fast Moving Consumer Goods panel. The intervention and control samples were similar in household characteristics but had small differences in main food shopper sex, socioeconomic position, and body mass index. Using a controlled interrupted time series design, we estimated average weekly household purchases of energy and nutrients from HFSS products in the post-intervention period (44 weeks) compared to a counterfactual constructed from the control and pre-intervention (36 weeks) series. Energy purchased from HFSS products was 6.7% (1,001.0 kcal, 95% CI 456.0 to 1,546.0) lower among intervention households compared to the counterfactual. Relative reductions in purchases of fat (57.9 g, 95% CI 22.1 to 93.7), saturated fat (26.4 g, 95% CI 12.4 to 40.4), and sugar (80.7 g, 95% CI 41.4 to 120.1) from HFSS products were also observed. Energy from chocolate and confectionery purchases was 19.4% (317.9 kcal, 95% CI 200.0 to 435.8) lower among intervention households than for the counterfactual, with corresponding relative reductions in fat (13.1 g, 95% CI 7.5 to 18.8), saturated fat (8.7 g, 95% CI 5.7 to 11.7), sugar (41.4 g, 95% CI 27.4 to 55.4), and salt (0.2 g, 95% CI 0.1 to 0.2) purchased from chocolate and confectionery. Relative reductions are in the context of secular increases in HFSS purchases in both the intervention and control areas, so the policy was associated with attenuated growth of HFSS purchases rather than absolute reduction in HFSS purchases. Study limitations include the lack of out-of-home purchases in our analyses and not being able to assess the sustainability of observed changes beyond 44 weeks. Conclusions This study finds an association between the implementation of restrictions on outdoor HFSS advertising and relative reductions in energy, sugar, and fat purchased from HFSS products. These findings provide support for policies that restrict HFSS adver…","author":[{"dropping-particle":"","family":"Yau","given":"Amy","non-dropping-particle":"","parse-names":false,"suffix":""},{"dropping-particle":"","family":"Berger","given":"Nicolas","non-dropping-particle":"","parse-names":false,"suffix":""},{"dropping-particle":"","family":"Law","given":"Cherry","non-dropping-particle":"","parse-names":false,"suffix":""},{"dropping-particle":"","family":"Cornelsen","given":"Laura","non-dropping-particle":"","parse-names":false,"suffix":""},{"dropping-particle":"","family":"Greener","given":"Robert","non-dropping-particle":"","parse-names":false,"suffix":""},{"dropping-particle":"","family":"Adams","given":"Jean","non-dropping-particle":"","parse-names":false,"suffix":""},{"dropping-particle":"","family":"Boyland","given":"Emma J.","non-dropping-particle":"","parse-names":false,"suffix":""},{"dropping-particle":"","family":"Burgoine","given":"Thomas","non-dropping-particle":"","parse-names":false,"suffix":""},{"dropping-particle":"","family":"Vocht","given":"Frank","non-dropping-particle":"de","parse-names":false,"suffix":""},{"dropping-particle":"","family":"Egan","given":"Matt","non-dropping-particle":"","parse-names":false,"suffix":""},{"dropping-particle":"","family":"Er","given":"Vanessa","non-dropping-particle":"","parse-names":false,"suffix":""},{"dropping-particle":"","family":"Lake","given":"Amelia A.","non-dropping-particle":"","parse-names":false,"suffix":""},{"dropping-particle":"","family":"Lock","given":"Karen","non-dropping-particle":"","parse-names":false,"suffix":""},{"dropping-particle":"","family":"Mytton","given":"Oliver","non-dropping-particle":"","parse-names":false,"suffix":""},{"dropping-particle":"","family":"Petticrew","given":"Mark","non-dropping-particle":"","parse-names":false,"suffix":""},{"dropping-particle":"","family":"Thompson","given":"Claire","non-dropping-particle":"","parse-names":false,"suffix":""},{"dropping-particle":"","family":"White","given":"Martin","non-dropping-particle":"","parse-names":false,"suffix":""},{"dropping-particle":"","family":"Cummins","given":"Steven","non-dropping-particle":"","parse-names":false,"suffix":""}],"container-title":"PLoS Medicine","id":"ITEM-1","issue":"2","issued":{"date-parts":[["2022"]]},"page":"1-23","title":"Changes in household food and drink purchases following restrictions on the advertisement of high fat, salt, and sugar products across the Transport for London network: A controlled interrupted time series analysis","type":"article-journal","volume":"19"},"uris":["http://www.mendeley.com/documents/?uuid=ee0d228e-6ee6-4214-b4fa-4ea38ee22d78"]}],"mendeley":{"formattedCitation":"(Yau &lt;i&gt;et al.&lt;/i&gt;, 2022)","plainTextFormattedCitation":"(Yau et al., 2022)","previouslyFormattedCitation":"(Yau &lt;i&gt;et al.&lt;/i&gt;, 2022)"},"properties":{"noteIndex":0},"schema":"https://github.com/citation-style-language/schema/raw/master/csl-citation.json"}</w:instrText>
      </w:r>
      <w:r w:rsidRPr="002F036A">
        <w:rPr>
          <w:rFonts w:ascii="Verdana" w:eastAsia="Gill Sans MT" w:hAnsi="Verdana" w:cs="Segoe UI"/>
          <w:sz w:val="22"/>
          <w:szCs w:val="22"/>
        </w:rPr>
        <w:fldChar w:fldCharType="separate"/>
      </w:r>
      <w:r w:rsidRPr="002F036A">
        <w:rPr>
          <w:rFonts w:ascii="Verdana" w:eastAsia="Gill Sans MT" w:hAnsi="Verdana" w:cs="Segoe UI"/>
          <w:noProof/>
          <w:sz w:val="22"/>
          <w:szCs w:val="22"/>
        </w:rPr>
        <w:t xml:space="preserve">(Yau </w:t>
      </w:r>
      <w:r w:rsidRPr="002F036A">
        <w:rPr>
          <w:rFonts w:ascii="Verdana" w:eastAsia="Gill Sans MT" w:hAnsi="Verdana" w:cs="Segoe UI"/>
          <w:i/>
          <w:noProof/>
          <w:sz w:val="22"/>
          <w:szCs w:val="22"/>
        </w:rPr>
        <w:t>et al.</w:t>
      </w:r>
      <w:r w:rsidRPr="002F036A">
        <w:rPr>
          <w:rFonts w:ascii="Verdana" w:eastAsia="Gill Sans MT" w:hAnsi="Verdana" w:cs="Segoe UI"/>
          <w:noProof/>
          <w:sz w:val="22"/>
          <w:szCs w:val="22"/>
        </w:rPr>
        <w:t>, 2022)</w:t>
      </w:r>
      <w:r w:rsidRPr="002F036A">
        <w:rPr>
          <w:rFonts w:ascii="Verdana" w:eastAsia="Gill Sans MT" w:hAnsi="Verdana" w:cs="Segoe UI"/>
          <w:sz w:val="22"/>
          <w:szCs w:val="22"/>
        </w:rPr>
        <w:fldChar w:fldCharType="end"/>
      </w:r>
      <w:r w:rsidRPr="002F036A">
        <w:rPr>
          <w:rFonts w:ascii="Verdana" w:eastAsia="Gill Sans MT" w:hAnsi="Verdana" w:cs="Segoe UI"/>
          <w:sz w:val="22"/>
          <w:szCs w:val="22"/>
        </w:rPr>
        <w:t xml:space="preserve">. A commitment to such evaluations, alongside access to larger and more granular data on gambling behaviour, may permit similar evaluations of gambling advertising policies in the future. </w:t>
      </w:r>
    </w:p>
    <w:p w:rsidR="00B172BB" w:rsidRPr="002F036A" w:rsidP="002F036A">
      <w:pPr>
        <w:rPr>
          <w:rFonts w:ascii="Verdana" w:eastAsia="Gill Sans MT" w:hAnsi="Verdana" w:cs="Segoe UI"/>
          <w:sz w:val="22"/>
          <w:szCs w:val="22"/>
        </w:rPr>
      </w:pPr>
      <w:r w:rsidRPr="002F036A">
        <w:rPr>
          <w:rFonts w:ascii="Verdana" w:eastAsia="Gill Sans MT" w:hAnsi="Verdana" w:cs="Segoe UI"/>
          <w:sz w:val="22"/>
          <w:szCs w:val="22"/>
        </w:rPr>
        <w:t xml:space="preserve">Larger samples improve precision but do not create an unexposed comparison group where one does not exist. In the absence of better data, the realistic contribution of further research </w:t>
      </w:r>
      <w:r w:rsidRPr="002F036A" w:rsidR="00CA6ED4">
        <w:rPr>
          <w:rFonts w:ascii="Verdana" w:eastAsia="Gill Sans MT" w:hAnsi="Verdana" w:cs="Segoe UI"/>
          <w:sz w:val="22"/>
          <w:szCs w:val="22"/>
        </w:rPr>
        <w:t xml:space="preserve">will be to </w:t>
      </w:r>
      <w:r w:rsidRPr="002F036A">
        <w:rPr>
          <w:rFonts w:ascii="Verdana" w:eastAsia="Gill Sans MT" w:hAnsi="Verdana" w:cs="Segoe UI"/>
          <w:sz w:val="22"/>
          <w:szCs w:val="22"/>
        </w:rPr>
        <w:t>clarify which formats and populations are most affected and the pathways linking exposure to harm</w:t>
      </w:r>
      <w:r w:rsidRPr="002F036A" w:rsidR="00CA6ED4">
        <w:rPr>
          <w:rFonts w:ascii="Verdana" w:eastAsia="Gill Sans MT" w:hAnsi="Verdana" w:cs="Segoe UI"/>
          <w:sz w:val="22"/>
          <w:szCs w:val="22"/>
        </w:rPr>
        <w:t xml:space="preserve">. </w:t>
      </w:r>
    </w:p>
    <w:p w:rsidR="008D2F6C" w:rsidRPr="002F036A" w:rsidP="002F036A">
      <w:pPr>
        <w:rPr>
          <w:rFonts w:ascii="Verdana" w:eastAsia="Gill Sans MT" w:hAnsi="Verdana" w:cs="Segoe UI"/>
          <w:sz w:val="22"/>
          <w:szCs w:val="22"/>
        </w:rPr>
      </w:pPr>
    </w:p>
    <w:p w:rsidR="008D2F6C" w:rsidRPr="002F036A" w:rsidP="002F036A">
      <w:pPr>
        <w:pStyle w:val="ListParagraph"/>
        <w:numPr>
          <w:ilvl w:val="1"/>
          <w:numId w:val="28"/>
        </w:numPr>
        <w:contextualSpacing w:val="0"/>
        <w:rPr>
          <w:rFonts w:ascii="Verdana" w:hAnsi="Verdana" w:cs="Segoe UI"/>
          <w:sz w:val="22"/>
          <w:szCs w:val="22"/>
        </w:rPr>
      </w:pPr>
      <w:r w:rsidRPr="002F036A">
        <w:rPr>
          <w:rFonts w:ascii="Verdana" w:hAnsi="Verdana" w:cs="Segoe UI"/>
          <w:sz w:val="22"/>
          <w:szCs w:val="22"/>
        </w:rPr>
        <w:t>Is the Government justified in awaiting the outcome of further research before proceeding with policy action?</w:t>
      </w:r>
    </w:p>
    <w:p w:rsidR="00B172BB"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Our opinion, based on known evidence to date and the stated benefits action could bring through enhanced evaluation opportunities, is that this is not justified. </w:t>
      </w:r>
    </w:p>
    <w:p w:rsidR="00B172BB" w:rsidRPr="002F036A" w:rsidP="002F036A">
      <w:pPr>
        <w:rPr>
          <w:rFonts w:ascii="Verdana" w:hAnsi="Verdana" w:cs="Segoe UI"/>
          <w:sz w:val="22"/>
          <w:szCs w:val="22"/>
        </w:rPr>
      </w:pPr>
      <w:r w:rsidRPr="002F036A">
        <w:rPr>
          <w:rFonts w:ascii="Verdana" w:hAnsi="Verdana" w:cs="Segoe UI"/>
          <w:sz w:val="22"/>
          <w:szCs w:val="22"/>
        </w:rPr>
        <w:t xml:space="preserve">The relationship between gambling marketing and gambling behaviour is already supported by a consistent body of evidence across systematic reviews, experimental studies, and emerging natural-experimental research. Drawing on Spanish operator data, García-Pérez and colleagues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10.1016/j.puhe.2024.06.025","author":[{"dropping-particle":"","family":"Garcia-Perez","given":"A.","non-dropping-particle":"","parse-names":false,"suffix":""},{"dropping-particle":"","family":"Krotter","given":"A.","non-dropping-particle":"","parse-names":false,"suffix":""},{"dropping-particle":"","family":"Aonso-Diego","given":"Gema","non-dropping-particle":"","parse-names":false,"suffix":""}],"container-title":"Public Health","id":"ITEM-1","issued":{"date-parts":[["2024"]]},"page":"170-177","title":"The impact of gambling advertising and marketing on online gambling behavior : an analysis based on Spanish data","type":"article-journal","volume":"234"},"uris":["http://www.mendeley.com/documents/?uuid=2b8f1ee1-ca17-48ef-897b-d998e6383ca0"]}],"mendeley":{"formattedCitation":"(Garcia-Perez, Krotter and Aonso-Diego, 2024)","plainTextFormattedCitation":"(Garcia-Perez, Krotter and Aonso-Diego, 2024)","previouslyFormattedCitation":"(Garcia-Perez, Krotter and Aonso-Diego, 2024)"},"properties":{"noteIndex":0},"schema":"https://github.com/citation-style-language/schema/raw/master/csl-citation.json"}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(Garcia-Perez, Krotter and Aonso-Diego, 2024)</w:t>
      </w:r>
      <w:r w:rsidRPr="002F036A">
        <w:rPr>
          <w:rFonts w:ascii="Verdana" w:hAnsi="Verdana" w:cs="Segoe UI"/>
          <w:sz w:val="22"/>
          <w:szCs w:val="22"/>
        </w:rPr>
        <w:fldChar w:fldCharType="end"/>
      </w:r>
      <w:r w:rsidRPr="002F036A">
        <w:rPr>
          <w:rFonts w:ascii="Verdana" w:hAnsi="Verdana" w:cs="Segoe UI"/>
          <w:sz w:val="22"/>
          <w:szCs w:val="22"/>
        </w:rPr>
        <w:t xml:space="preserve"> found that for every €1 operators spent on bonus inducements, players deposited €1.60, and for every €1 spent on sponsorship, players deposited €4, a dynamic unlikely to differ materially in </w:t>
      </w:r>
      <w:r w:rsidRPr="002F036A" w:rsidR="00CA6ED4">
        <w:rPr>
          <w:rFonts w:ascii="Verdana" w:hAnsi="Verdana" w:cs="Segoe UI"/>
          <w:sz w:val="22"/>
          <w:szCs w:val="22"/>
        </w:rPr>
        <w:t>Britain</w:t>
      </w:r>
      <w:r w:rsidRPr="002F036A">
        <w:rPr>
          <w:rFonts w:ascii="Verdana" w:hAnsi="Verdana" w:cs="Segoe UI"/>
          <w:sz w:val="22"/>
          <w:szCs w:val="22"/>
        </w:rPr>
        <w:t>.</w:t>
      </w:r>
    </w:p>
    <w:p w:rsidR="00B172BB" w:rsidRPr="002F036A" w:rsidP="002F036A">
      <w:pPr>
        <w:rPr>
          <w:rFonts w:ascii="Verdana" w:hAnsi="Verdana" w:cs="Segoe UI"/>
          <w:sz w:val="22"/>
          <w:szCs w:val="22"/>
        </w:rPr>
      </w:pPr>
      <w:r w:rsidRPr="002F036A">
        <w:rPr>
          <w:rFonts w:ascii="Verdana" w:hAnsi="Verdana" w:cs="Segoe UI"/>
          <w:sz w:val="22"/>
          <w:szCs w:val="22"/>
        </w:rPr>
        <w:t xml:space="preserve">Policy action is also </w:t>
      </w:r>
      <w:r w:rsidRPr="002F036A">
        <w:rPr>
          <w:rFonts w:ascii="Verdana" w:hAnsi="Verdana" w:cs="Segoe UI"/>
          <w:i/>
          <w:iCs/>
          <w:sz w:val="22"/>
          <w:szCs w:val="22"/>
        </w:rPr>
        <w:t>necessary to generate stronger evidence</w:t>
      </w:r>
      <w:r w:rsidRPr="002F036A">
        <w:rPr>
          <w:rFonts w:ascii="Verdana" w:hAnsi="Verdana" w:cs="Segoe UI"/>
          <w:sz w:val="22"/>
          <w:szCs w:val="22"/>
        </w:rPr>
        <w:t xml:space="preserve"> (see </w:t>
      </w:r>
      <w:r w:rsidRPr="002F036A" w:rsidR="00CA6ED4">
        <w:rPr>
          <w:rFonts w:ascii="Verdana" w:hAnsi="Verdana" w:cs="Segoe UI"/>
          <w:sz w:val="22"/>
          <w:szCs w:val="22"/>
        </w:rPr>
        <w:t>response to Q</w:t>
      </w:r>
      <w:r w:rsidRPr="002F036A">
        <w:rPr>
          <w:rFonts w:ascii="Verdana" w:hAnsi="Verdana" w:cs="Segoe UI"/>
          <w:sz w:val="22"/>
          <w:szCs w:val="22"/>
        </w:rPr>
        <w:t xml:space="preserve">1a). Research should accordingly focus on </w:t>
      </w:r>
      <w:r w:rsidRPr="002F036A" w:rsidR="00CA6ED4">
        <w:rPr>
          <w:rFonts w:ascii="Verdana" w:hAnsi="Verdana" w:cs="Segoe UI"/>
          <w:sz w:val="22"/>
          <w:szCs w:val="22"/>
        </w:rPr>
        <w:t>evaluating the impact of</w:t>
      </w:r>
      <w:r w:rsidRPr="002F036A">
        <w:rPr>
          <w:rFonts w:ascii="Verdana" w:hAnsi="Verdana" w:cs="Segoe UI"/>
          <w:sz w:val="22"/>
          <w:szCs w:val="22"/>
        </w:rPr>
        <w:t xml:space="preserve"> </w:t>
      </w:r>
      <w:r w:rsidRPr="002F036A" w:rsidR="00CA6ED4">
        <w:rPr>
          <w:rFonts w:ascii="Verdana" w:hAnsi="Verdana" w:cs="Segoe UI"/>
          <w:sz w:val="22"/>
          <w:szCs w:val="22"/>
        </w:rPr>
        <w:t xml:space="preserve">changing </w:t>
      </w:r>
      <w:r w:rsidRPr="002F036A">
        <w:rPr>
          <w:rFonts w:ascii="Verdana" w:hAnsi="Verdana" w:cs="Segoe UI"/>
          <w:sz w:val="22"/>
          <w:szCs w:val="22"/>
        </w:rPr>
        <w:t>advertising</w:t>
      </w:r>
      <w:r w:rsidRPr="002F036A" w:rsidR="00CA6ED4">
        <w:rPr>
          <w:rFonts w:ascii="Verdana" w:hAnsi="Verdana" w:cs="Segoe UI"/>
          <w:sz w:val="22"/>
          <w:szCs w:val="22"/>
        </w:rPr>
        <w:t xml:space="preserve">, which in turn, can </w:t>
      </w:r>
      <w:r w:rsidRPr="002F036A">
        <w:rPr>
          <w:rFonts w:ascii="Verdana" w:hAnsi="Verdana" w:cs="Segoe UI"/>
          <w:sz w:val="22"/>
          <w:szCs w:val="22"/>
        </w:rPr>
        <w:t>be used to shape comprehensive action rather than to postpone it</w:t>
      </w:r>
      <w:r w:rsidRPr="002F036A" w:rsidR="00CA6ED4">
        <w:rPr>
          <w:rFonts w:ascii="Verdana" w:hAnsi="Verdana" w:cs="Segoe UI"/>
          <w:sz w:val="22"/>
          <w:szCs w:val="22"/>
        </w:rPr>
        <w:t xml:space="preserve">. </w:t>
      </w:r>
      <w:r w:rsidRPr="002F036A">
        <w:rPr>
          <w:rFonts w:ascii="Verdana" w:hAnsi="Verdana" w:cs="Segoe UI"/>
          <w:sz w:val="22"/>
          <w:szCs w:val="22"/>
        </w:rPr>
        <w:t xml:space="preserve"> The more useful question is not whether the Government should wait for every evidential uncertainty to be resolved, but how proportionate measures can be implemented now, independently evaluated and refined </w:t>
      </w:r>
      <w:r w:rsidRPr="002F036A">
        <w:rPr>
          <w:rFonts w:ascii="Verdana" w:hAnsi="Verdana" w:cs="Segoe UI"/>
          <w:sz w:val="22"/>
          <w:szCs w:val="22"/>
        </w:rPr>
        <w:t>in light of</w:t>
      </w:r>
      <w:r w:rsidRPr="002F036A">
        <w:rPr>
          <w:rFonts w:ascii="Verdana" w:hAnsi="Verdana" w:cs="Segoe UI"/>
          <w:sz w:val="22"/>
          <w:szCs w:val="22"/>
        </w:rPr>
        <w:t xml:space="preserve"> emerging evidence.</w:t>
      </w:r>
    </w:p>
    <w:p w:rsidR="00B172BB" w:rsidRPr="002F036A" w:rsidP="002F036A">
      <w:pPr>
        <w:pStyle w:val="ListParagraph"/>
        <w:ind w:left="1440"/>
        <w:contextualSpacing w:val="0"/>
        <w:rPr>
          <w:rFonts w:ascii="Verdana" w:hAnsi="Verdana" w:cs="Segoe UI"/>
          <w:sz w:val="22"/>
          <w:szCs w:val="22"/>
        </w:rPr>
      </w:pPr>
    </w:p>
    <w:p w:rsidR="00B172BB" w:rsidRPr="002F036A" w:rsidP="002F036A">
      <w:pPr>
        <w:rPr>
          <w:rFonts w:ascii="Verdana" w:hAnsi="Verdana" w:cs="Segoe UI"/>
          <w:b/>
          <w:bCs/>
          <w:i/>
          <w:iCs/>
          <w:sz w:val="22"/>
          <w:szCs w:val="22"/>
        </w:rPr>
      </w:pPr>
      <w:r w:rsidRPr="002F036A">
        <w:rPr>
          <w:rFonts w:ascii="Verdana" w:hAnsi="Verdana" w:cs="Segoe UI"/>
          <w:b/>
          <w:bCs/>
          <w:i/>
          <w:iCs/>
          <w:sz w:val="22"/>
          <w:szCs w:val="22"/>
        </w:rPr>
        <w:t>International comparisons:</w:t>
      </w:r>
    </w:p>
    <w:p w:rsidR="00B172BB"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In a Westminster Hall debate on 23 April 2026, the Government stated that the UK should be “guided by the lessons that [other] jurisdictions offer, and we should consider what has and has not worked.”</w:t>
      </w:r>
      <w:r>
        <w:rPr>
          <w:rStyle w:val="FootnoteReference"/>
          <w:rFonts w:ascii="Verdana" w:hAnsi="Verdana"/>
          <w:sz w:val="22"/>
          <w:szCs w:val="22"/>
        </w:rPr>
        <w:footnoteReference w:id="3"/>
      </w:r>
    </w:p>
    <w:p w:rsidR="00B172BB" w:rsidRPr="002F036A" w:rsidP="002F036A">
      <w:pPr>
        <w:pStyle w:val="ListParagraph"/>
        <w:numPr>
          <w:ilvl w:val="0"/>
          <w:numId w:val="13"/>
        </w:numPr>
        <w:contextualSpacing w:val="0"/>
        <w:rPr>
          <w:rFonts w:ascii="Verdana" w:hAnsi="Verdana" w:cs="Segoe UI"/>
          <w:i/>
          <w:iCs/>
          <w:sz w:val="22"/>
          <w:szCs w:val="22"/>
        </w:rPr>
      </w:pPr>
      <w:r w:rsidRPr="002F036A">
        <w:rPr>
          <w:rFonts w:ascii="Verdana" w:hAnsi="Verdana" w:cs="Segoe UI"/>
          <w:sz w:val="22"/>
          <w:szCs w:val="22"/>
        </w:rPr>
        <w:t>How does the regulation of gambling advertising in Great Britain compare with the approach taken by comparable international jurisdictions in Europe and elsewhere?</w:t>
      </w:r>
    </w:p>
    <w:p w:rsidR="00B172BB" w:rsidRPr="002F036A" w:rsidP="002F036A">
      <w:pPr>
        <w:pStyle w:val="isselectedend"/>
        <w:spacing w:line="276" w:lineRule="auto"/>
        <w:rPr>
          <w:rFonts w:ascii="Verdana" w:hAnsi="Verdana" w:cs="Segoe UI"/>
          <w:sz w:val="22"/>
          <w:szCs w:val="22"/>
          <w:lang w:val="en-GB"/>
        </w:rPr>
      </w:pPr>
      <w:r w:rsidRPr="002F036A">
        <w:rPr>
          <w:rFonts w:ascii="Verdana" w:hAnsi="Verdana" w:cs="Segoe UI"/>
          <w:b/>
          <w:bCs/>
          <w:sz w:val="22"/>
          <w:szCs w:val="22"/>
          <w:lang w:val="en-GB"/>
        </w:rPr>
        <w:t>Response:</w:t>
      </w:r>
      <w:r w:rsidRPr="002F036A">
        <w:rPr>
          <w:rFonts w:ascii="Verdana" w:hAnsi="Verdana" w:cs="Segoe UI"/>
          <w:sz w:val="22"/>
          <w:szCs w:val="22"/>
          <w:lang w:val="en-GB"/>
        </w:rPr>
        <w:t xml:space="preserve"> </w:t>
      </w:r>
      <w:r w:rsidRPr="002F036A">
        <w:rPr>
          <w:rFonts w:ascii="Verdana" w:hAnsi="Verdana" w:cs="Segoe UI"/>
          <w:sz w:val="22"/>
          <w:szCs w:val="22"/>
          <w:lang w:val="en-GB"/>
        </w:rPr>
        <w:t>As previously noted, Great Britain has one of the most permissive gambling advertising regimes among comparable European jurisdictions</w:t>
      </w:r>
      <w:r w:rsidRPr="002F036A">
        <w:rPr>
          <w:rFonts w:ascii="Verdana" w:hAnsi="Verdana" w:cs="Segoe UI"/>
          <w:sz w:val="22"/>
          <w:szCs w:val="22"/>
          <w:lang w:val="en-GB"/>
        </w:rPr>
        <w:t xml:space="preserve"> (</w:t>
      </w:r>
      <w:r w:rsidRPr="002F036A">
        <w:rPr>
          <w:rFonts w:ascii="Verdana" w:hAnsi="Verdana" w:cs="Segoe UI"/>
          <w:sz w:val="22"/>
          <w:szCs w:val="22"/>
          <w:lang w:val="en-GB"/>
        </w:rPr>
        <w:t>Marionneau</w:t>
      </w:r>
      <w:r w:rsidRPr="002F036A">
        <w:rPr>
          <w:rFonts w:ascii="Verdana" w:hAnsi="Verdana" w:cs="Segoe UI"/>
          <w:sz w:val="22"/>
          <w:szCs w:val="22"/>
          <w:lang w:val="en-GB"/>
        </w:rPr>
        <w:t xml:space="preserve"> </w:t>
      </w:r>
      <w:r w:rsidRPr="002F036A">
        <w:rPr>
          <w:rFonts w:ascii="Verdana" w:hAnsi="Verdana" w:cs="Segoe UI"/>
          <w:i/>
          <w:iCs/>
          <w:sz w:val="22"/>
          <w:szCs w:val="22"/>
          <w:lang w:val="en-GB"/>
        </w:rPr>
        <w:t>et al.,</w:t>
      </w:r>
      <w:r w:rsidRPr="002F036A">
        <w:rPr>
          <w:rFonts w:ascii="Verdana" w:hAnsi="Verdana" w:cs="Segoe UI"/>
          <w:sz w:val="22"/>
          <w:szCs w:val="22"/>
          <w:lang w:val="en-GB"/>
        </w:rPr>
        <w:t xml:space="preserve"> 2026)</w:t>
      </w:r>
      <w:r w:rsidRPr="002F036A">
        <w:rPr>
          <w:rFonts w:ascii="Verdana" w:hAnsi="Verdana" w:cs="Segoe UI"/>
          <w:sz w:val="22"/>
          <w:szCs w:val="22"/>
          <w:lang w:val="en-GB"/>
        </w:rPr>
        <w:t xml:space="preserve">. It has relatively few binding restrictions on advertising times and media, sponsorship, bonuses, direct marketing and mandatory harm-prevention messaging </w:t>
      </w:r>
      <w:r w:rsidRPr="002F036A">
        <w:rPr>
          <w:rFonts w:ascii="Verdana" w:hAnsi="Verdana" w:cs="Segoe UI"/>
          <w:sz w:val="22"/>
          <w:szCs w:val="22"/>
          <w:lang w:val="en-GB"/>
        </w:rPr>
        <w:fldChar w:fldCharType="begin" w:fldLock="1"/>
      </w:r>
      <w:r w:rsidRPr="002F036A">
        <w:rPr>
          <w:rFonts w:ascii="Verdana" w:hAnsi="Verdana" w:cs="Segoe UI"/>
          <w:sz w:val="22"/>
          <w:szCs w:val="22"/>
          <w:lang w:val="en-GB"/>
        </w:rPr>
        <w:instrText>ADDIN CSL_CITATION {"citationItems":[{"id":"ITEM-1","itemData":{"DOI":"10.1080/14459795.2026.2682456","ISSN":"1445-9795","author":[{"dropping-particle":"","family":"Marionneau","given":"Virve","non-dropping-particle":"","parse-names":false,"suffix":""},{"dropping-particle":"","family":"Mcgrane","given":"Ellen","non-dropping-particle":"","parse-names":false,"suffix":""},{"dropping-particle":"","family":"Ukhova","given":"Daria","non-dropping-particle":"","parse-names":false,"suffix":""},{"dropping-particle":"","family":"Wardle","given":"Heather","non-dropping-particle":"","parse-names":false,"suffix":""}],"container-title":"International Gambling Studies","id":"ITEM-1","issue":"00","issued":{"date-parts":[["2026"]]},"page":"1-27","publisher":"Routledge","title":"Regulations on gambling advertising in Europe : a comparative policy review Regulations on gambling advertising in Europe : a comparative policy review ABSTRACT","type":"article-journal","volume":"00"},"uris":["http://www.mendeley.com/documents/?uuid=4be8f048-06fb-4f9d-b7bb-bbd690a4c1fa"]}],"mendeley":{"formattedCitation":"(Marionneau &lt;i&gt;et al.&lt;/i&gt;, 2026)","plainTextFormattedCitation":"(Marionneau et al., 2026)","previouslyFormattedCitation":"(Marionneau &lt;i&gt;et al.&lt;/i&gt;, 2026)"},"properties":{"noteIndex":0},"schema":"https://github.com/citation-style-language/schema/raw/master/csl-citation.json"}</w:instrText>
      </w:r>
      <w:r w:rsidRPr="002F036A">
        <w:rPr>
          <w:rFonts w:ascii="Verdana" w:hAnsi="Verdana" w:cs="Segoe UI"/>
          <w:sz w:val="22"/>
          <w:szCs w:val="22"/>
          <w:lang w:val="en-GB"/>
        </w:rPr>
        <w:fldChar w:fldCharType="separate"/>
      </w:r>
      <w:r w:rsidRPr="002F036A">
        <w:rPr>
          <w:rFonts w:ascii="Verdana" w:hAnsi="Verdana" w:cs="Segoe UI"/>
          <w:noProof/>
          <w:sz w:val="22"/>
          <w:szCs w:val="22"/>
          <w:lang w:val="en-GB"/>
        </w:rPr>
        <w:t xml:space="preserve">(Marionneau </w:t>
      </w:r>
      <w:r w:rsidRPr="002F036A">
        <w:rPr>
          <w:rFonts w:ascii="Verdana" w:hAnsi="Verdana" w:cs="Segoe UI"/>
          <w:i/>
          <w:noProof/>
          <w:sz w:val="22"/>
          <w:szCs w:val="22"/>
          <w:lang w:val="en-GB"/>
        </w:rPr>
        <w:t>et al.</w:t>
      </w:r>
      <w:r w:rsidRPr="002F036A">
        <w:rPr>
          <w:rFonts w:ascii="Verdana" w:hAnsi="Verdana" w:cs="Segoe UI"/>
          <w:noProof/>
          <w:sz w:val="22"/>
          <w:szCs w:val="22"/>
          <w:lang w:val="en-GB"/>
        </w:rPr>
        <w:t>, 2026)</w:t>
      </w:r>
      <w:r w:rsidRPr="002F036A">
        <w:rPr>
          <w:rFonts w:ascii="Verdana" w:hAnsi="Verdana" w:cs="Segoe UI"/>
          <w:sz w:val="22"/>
          <w:szCs w:val="22"/>
          <w:lang w:val="en-GB"/>
        </w:rPr>
        <w:fldChar w:fldCharType="end"/>
      </w:r>
      <w:r w:rsidRPr="002F036A">
        <w:rPr>
          <w:rFonts w:ascii="Verdana" w:hAnsi="Verdana" w:cs="Segoe UI"/>
          <w:sz w:val="22"/>
          <w:szCs w:val="22"/>
          <w:lang w:val="en-GB"/>
        </w:rPr>
        <w:t xml:space="preserve"> </w:t>
      </w:r>
    </w:p>
    <w:p w:rsidR="00B172BB" w:rsidRPr="002F036A" w:rsidP="002F036A">
      <w:pPr>
        <w:pStyle w:val="NormalWeb"/>
        <w:spacing w:line="276" w:lineRule="auto"/>
        <w:rPr>
          <w:rFonts w:ascii="Verdana" w:hAnsi="Verdana" w:cs="Segoe UI"/>
          <w:sz w:val="22"/>
          <w:szCs w:val="22"/>
          <w:lang w:val="en-GB"/>
        </w:rPr>
      </w:pPr>
      <w:r w:rsidRPr="002F036A">
        <w:rPr>
          <w:rFonts w:ascii="Verdana" w:hAnsi="Verdana" w:cs="Segoe UI"/>
          <w:sz w:val="22"/>
          <w:szCs w:val="22"/>
          <w:lang w:val="en-GB"/>
        </w:rPr>
        <w:t>A</w:t>
      </w:r>
      <w:r w:rsidRPr="002F036A">
        <w:rPr>
          <w:rFonts w:ascii="Verdana" w:hAnsi="Verdana" w:cs="Segoe UI"/>
          <w:sz w:val="22"/>
          <w:szCs w:val="22"/>
          <w:lang w:val="en-GB"/>
        </w:rPr>
        <w:t xml:space="preserve"> key difference is that Great Britain continues to rely heavily on self-regulatory codes, often co-developed with the industry, whereas a number of other jurisdictions have introduced broader statutory restrictions on public-health grounds </w:t>
      </w:r>
      <w:r w:rsidRPr="002F036A">
        <w:rPr>
          <w:rFonts w:ascii="Verdana" w:hAnsi="Verdana" w:cs="Segoe UI"/>
          <w:sz w:val="22"/>
          <w:szCs w:val="22"/>
          <w:lang w:val="en-GB"/>
        </w:rPr>
        <w:fldChar w:fldCharType="begin" w:fldLock="1"/>
      </w:r>
      <w:r w:rsidRPr="002F036A">
        <w:rPr>
          <w:rFonts w:ascii="Verdana" w:hAnsi="Verdana" w:cs="Segoe UI"/>
          <w:sz w:val="22"/>
          <w:szCs w:val="22"/>
          <w:lang w:val="en-GB"/>
        </w:rPr>
        <w:instrText>ADDIN CSL_CITATION {"citationItems":[{"id":"ITEM-1","itemData":{"author":[{"dropping-particle":"","family":"Wilson","given":"Jessie","non-dropping-particle":"","parse-names":false,"suffix":""},{"dropping-particle":"","family":"Rossi","given":"Raffaello","non-dropping-particle":"","parse-names":false,"suffix":""},{"dropping-particle":"","family":"Bransden","given":"Nathan","non-dropping-particle":"","parse-names":false,"suffix":""},{"dropping-particle":"","family":"Amos","given":"Mary","non-dropping-particle":"","parse-names":false,"suffix":""},{"dropping-particle":"","family":"Sakis","given":"Peter","non-dropping-particle":"","parse-names":false,"suffix":""}],"id":"ITEM-1","issued":{"date-parts":[["2024"]]},"publisher-place":"Bristol","title":"Drivers of Gambling Marketing Restrictions – An International Comparison The University of Bristol","type":"report"},"uris":["http://www.mendeley.com/documents/?uuid=001b252e-2d3a-4802-b01d-2752c6865c5c"]},{"id":"ITEM-2","itemData":{"DOI":"10.5525/gla.researchdata.2089","author":[{"dropping-particle":"","family":"Ukhova","given":"D.","non-dropping-particle":"","parse-names":false,"suffix":""},{"dropping-particle":"","family":"Marionneau","given":"V.","non-dropping-particle":"","parse-names":false,"suffix":""},{"dropping-particle":"","family":"Batchelor","given":"S.","non-dropping-particle":"","parse-names":false,"suffix":""},{"dropping-particle":"","family":"Bunn","given":"C.","non-dropping-particle":"","parse-names":false,"suffix":""},{"dropping-particle":"","family":"McIntosh","given":"E.","non-dropping-particle":"","parse-names":false,"suffix":""},{"dropping-particle":"","family":"O'Connor","given":"R.","non-dropping-particle":"","parse-names":false,"suffix":""},{"dropping-particle":"","family":"Reith","given":"G.","non-dropping-particle":"","parse-names":false,"suffix":""},{"dropping-particle":"","family":"Wardle","given":"H.","non-dropping-particle":"","parse-names":false,"suffix":""}],"id":"ITEM-2","issued":{"date-parts":[["2025"]]},"publisher":"University of Glasgow","publisher-place":"Glasgow","title":"Global Gambling Control Scorecard (GGCS): Dataset. Version 1: November 2025","type":"article"},"uris":["http://www.mendeley.com/documents/?uuid=3ca64c1a-15bb-4043-add3-0ee20d5a25db"]}],"mendeley":{"formattedCitation":"(Wilson &lt;i&gt;et al.&lt;/i&gt;, 2024; Ukhova &lt;i&gt;et al.&lt;/i&gt;, 2025)","plainTextFormattedCitation":"(Wilson et al., 2024; Ukhova et al., 2025)","previouslyFormattedCitation":"(Wilson &lt;i&gt;et al.&lt;/i&gt;, 2024; Ukhova &lt;i&gt;et al.&lt;/i&gt;, 2025)"},"properties":{"noteIndex":0},"schema":"https://github.com/citation-style-language/schema/raw/master/csl-citation.json"}</w:instrText>
      </w:r>
      <w:r w:rsidRPr="002F036A">
        <w:rPr>
          <w:rFonts w:ascii="Verdana" w:hAnsi="Verdana" w:cs="Segoe UI"/>
          <w:sz w:val="22"/>
          <w:szCs w:val="22"/>
          <w:lang w:val="en-GB"/>
        </w:rPr>
        <w:fldChar w:fldCharType="separate"/>
      </w:r>
      <w:r w:rsidRPr="002F036A">
        <w:rPr>
          <w:rFonts w:ascii="Verdana" w:hAnsi="Verdana" w:cs="Segoe UI"/>
          <w:noProof/>
          <w:sz w:val="22"/>
          <w:szCs w:val="22"/>
          <w:lang w:val="en-GB"/>
        </w:rPr>
        <w:t xml:space="preserve">(Wilson </w:t>
      </w:r>
      <w:r w:rsidRPr="002F036A">
        <w:rPr>
          <w:rFonts w:ascii="Verdana" w:hAnsi="Verdana" w:cs="Segoe UI"/>
          <w:i/>
          <w:noProof/>
          <w:sz w:val="22"/>
          <w:szCs w:val="22"/>
          <w:lang w:val="en-GB"/>
        </w:rPr>
        <w:t>et al.</w:t>
      </w:r>
      <w:r w:rsidRPr="002F036A">
        <w:rPr>
          <w:rFonts w:ascii="Verdana" w:hAnsi="Verdana" w:cs="Segoe UI"/>
          <w:noProof/>
          <w:sz w:val="22"/>
          <w:szCs w:val="22"/>
          <w:lang w:val="en-GB"/>
        </w:rPr>
        <w:t xml:space="preserve">, 2024; Ukhova </w:t>
      </w:r>
      <w:r w:rsidRPr="002F036A">
        <w:rPr>
          <w:rFonts w:ascii="Verdana" w:hAnsi="Verdana" w:cs="Segoe UI"/>
          <w:i/>
          <w:noProof/>
          <w:sz w:val="22"/>
          <w:szCs w:val="22"/>
          <w:lang w:val="en-GB"/>
        </w:rPr>
        <w:t>et al.</w:t>
      </w:r>
      <w:r w:rsidRPr="002F036A">
        <w:rPr>
          <w:rFonts w:ascii="Verdana" w:hAnsi="Verdana" w:cs="Segoe UI"/>
          <w:noProof/>
          <w:sz w:val="22"/>
          <w:szCs w:val="22"/>
          <w:lang w:val="en-GB"/>
        </w:rPr>
        <w:t>, 2025)</w:t>
      </w:r>
      <w:r w:rsidRPr="002F036A">
        <w:rPr>
          <w:rFonts w:ascii="Verdana" w:hAnsi="Verdana" w:cs="Segoe UI"/>
          <w:sz w:val="22"/>
          <w:szCs w:val="22"/>
          <w:lang w:val="en-GB"/>
        </w:rPr>
        <w:fldChar w:fldCharType="end"/>
      </w:r>
      <w:r w:rsidRPr="002F036A">
        <w:rPr>
          <w:rFonts w:ascii="Verdana" w:hAnsi="Verdana" w:cs="Segoe UI"/>
          <w:sz w:val="22"/>
          <w:szCs w:val="22"/>
          <w:lang w:val="en-GB"/>
        </w:rPr>
        <w:t>. The main lesson from these comparisons is the need for a more comprehensive and legally enforceable framework.</w:t>
      </w:r>
    </w:p>
    <w:p w:rsidR="008D2F6C" w:rsidRPr="002F036A" w:rsidP="002F036A">
      <w:pPr>
        <w:pStyle w:val="NormalWeb"/>
        <w:spacing w:line="276" w:lineRule="auto"/>
        <w:rPr>
          <w:rFonts w:ascii="Verdana" w:hAnsi="Verdana" w:cs="Segoe UI"/>
          <w:sz w:val="22"/>
          <w:szCs w:val="22"/>
          <w:lang w:val="en-GB"/>
        </w:rPr>
      </w:pPr>
    </w:p>
    <w:p w:rsidR="00B172BB" w:rsidRPr="002F036A" w:rsidP="002F036A">
      <w:pPr>
        <w:rPr>
          <w:rFonts w:ascii="Verdana" w:hAnsi="Verdana" w:cs="Segoe UI"/>
          <w:b/>
          <w:bCs/>
          <w:i/>
          <w:iCs/>
          <w:sz w:val="22"/>
          <w:szCs w:val="22"/>
        </w:rPr>
      </w:pPr>
      <w:r w:rsidRPr="002F036A">
        <w:rPr>
          <w:rFonts w:ascii="Verdana" w:hAnsi="Verdana" w:cs="Segoe UI"/>
          <w:b/>
          <w:bCs/>
          <w:i/>
          <w:iCs/>
          <w:sz w:val="22"/>
          <w:szCs w:val="22"/>
        </w:rPr>
        <w:t>Safer gambling messaging</w:t>
      </w:r>
    </w:p>
    <w:p w:rsidR="008D2F6C"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Would an increase in the proportion of gambling adverts containing safer gambling messaging, or improvements in the form of this messaging, contribute to a reduction in gambling-related harm?</w:t>
      </w:r>
    </w:p>
    <w:p w:rsidR="00B172BB" w:rsidRPr="002F036A" w:rsidP="002F036A">
      <w:pPr>
        <w:pStyle w:val="ListParagraph"/>
        <w:ind w:left="0"/>
        <w:contextualSpacing w:val="0"/>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Yes, but only marginally, and not as a standalone solution. </w:t>
      </w:r>
      <w:r w:rsidRPr="002F036A">
        <w:rPr>
          <w:rFonts w:ascii="Verdana" w:hAnsi="Verdana" w:cs="Segoe UI"/>
          <w:sz w:val="22"/>
          <w:szCs w:val="22"/>
        </w:rPr>
        <w:t>Research evidence suggests that t</w:t>
      </w:r>
      <w:r w:rsidRPr="002F036A">
        <w:rPr>
          <w:rFonts w:ascii="Verdana" w:hAnsi="Verdana" w:cs="Segoe UI"/>
          <w:sz w:val="22"/>
          <w:szCs w:val="22"/>
        </w:rPr>
        <w:t xml:space="preserve">he safer gambling messaging currently carried by </w:t>
      </w:r>
      <w:r w:rsidRPr="002F036A">
        <w:rPr>
          <w:rFonts w:ascii="Verdana" w:hAnsi="Verdana" w:cs="Segoe UI"/>
          <w:sz w:val="22"/>
          <w:szCs w:val="22"/>
        </w:rPr>
        <w:t>British</w:t>
      </w:r>
      <w:r w:rsidRPr="002F036A">
        <w:rPr>
          <w:rFonts w:ascii="Verdana" w:hAnsi="Verdana" w:cs="Segoe UI"/>
          <w:sz w:val="22"/>
          <w:szCs w:val="22"/>
        </w:rPr>
        <w:t xml:space="preserve"> adverts </w:t>
      </w:r>
      <w:r w:rsidRPr="002F036A">
        <w:rPr>
          <w:rFonts w:ascii="Verdana" w:hAnsi="Verdana" w:cs="Segoe UI"/>
          <w:sz w:val="22"/>
          <w:szCs w:val="22"/>
        </w:rPr>
        <w:t xml:space="preserve">may be </w:t>
      </w:r>
      <w:r w:rsidRPr="002F036A">
        <w:rPr>
          <w:rFonts w:ascii="Verdana" w:hAnsi="Verdana" w:cs="Segoe UI"/>
          <w:sz w:val="22"/>
          <w:szCs w:val="22"/>
        </w:rPr>
        <w:t>ineffective</w:t>
      </w:r>
      <w:r w:rsidRPr="002F036A">
        <w:rPr>
          <w:rFonts w:ascii="Verdana" w:hAnsi="Verdana" w:cs="Segoe UI"/>
          <w:sz w:val="22"/>
          <w:szCs w:val="22"/>
        </w:rPr>
        <w:t xml:space="preserve"> at best and counterproductive at worst</w:t>
      </w:r>
      <w:r w:rsidRPr="002F036A">
        <w:rPr>
          <w:rFonts w:ascii="Verdana" w:hAnsi="Verdana" w:cs="Segoe UI"/>
          <w:sz w:val="22"/>
          <w:szCs w:val="22"/>
        </w:rPr>
        <w:t>.</w:t>
      </w:r>
      <w:r w:rsidRPr="002F036A">
        <w:rPr>
          <w:rFonts w:ascii="Verdana" w:hAnsi="Verdana" w:cs="Segoe UI"/>
          <w:sz w:val="22"/>
          <w:szCs w:val="22"/>
        </w:rPr>
        <w:t xml:space="preserve"> For </w:t>
      </w:r>
      <w:r w:rsidRPr="002F036A">
        <w:rPr>
          <w:rFonts w:ascii="Verdana" w:hAnsi="Verdana" w:cs="Segoe UI"/>
          <w:sz w:val="22"/>
          <w:szCs w:val="22"/>
        </w:rPr>
        <w:t>example</w:t>
      </w:r>
      <w:r w:rsidRPr="002F036A">
        <w:rPr>
          <w:rFonts w:ascii="Verdana" w:hAnsi="Verdana" w:cs="Segoe UI"/>
          <w:sz w:val="22"/>
          <w:szCs w:val="22"/>
        </w:rPr>
        <w:t xml:space="preserve"> Newall</w:t>
      </w:r>
      <w:r w:rsidRPr="002F036A">
        <w:rPr>
          <w:rFonts w:ascii="Verdana" w:hAnsi="Verdana" w:cs="Segoe UI"/>
          <w:sz w:val="22"/>
          <w:szCs w:val="22"/>
        </w:rPr>
        <w:t xml:space="preserve"> et al (2025)</w:t>
      </w:r>
      <w:r w:rsidRPr="002F036A">
        <w:rPr>
          <w:rFonts w:ascii="Verdana" w:hAnsi="Verdana" w:cs="Segoe UI"/>
          <w:sz w:val="22"/>
          <w:szCs w:val="22"/>
        </w:rPr>
        <w:t xml:space="preserve"> </w:t>
      </w:r>
      <w:r w:rsidRPr="002F036A">
        <w:rPr>
          <w:rFonts w:ascii="Verdana" w:hAnsi="Verdana" w:cs="Segoe UI"/>
          <w:sz w:val="22"/>
          <w:szCs w:val="22"/>
        </w:rPr>
        <w:t xml:space="preserve">showed </w:t>
      </w:r>
      <w:r w:rsidRPr="002F036A">
        <w:rPr>
          <w:rFonts w:ascii="Verdana" w:hAnsi="Verdana" w:cs="Segoe UI"/>
          <w:sz w:val="22"/>
          <w:szCs w:val="22"/>
        </w:rPr>
        <w:t xml:space="preserve">that industry safer gambling adverts can </w:t>
      </w:r>
      <w:r w:rsidRPr="002F036A">
        <w:rPr>
          <w:rFonts w:ascii="Verdana" w:hAnsi="Verdana" w:cs="Segoe UI"/>
          <w:sz w:val="22"/>
          <w:szCs w:val="22"/>
        </w:rPr>
        <w:t>actually increase</w:t>
      </w:r>
      <w:r w:rsidRPr="002F036A">
        <w:rPr>
          <w:rFonts w:ascii="Verdana" w:hAnsi="Verdana" w:cs="Segoe UI"/>
          <w:sz w:val="22"/>
          <w:szCs w:val="22"/>
        </w:rPr>
        <w:t xml:space="preserve"> viewers' urges to gamble, because they carry operator branding and imagery that is indistinguishable from ordinary advertising. Similar results have been reported in other countries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{"citationItems":[{"id":"ITEM-1","itemData":{"DOI":"10.1177/14034948251394913","author":[{"dropping-particle":"","family":"Jääskeläinen","given":"Paula P","non-dropping-particle":"","parse-names":false,"suffix":""},{"dropping-particle":"","family":"Marionneau","given":"Virve K","non-dropping-particle":"","parse-names":false,"suffix":""}],"container-title":"Scandinavian Journal of Public Health","id":"ITEM-1","issue":"October","issued":{"date-parts":[["2025"]]},"page":"1-9","title":"Gambling marketing in Finland : Experiences of exposure and regulation among Finnish individuals who gamble regularly","type":"article-journal"},"uris":["http://www.mendeley.com/documents/?uuid=479fd1f7-6a43-437c-880f-257f559af667"]}],"mendeley":{"formattedCitation":"(Jääskeläinen and Marionneau, 2025)","plainTextFormattedCitation":"(Jääskeläinen and Marionneau, 2025)","previouslyFormattedCitation":"(Jääskeläinen and Marionneau, 2025)"},"properties":{"noteIndex":0},"schema":"https://github.com/citation-style-language/schema/raw/master/csl-citation.json"}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(Jääskeläinen and Marionneau, 2025)</w:t>
      </w:r>
      <w:r w:rsidRPr="002F036A">
        <w:rPr>
          <w:rFonts w:ascii="Verdana" w:hAnsi="Verdana" w:cs="Segoe UI"/>
          <w:sz w:val="22"/>
          <w:szCs w:val="22"/>
        </w:rPr>
        <w:fldChar w:fldCharType="end"/>
      </w:r>
      <w:r w:rsidRPr="002F036A">
        <w:rPr>
          <w:rFonts w:ascii="Verdana" w:hAnsi="Verdana" w:cs="Segoe UI"/>
          <w:sz w:val="22"/>
          <w:szCs w:val="22"/>
        </w:rPr>
        <w:t>.</w:t>
      </w:r>
    </w:p>
    <w:p w:rsidR="00B172BB" w:rsidRPr="002F036A" w:rsidP="002F036A">
      <w:pPr>
        <w:rPr>
          <w:rFonts w:ascii="Verdana" w:hAnsi="Verdana" w:cs="Segoe UI"/>
          <w:sz w:val="22"/>
          <w:szCs w:val="22"/>
        </w:rPr>
      </w:pPr>
      <w:r w:rsidRPr="002F036A">
        <w:rPr>
          <w:rFonts w:ascii="Verdana" w:hAnsi="Verdana" w:cs="Segoe UI"/>
          <w:sz w:val="22"/>
          <w:szCs w:val="22"/>
        </w:rPr>
        <w:t>Better-designed messaging is more promising. The DHSC has invited evidence to support independently designed safer gambling messages, and Newall, Torrance and colleagues</w:t>
      </w:r>
      <w:r w:rsidRPr="002F036A" w:rsidR="009A068D">
        <w:rPr>
          <w:rFonts w:ascii="Verdana" w:hAnsi="Verdana" w:cs="Segoe UI"/>
          <w:sz w:val="22"/>
          <w:szCs w:val="22"/>
        </w:rPr>
        <w:t xml:space="preserve"> </w:t>
      </w:r>
      <w:r w:rsidRPr="002F036A" w:rsidR="009B79ED">
        <w:rPr>
          <w:rFonts w:ascii="Verdana" w:hAnsi="Verdana" w:cs="Segoe UI"/>
          <w:sz w:val="22"/>
          <w:szCs w:val="22"/>
        </w:rPr>
        <w:fldChar w:fldCharType="begin" w:fldLock="1"/>
      </w:r>
      <w:r w:rsidRPr="002F036A" w:rsidR="00A62F1F">
        <w:rPr>
          <w:rFonts w:ascii="Verdana" w:hAnsi="Verdana" w:cs="Segoe UI"/>
          <w:sz w:val="22"/>
          <w:szCs w:val="22"/>
        </w:rPr>
        <w:instrText>ADDIN CSL_CITATION {"citationItems":[{"id":"ITEM-1","itemData":{"DOI":"10.1080/16066359.2023.2282545","ISSN":"14767392","abstract":"Current industry-developed safer gambling messages such as ‘Take time to think’ and ‘Gamble responsibly’ have been criticized as ineffective slogans. As a result, Australia has recently introduced seven independently-developed safer gambling messages. The UK Government intends to introduce independently-developed messages from 2024 onwards, and this measure could be similarly appropriate for the US states where sports betting has been legalized and gambling advertising has become pervasive. Given this context, the current study recruited race and sports bettors from the UK and USA to elicit their perceptions of the seven Australian safer gambling messages. Participants (N = 1865) rated on a Likert-scale seven newly introduced messages and two existing ones (‘Take time to think’ and ‘Gamble responsibly’) using seven evaluative statements. Participants also reported their levels of problem gambling severity. For most statements in both jurisdictions, the new messages performed significantly better than the existing ones. Specifically, the new messages were deemed more attention grabbing, applicable on a personal level, helpful to gamblers, and more likely to encourage cutbacks in gambling. The message that included a specific call to action (‘What are you prepared to lose today? Set a deposit limit’) was one of the best performing messages. Interaction effects observed in relation to jurisdiction, age, gender, and problem gambling severity were generally small enough to counteract the argument that different populations might benefit from substantially different messages. These findings add to previous research on the independent design of effective safer gambling messages.","author":[{"dropping-particle":"","family":"Newall","given":"Philip","non-dropping-particle":"","parse-names":false,"suffix":""},{"dropping-particle":"","family":"Torrance","given":"Jamie","non-dropping-particle":"","parse-names":false,"suffix":""},{"dropping-particle":"","family":"Russell","given":"Alex M.T.","non-dropping-particle":"","parse-names":false,"suffix":""},{"dropping-particle":"","family":"Rockloff","given":"Matthew","non-dropping-particle":"","parse-names":false,"suffix":""},{"dropping-particle":"","family":"Hing","given":"Nerilee","non-dropping-particle":"","parse-names":false,"suffix":""},{"dropping-particle":"","family":"Browne","given":"Matthew","non-dropping-particle":"","parse-names":false,"suffix":""}],"container-title":"Addiction Research and Theory","id":"ITEM-1","issue":"6","issued":{"date-parts":[["2023"]]},"page":"400-408","publisher":"Taylor &amp; Francis","title":"‘Chances are you’re about to lose’: new independent Australian safer gambling messages tested in UK and USA bettor samples","type":"article-journal","volume":"32"},"uris":["http://www.mendeley.com/documents/?uuid=664646dd-5d30-4d63-8faf-b78545b2f031"]},{"id":"ITEM-2","itemData":{"author":[{"dropping-particle":"","family":"Newall","given":"Philip","non-dropping-particle":"","parse-names":false,"suffix":""},{"dropping-particle":"","family":"Weiss-cohen","given":"Leonardo","non-dropping-particle":"","parse-names":false,"suffix":""},{"dropping-particle":"","family":"Petrovskaya","given":"Elena","non-dropping-particle":"","parse-names":false,"suffix":""},{"dropping-particle":"","family":"Torrance","given":"Jamie","non-dropping-particle":"","parse-names":false,"suffix":""},{"dropping-particle":"","family":"Palmer","given":"Madison","non-dropping-particle":"","parse-names":false,"suffix":""},{"dropping-particle":"","family":"Xiao","given":"Leon","non-dropping-particle":"","parse-names":false,"suffix":""}],"container-title":"Collabra: Psychology","id":"ITEM-2","issue":"1","issued":{"date-parts":[["2025"]]},"page":"1-15","title":"“99 % of Gamblers Lose in the Long Run”: An Experimental Comparison of Novel and Pre-Existing Harm Prevention (Safer Gambling) Messages Warning About the Likelihood of Losing Money","type":"article-journal","volume":"11"},"uris":["http://www.mendeley.com/documents/?uuid=af729bfe-b18e-4757-b1ee-68ef4afe88bc"]},{"id":"ITEM-3","itemData":{"DOI":"10.1017/bpp.2026.10034","author":[{"dropping-particle":"","family":"Spicer","given":"Archie","non-dropping-particle":"","parse-names":false,"suffix":""},{"dropping-particle":"","family":"Andrade","given":"Maira","non-dropping-particle":"","parse-names":false,"suffix":""},{"dropping-particle":"","family":"Weiss-cohen","given":"Leonardo","non-dropping-particle":"","parse-names":false,"suffix":""},{"dropping-particle":"Van","family":"Baal","given":"Simon T","non-dropping-particle":"","parse-names":false,"suffix":""},{"dropping-particle":"","family":"Torrance","given":"Jamie","non-dropping-particle":"","parse-names":false,"suffix":""},{"dropping-particle":"","family":"Xiao","given":"Leon","non-dropping-particle":"","parse-names":false,"suffix":""},{"dropping-particle":"","family":"Newall","given":"Philip","non-dropping-particle":"","parse-names":false,"suffix":""}],"container-title":"Behavioural Public Policy","id":"ITEM-3","issued":{"date-parts":[["2026"]]},"page":"1-24","title":"‘ Gambling products are designed to be addictive’: an experimental comparison of counter-industry gambling harm prevention","type":"article-journal"},"uris":["http://www.mendeley.com/documents/?uuid=d85f4973-bfb5-4939-92c5-c85a8d5d4fde"]},{"id":"ITEM-4","itemData":{"ISBN":"0000000216609","author":[{"dropping-particle":"","family":"Newall","given":"Philip","non-dropping-particle":"","parse-names":false,"suffix":""},{"dropping-particle":"","family":"Weiss-cohen","given":"Leonardo","non-dropping-particle":"","parse-names":false,"suffix":""},{"dropping-particle":"Van","family":"Baal","given":"Simon T","non-dropping-particle":"","parse-names":false,"suffix":""},{"dropping-particle":"","family":"Torrance","given":"Jamie","non-dropping-particle":"","parse-names":false,"suffix":""},{"dropping-particle":"","family":"Andrade","given":"Maira","non-dropping-particle":"","parse-names":false,"suffix":""},{"dropping-particle":"","family":"Spicer","given":"Archie","non-dropping-particle":"","parse-names":false,"suffix":""},{"dropping-particle":"","family":"Xiao","given":"Leon Y","non-dropping-particle":"","parse-names":false,"suffix":""}],"container-title":"Psychology of Addictive Behaviors","id":"ITEM-4","issue":"4","issued":{"date-parts":[["2026"]]},"page":"469-483","title":"Positive Emotional Harm Prevention (Safer) Gambling Messages : Results of an Online Experiment","type":"article-journal","volume":"40"},"uris":["http://www.mendeley.com/documents/?uuid=609032bf-8f0e-4ac1-b0da-35f82229236c"]}],"mendeley":{"formattedCitation":"(Newall, Torrance, &lt;i&gt;et al.&lt;/i&gt;, 2023; Newall, Weiss-cohen, Petrovskaya, &lt;i&gt;et al.&lt;/i&gt;, 2025; Newall &lt;i&gt;et al.&lt;/i&gt;, 2026; Spicer &lt;i&gt;et al.&lt;/i&gt;, 2026)","plainTextFormattedCitation":"(Newall, Torrance, et al., 2023; Newall, Weiss-cohen, Petrovskaya, et al., 2025; Newall et al., 2026; Spicer et al., 2026)","previouslyFormattedCitation":"(Newall, Torrance, &lt;i&gt;et al.&lt;/i&gt;, 2023; Newall, Weiss-cohen, Petrovskaya, &lt;i&gt;et al.&lt;/i&gt;, 2025; Newall &lt;i&gt;et al.&lt;/i&gt;, 2026; Spicer &lt;i&gt;et al.&lt;/i&gt;, 2026)"},"properties":{"noteIndex":0},"schema":"https://github.com/citation-style-language/schema/raw/master/csl-citation.json"}</w:instrText>
      </w:r>
      <w:r w:rsidRPr="002F036A" w:rsidR="009B79ED">
        <w:rPr>
          <w:rFonts w:ascii="Verdana" w:hAnsi="Verdana" w:cs="Segoe UI"/>
          <w:sz w:val="22"/>
          <w:szCs w:val="22"/>
        </w:rPr>
        <w:fldChar w:fldCharType="separate"/>
      </w:r>
      <w:r w:rsidRPr="002F036A" w:rsidR="0066495B">
        <w:rPr>
          <w:rFonts w:ascii="Verdana" w:hAnsi="Verdana" w:cs="Segoe UI"/>
          <w:noProof/>
          <w:sz w:val="22"/>
          <w:szCs w:val="22"/>
        </w:rPr>
        <w:t xml:space="preserve">(Newall, Torrance, </w:t>
      </w:r>
      <w:r w:rsidRPr="002F036A" w:rsidR="0066495B">
        <w:rPr>
          <w:rFonts w:ascii="Verdana" w:hAnsi="Verdana" w:cs="Segoe UI"/>
          <w:i/>
          <w:noProof/>
          <w:sz w:val="22"/>
          <w:szCs w:val="22"/>
        </w:rPr>
        <w:t>et al.</w:t>
      </w:r>
      <w:r w:rsidRPr="002F036A" w:rsidR="0066495B">
        <w:rPr>
          <w:rFonts w:ascii="Verdana" w:hAnsi="Verdana" w:cs="Segoe UI"/>
          <w:noProof/>
          <w:sz w:val="22"/>
          <w:szCs w:val="22"/>
        </w:rPr>
        <w:t xml:space="preserve">, 2023; Newall, Weiss-cohen, Petrovskaya, </w:t>
      </w:r>
      <w:r w:rsidRPr="002F036A" w:rsidR="0066495B">
        <w:rPr>
          <w:rFonts w:ascii="Verdana" w:hAnsi="Verdana" w:cs="Segoe UI"/>
          <w:i/>
          <w:noProof/>
          <w:sz w:val="22"/>
          <w:szCs w:val="22"/>
        </w:rPr>
        <w:t>et al.</w:t>
      </w:r>
      <w:r w:rsidRPr="002F036A" w:rsidR="0066495B">
        <w:rPr>
          <w:rFonts w:ascii="Verdana" w:hAnsi="Verdana" w:cs="Segoe UI"/>
          <w:noProof/>
          <w:sz w:val="22"/>
          <w:szCs w:val="22"/>
        </w:rPr>
        <w:t xml:space="preserve">, 2025; Newall </w:t>
      </w:r>
      <w:r w:rsidRPr="002F036A" w:rsidR="0066495B">
        <w:rPr>
          <w:rFonts w:ascii="Verdana" w:hAnsi="Verdana" w:cs="Segoe UI"/>
          <w:i/>
          <w:noProof/>
          <w:sz w:val="22"/>
          <w:szCs w:val="22"/>
        </w:rPr>
        <w:t>et al.</w:t>
      </w:r>
      <w:r w:rsidRPr="002F036A" w:rsidR="0066495B">
        <w:rPr>
          <w:rFonts w:ascii="Verdana" w:hAnsi="Verdana" w:cs="Segoe UI"/>
          <w:noProof/>
          <w:sz w:val="22"/>
          <w:szCs w:val="22"/>
        </w:rPr>
        <w:t xml:space="preserve">, 2026; Spicer </w:t>
      </w:r>
      <w:r w:rsidRPr="002F036A" w:rsidR="0066495B">
        <w:rPr>
          <w:rFonts w:ascii="Verdana" w:hAnsi="Verdana" w:cs="Segoe UI"/>
          <w:i/>
          <w:noProof/>
          <w:sz w:val="22"/>
          <w:szCs w:val="22"/>
        </w:rPr>
        <w:t>et al.</w:t>
      </w:r>
      <w:r w:rsidRPr="002F036A" w:rsidR="0066495B">
        <w:rPr>
          <w:rFonts w:ascii="Verdana" w:hAnsi="Verdana" w:cs="Segoe UI"/>
          <w:noProof/>
          <w:sz w:val="22"/>
          <w:szCs w:val="22"/>
        </w:rPr>
        <w:t>, 2026)</w:t>
      </w:r>
      <w:r w:rsidRPr="002F036A" w:rsidR="009B79ED">
        <w:rPr>
          <w:rFonts w:ascii="Verdana" w:hAnsi="Verdana" w:cs="Segoe UI"/>
          <w:sz w:val="22"/>
          <w:szCs w:val="22"/>
        </w:rPr>
        <w:fldChar w:fldCharType="end"/>
      </w:r>
      <w:r w:rsidRPr="002F036A">
        <w:rPr>
          <w:rFonts w:ascii="Verdana" w:hAnsi="Verdana" w:cs="Segoe UI"/>
          <w:sz w:val="22"/>
          <w:szCs w:val="22"/>
        </w:rPr>
        <w:t xml:space="preserve"> have produced strong evidence for a range of such messages across different message types and audiences. Increasing the proportion of adverts carrying messaging and improving its form would offer advance the current position. However, the effect is likely to be small, as no message can compete with the roughly £2 billion spent each year on </w:t>
      </w:r>
      <w:r w:rsidRPr="002F036A" w:rsidR="009243ED">
        <w:rPr>
          <w:rFonts w:ascii="Verdana" w:hAnsi="Verdana" w:cs="Segoe UI"/>
          <w:sz w:val="22"/>
          <w:szCs w:val="22"/>
        </w:rPr>
        <w:t>advertising by the industry (estimates provided by WARC, widely reported across industry and national press)</w:t>
      </w:r>
      <w:r w:rsidRPr="002F036A">
        <w:rPr>
          <w:rFonts w:ascii="Verdana" w:hAnsi="Verdana" w:cs="Segoe UI"/>
          <w:sz w:val="22"/>
          <w:szCs w:val="22"/>
        </w:rPr>
        <w:t>. Improved messaging should be treated as a modest complement to wider regulatory reform rather than a substitute for it.</w:t>
      </w:r>
    </w:p>
    <w:p w:rsidR="00B40B20" w:rsidRPr="002F036A" w:rsidP="002F036A">
      <w:pPr>
        <w:rPr>
          <w:rFonts w:ascii="Verdana" w:hAnsi="Verdana" w:cs="Segoe UI"/>
          <w:b/>
          <w:bCs/>
          <w:i/>
          <w:iCs/>
          <w:sz w:val="22"/>
          <w:szCs w:val="22"/>
        </w:rPr>
      </w:pPr>
    </w:p>
    <w:p w:rsidR="00B172BB" w:rsidRPr="002F036A" w:rsidP="002F036A">
      <w:pPr>
        <w:rPr>
          <w:rFonts w:ascii="Verdana" w:hAnsi="Verdana" w:cs="Segoe UI"/>
          <w:b/>
          <w:bCs/>
          <w:i/>
          <w:iCs/>
          <w:sz w:val="22"/>
          <w:szCs w:val="22"/>
        </w:rPr>
      </w:pPr>
      <w:r w:rsidRPr="002F036A">
        <w:rPr>
          <w:rFonts w:ascii="Verdana" w:hAnsi="Verdana" w:cs="Segoe UI"/>
          <w:b/>
          <w:bCs/>
          <w:i/>
          <w:iCs/>
          <w:sz w:val="22"/>
          <w:szCs w:val="22"/>
        </w:rPr>
        <w:t>Advertising in sport</w:t>
      </w:r>
    </w:p>
    <w:p w:rsidR="00B172BB"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Have self-regulatory measures reduced exposure to gambling advertisements during live sports programmes?</w:t>
      </w:r>
    </w:p>
    <w:p w:rsidR="00B172BB" w:rsidRPr="002F036A" w:rsidP="002F036A">
      <w:pPr>
        <w:pStyle w:val="ListParagraph"/>
        <w:ind w:left="0"/>
        <w:contextualSpacing w:val="0"/>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No, not meaningfully. Torrance</w:t>
      </w:r>
      <w:r w:rsidRPr="002F036A">
        <w:rPr>
          <w:rFonts w:ascii="Verdana" w:hAnsi="Verdana" w:cs="Segoe UI"/>
          <w:sz w:val="22"/>
          <w:szCs w:val="22"/>
        </w:rPr>
        <w:t xml:space="preserve"> et al (2023)</w:t>
      </w:r>
      <w:r w:rsidRPr="002F036A">
        <w:rPr>
          <w:rFonts w:ascii="Verdana" w:hAnsi="Verdana" w:cs="Segoe UI"/>
          <w:sz w:val="22"/>
          <w:szCs w:val="22"/>
        </w:rPr>
        <w:t xml:space="preserve"> quantified gambling marketing in English Premier League broadcasts. Across ten matches from the 2022/23 season, gambling-associated logos appeared on average 16 times every broadcast minute, roughly once every four seconds. Only 6.9% of these were front-of-shirt sponsorships, the single category</w:t>
      </w:r>
      <w:r w:rsidRPr="002F036A">
        <w:rPr>
          <w:rFonts w:ascii="Verdana" w:hAnsi="Verdana" w:cs="Segoe UI"/>
          <w:sz w:val="22"/>
          <w:szCs w:val="22"/>
        </w:rPr>
        <w:t xml:space="preserve"> the</w:t>
      </w:r>
      <w:r w:rsidRPr="002F036A">
        <w:rPr>
          <w:rFonts w:ascii="Verdana" w:hAnsi="Verdana" w:cs="Segoe UI"/>
          <w:sz w:val="22"/>
          <w:szCs w:val="22"/>
        </w:rPr>
        <w:t xml:space="preserve"> the Premier League's voluntary ban will capture once implemented from August 2026, while the remaining 93.1% appeared in other in-game locations such as pitch-side hoardings not subject to the ban. The voluntary Premier League ban on front-of-shirt sponsorships will apply to roughly 1 in 20 gambling logos visible during a match. Subsequent analyses by Rossi </w:t>
      </w:r>
      <w:r w:rsidRPr="002F036A">
        <w:rPr>
          <w:rFonts w:ascii="Verdana" w:hAnsi="Verdana" w:cs="Segoe UI"/>
          <w:sz w:val="22"/>
          <w:szCs w:val="22"/>
        </w:rPr>
        <w:t>et al (2023)</w:t>
      </w:r>
      <w:r w:rsidRPr="002F036A">
        <w:rPr>
          <w:rFonts w:ascii="Verdana" w:hAnsi="Verdana" w:cs="Segoe UI"/>
          <w:sz w:val="22"/>
          <w:szCs w:val="22"/>
        </w:rPr>
        <w:t xml:space="preserve"> confirmed these findings and suggest</w:t>
      </w:r>
      <w:r w:rsidRPr="002F036A">
        <w:rPr>
          <w:rFonts w:ascii="Verdana" w:hAnsi="Verdana" w:cs="Segoe UI"/>
          <w:sz w:val="22"/>
          <w:szCs w:val="22"/>
        </w:rPr>
        <w:t>ed</w:t>
      </w:r>
      <w:r w:rsidRPr="002F036A">
        <w:rPr>
          <w:rFonts w:ascii="Verdana" w:hAnsi="Verdana" w:cs="Segoe UI"/>
          <w:sz w:val="22"/>
          <w:szCs w:val="22"/>
        </w:rPr>
        <w:t xml:space="preserve"> that gambling marketing in and around UK live sports is increasing. On this evidence, </w:t>
      </w:r>
      <w:r w:rsidRPr="002F036A">
        <w:rPr>
          <w:rFonts w:ascii="Verdana" w:hAnsi="Verdana" w:cs="Segoe UI"/>
          <w:sz w:val="22"/>
          <w:szCs w:val="22"/>
        </w:rPr>
        <w:t>it is unlikely that this</w:t>
      </w:r>
      <w:r w:rsidRPr="002F036A">
        <w:rPr>
          <w:rFonts w:ascii="Verdana" w:hAnsi="Verdana" w:cs="Segoe UI"/>
          <w:sz w:val="22"/>
          <w:szCs w:val="22"/>
        </w:rPr>
        <w:t xml:space="preserve"> self-regulatory measure will reduce exposure during live sport</w:t>
      </w:r>
      <w:r w:rsidRPr="002F036A">
        <w:rPr>
          <w:rFonts w:ascii="Verdana" w:hAnsi="Verdana" w:cs="Segoe UI"/>
          <w:sz w:val="22"/>
          <w:szCs w:val="22"/>
        </w:rPr>
        <w:t>. Rather it will</w:t>
      </w:r>
      <w:r w:rsidRPr="002F036A">
        <w:rPr>
          <w:rFonts w:ascii="Verdana" w:hAnsi="Verdana" w:cs="Segoe UI"/>
          <w:sz w:val="22"/>
          <w:szCs w:val="22"/>
        </w:rPr>
        <w:t xml:space="preserve"> remove a small and conspicuous fraction while the bulk continues. </w:t>
      </w:r>
    </w:p>
    <w:p w:rsidR="00B172BB" w:rsidRPr="002F036A" w:rsidP="002F036A">
      <w:pPr>
        <w:pStyle w:val="ListParagraph"/>
        <w:spacing w:before="120"/>
        <w:ind w:left="0"/>
        <w:rPr>
          <w:rFonts w:ascii="Verdana" w:hAnsi="Verdana" w:cs="Segoe UI"/>
          <w:sz w:val="22"/>
          <w:szCs w:val="22"/>
        </w:rPr>
      </w:pPr>
      <w:r w:rsidRPr="002F036A">
        <w:rPr>
          <w:rFonts w:ascii="Verdana" w:hAnsi="Verdana" w:cs="Segoe UI"/>
          <w:sz w:val="22"/>
          <w:szCs w:val="22"/>
        </w:rPr>
        <w:t xml:space="preserve">Additionally, the broadcast ‘whistle-to-whistle’ ban is a limited intervention aimed at reducing gambling advertising during live sports, but evidence suggests its impact may be confined to the restricted window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10.1080/16066359.2024.2355183","author":[{"dropping-particle":"","family":"Mcgrane","given":"Ellen","non-dropping-particle":"","parse-names":false,"suffix":""},{"dropping-particle":"","family":"Pryce","given":"Robert","non-dropping-particle":"","parse-names":false,"suffix":""},{"dropping-particle":"","family":"Wilson","given":"Luke","non-dropping-particle":"","parse-names":false,"suffix":""},{"dropping-particle":"","family":"Field","given":"Matt","non-dropping-particle":"","parse-names":false,"suffix":""},{"dropping-particle":"","family":"Goyder","given":"Elizabeth","non-dropping-particle":"","parse-names":false,"suffix":""}],"container-title":"Addiction Research &amp; Theory","id":"ITEM-1","issue":"2","issued":{"date-parts":[["2025"]]},"page":"134-142","publisher":"Taylor &amp; Francis","title":"How did the ‘ whistle-to-whistle ’ ban affect gambling advertising on TV ? A live football matching study","type":"article-journal","volume":"33"},"uris":["http://www.mendeley.com/documents/?uuid=0d9ce670-f51b-4e2f-a704-ea6c70310293"]}],"mendeley":{"formattedCitation":"(Mcgrane, Pryce, Wilson, &lt;i&gt;et al.&lt;/i&gt;, 2025)","plainTextFormattedCitation":"(Mcgrane, Pryce, Wilson, et al., 2025)","previouslyFormattedCitation":"(Mcgrane, Pryce, Wilson, &lt;i&gt;et al.&lt;/i&gt;, 2025)"},"properties":{"noteIndex":0},"schema":"https://github.com/citation-style-language/schema/raw/master/csl-citation.json"}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(Mcgrane, Pryce, Wilson, </w:t>
      </w:r>
      <w:r w:rsidRPr="002F036A">
        <w:rPr>
          <w:rFonts w:ascii="Verdana" w:hAnsi="Verdana" w:cs="Segoe UI"/>
          <w:i/>
          <w:noProof/>
          <w:sz w:val="22"/>
          <w:szCs w:val="22"/>
        </w:rPr>
        <w:t>et al.</w:t>
      </w:r>
      <w:r w:rsidRPr="002F036A">
        <w:rPr>
          <w:rFonts w:ascii="Verdana" w:hAnsi="Verdana" w:cs="Segoe UI"/>
          <w:noProof/>
          <w:sz w:val="22"/>
          <w:szCs w:val="22"/>
        </w:rPr>
        <w:t>, 2025)</w:t>
      </w:r>
      <w:r w:rsidRPr="002F036A">
        <w:rPr>
          <w:rFonts w:ascii="Verdana" w:hAnsi="Verdana" w:cs="Segoe UI"/>
          <w:sz w:val="22"/>
          <w:szCs w:val="22"/>
        </w:rPr>
        <w:fldChar w:fldCharType="end"/>
      </w:r>
      <w:r w:rsidRPr="002F036A">
        <w:rPr>
          <w:rFonts w:ascii="Verdana" w:hAnsi="Verdana" w:cs="Segoe UI"/>
          <w:sz w:val="22"/>
          <w:szCs w:val="22"/>
        </w:rPr>
        <w:t xml:space="preserve">. While the ‘whistle-to-whistle’ ban reduces the frequency of television advertising to an extent, it does not eliminate it overall, with potential displacement into pre-match and other adjacent programming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10.1080/16066359.2024.2444224","author":[{"dropping-particle":"","family":"Mcgrane","given":"Ellen","non-dropping-particle":"","parse-names":false,"suffix":""},{"dropping-particle":"","family":"Pryce","given":"Robert","non-dropping-particle":"","parse-names":false,"suffix":""},{"dropping-particle":"","family":"Field","given":"Matt","non-dropping-particle":"","parse-names":false,"suffix":""},{"dropping-particle":"","family":"Goyder","given":"Elizabeth","non-dropping-particle":"","parse-names":false,"suffix":""},{"dropping-particle":"","family":"Mcgrane","given":"Ellen","non-dropping-particle":"","parse-names":false,"suffix":""},{"dropping-particle":"","family":"Pryce","given":"Robert","non-dropping-particle":"","parse-names":false,"suffix":""},{"dropping-particle":"","family":"Field","given":"Matt","non-dropping-particle":"","parse-names":false,"suffix":""},{"dropping-particle":"","family":"Goyder","given":"Elizabeth","non-dropping-particle":"","parse-names":false,"suffix":""}],"container-title":"Addiction Research &amp; Theory","id":"ITEM-1","issue":"4","issued":{"date-parts":[["2025"]]},"page":"302-311","publisher":"Taylor &amp; Francis","title":"The association between the ‘whistle-to-whistle’ ban and the presence of gambling advertising on UK television","type":"article-journal","volume":"33"},"uris":["http://www.mendeley.com/documents/?uuid=2d1955cc-4e29-4e01-9d7e-83ee0c40c47a"]},{"id":"ITEM-2","itemData":{"DOI":"10.1080/16066359.2024.2355183","author":[{"dropping-particle":"","family":"Mcgrane","given":"Ellen","non-dropping-particle":"","parse-names":false,"suffix":""},{"dropping-particle":"","family":"Pryce","given":"Robert","non-dropping-particle":"","parse-names":false,"suffix":""},{"dropping-particle":"","family":"Wilson","given":"Luke","non-dropping-particle":"","parse-names":false,"suffix":""},{"dropping-particle":"","family":"Field","given":"Matt","non-dropping-particle":"","parse-names":false,"suffix":""},{"dropping-particle":"","family":"Goyder","given":"Elizabeth","non-dropping-particle":"","parse-names":false,"suffix":""}],"container-title":"Addiction Research &amp; Theory","id":"ITEM-2","issue":"2","issued":{"date-parts":[["2025"]]},"page":"134-142","publisher":"Taylor &amp; Francis","title":"How did the ‘ whistle-to-whistle ’ ban affect gambling advertising on TV ? A live football matching study","type":"article-journal","volume":"33"},"uris":["http://www.mendeley.com/documents/?uuid=0d9ce670-f51b-4e2f-a704-ea6c70310293"]}],"mendeley":{"formattedCitation":"(Mcgrane, Pryce, Field, &lt;i&gt;et al.&lt;/i&gt;, 2025; Mcgrane, Pryce, Wilson, &lt;i&gt;et al.&lt;/i&gt;, 2025)","plainTextFormattedCitation":"(Mcgrane, Pryce, Field, et al., 2025; Mcgrane, Pryce, Wilson, et al., 2025)","previouslyFormattedCitation":"(Mcgrane, Pryce, Field, &lt;i&gt;et al.&lt;/i&gt;, 2025; Mcgrane, Pryce, Wilson, &lt;i&gt;et al.&lt;/i&gt;, 2025)"},"properties":{"noteIndex":0},"schema":"https://github.com/citation-style-language/schema/raw/master/csl-citation.json"}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(Mcgrane, Pryce, Field, </w:t>
      </w:r>
      <w:r w:rsidRPr="002F036A">
        <w:rPr>
          <w:rFonts w:ascii="Verdana" w:hAnsi="Verdana" w:cs="Segoe UI"/>
          <w:i/>
          <w:noProof/>
          <w:sz w:val="22"/>
          <w:szCs w:val="22"/>
        </w:rPr>
        <w:t>et al.</w:t>
      </w:r>
      <w:r w:rsidRPr="002F036A">
        <w:rPr>
          <w:rFonts w:ascii="Verdana" w:hAnsi="Verdana" w:cs="Segoe UI"/>
          <w:noProof/>
          <w:sz w:val="22"/>
          <w:szCs w:val="22"/>
        </w:rPr>
        <w:t xml:space="preserve">, 2025; Mcgrane, Pryce, Wilson, </w:t>
      </w:r>
      <w:r w:rsidRPr="002F036A">
        <w:rPr>
          <w:rFonts w:ascii="Verdana" w:hAnsi="Verdana" w:cs="Segoe UI"/>
          <w:i/>
          <w:noProof/>
          <w:sz w:val="22"/>
          <w:szCs w:val="22"/>
        </w:rPr>
        <w:t>et al.</w:t>
      </w:r>
      <w:r w:rsidRPr="002F036A">
        <w:rPr>
          <w:rFonts w:ascii="Verdana" w:hAnsi="Verdana" w:cs="Segoe UI"/>
          <w:noProof/>
          <w:sz w:val="22"/>
          <w:szCs w:val="22"/>
        </w:rPr>
        <w:t>, 2025)</w:t>
      </w:r>
      <w:r w:rsidRPr="002F036A">
        <w:rPr>
          <w:rFonts w:ascii="Verdana" w:hAnsi="Verdana" w:cs="Segoe UI"/>
          <w:sz w:val="22"/>
          <w:szCs w:val="22"/>
        </w:rPr>
        <w:fldChar w:fldCharType="end"/>
      </w:r>
      <w:r w:rsidRPr="002F036A">
        <w:rPr>
          <w:rFonts w:ascii="Verdana" w:hAnsi="Verdana" w:cs="Segoe UI"/>
          <w:sz w:val="22"/>
          <w:szCs w:val="22"/>
        </w:rPr>
        <w:t xml:space="preserve">. </w:t>
      </w:r>
    </w:p>
    <w:p w:rsidR="00B172BB" w:rsidRPr="002F036A" w:rsidP="002F036A">
      <w:pPr>
        <w:spacing w:before="120"/>
        <w:rPr>
          <w:rFonts w:ascii="Verdana" w:hAnsi="Verdana" w:cs="Segoe UI"/>
          <w:sz w:val="22"/>
          <w:szCs w:val="22"/>
        </w:rPr>
      </w:pPr>
      <w:r w:rsidRPr="002F036A">
        <w:rPr>
          <w:rFonts w:ascii="Verdana" w:hAnsi="Verdana" w:cs="Segoe UI"/>
          <w:sz w:val="22"/>
          <w:szCs w:val="22"/>
        </w:rPr>
        <w:t>Live sports programming is the only carve-out from the broader</w:t>
      </w:r>
      <w:r w:rsidRPr="002F036A" w:rsidR="009243ED">
        <w:rPr>
          <w:rFonts w:ascii="Verdana" w:hAnsi="Verdana" w:cs="Segoe UI"/>
          <w:sz w:val="22"/>
          <w:szCs w:val="22"/>
        </w:rPr>
        <w:t xml:space="preserve"> self-regulatory</w:t>
      </w:r>
      <w:r w:rsidRPr="002F036A">
        <w:rPr>
          <w:rFonts w:ascii="Verdana" w:hAnsi="Verdana" w:cs="Segoe UI"/>
          <w:sz w:val="22"/>
          <w:szCs w:val="22"/>
        </w:rPr>
        <w:t xml:space="preserve"> watershed </w:t>
      </w:r>
      <w:r w:rsidRPr="002F036A" w:rsidR="009243ED">
        <w:rPr>
          <w:rFonts w:ascii="Verdana" w:hAnsi="Verdana" w:cs="Segoe UI"/>
          <w:sz w:val="22"/>
          <w:szCs w:val="22"/>
        </w:rPr>
        <w:t>restriction</w:t>
      </w:r>
      <w:r w:rsidRPr="002F036A">
        <w:rPr>
          <w:rFonts w:ascii="Verdana" w:hAnsi="Verdana" w:cs="Segoe UI"/>
          <w:sz w:val="22"/>
          <w:szCs w:val="22"/>
        </w:rPr>
        <w:t xml:space="preserve">. As a result, adverts continue to appear before and after matches, as well as through other unrestricted exposure formats during live coverage, which are highly prevalent (see above). </w:t>
      </w:r>
      <w:r w:rsidRPr="002F036A" w:rsidR="009243ED">
        <w:rPr>
          <w:rFonts w:ascii="Verdana" w:hAnsi="Verdana" w:cs="Segoe UI"/>
          <w:sz w:val="22"/>
          <w:szCs w:val="22"/>
        </w:rPr>
        <w:t>To</w:t>
      </w:r>
      <w:r w:rsidRPr="002F036A">
        <w:rPr>
          <w:rFonts w:ascii="Verdana" w:hAnsi="Verdana" w:cs="Segoe UI"/>
          <w:sz w:val="22"/>
          <w:szCs w:val="22"/>
        </w:rPr>
        <w:t xml:space="preserve"> our knowledge, there is no evidence to suggest that this period of </w:t>
      </w:r>
      <w:r w:rsidRPr="002F036A">
        <w:rPr>
          <w:rFonts w:ascii="Verdana" w:hAnsi="Verdana" w:cs="Segoe UI"/>
          <w:sz w:val="22"/>
          <w:szCs w:val="22"/>
        </w:rPr>
        <w:t>pre</w:t>
      </w:r>
      <w:r w:rsidRPr="002F036A">
        <w:rPr>
          <w:rFonts w:ascii="Verdana" w:hAnsi="Verdana" w:cs="Segoe UI"/>
          <w:sz w:val="22"/>
          <w:szCs w:val="22"/>
        </w:rPr>
        <w:t xml:space="preserve"> and post-match programming is inherently lower risk</w:t>
      </w:r>
      <w:r w:rsidRPr="002F036A" w:rsidR="009243ED">
        <w:rPr>
          <w:rFonts w:ascii="Verdana" w:hAnsi="Verdana" w:cs="Segoe UI"/>
          <w:sz w:val="22"/>
          <w:szCs w:val="22"/>
        </w:rPr>
        <w:t xml:space="preserve"> than within match programming</w:t>
      </w:r>
      <w:r w:rsidRPr="002F036A">
        <w:rPr>
          <w:rFonts w:ascii="Verdana" w:hAnsi="Verdana" w:cs="Segoe UI"/>
          <w:sz w:val="22"/>
          <w:szCs w:val="22"/>
        </w:rPr>
        <w:t xml:space="preserve"> in terms of advertising impact, particularly given the continued presence of multiple forms of marketing exposure. Evidence from the 2022 FIFA World Cup indicates that the presence of television gambling advertising was associated with increased likelihood and frequency of football betting among a sample of male bettors, suggesting the restriction may be insufficient to mitigate behavioural impacts of television advertising around live sport in at least some higher-risk subgroups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10.1016/j.abrep.2026.100666","ISSN":"2352-8532","author":[{"dropping-particle":"","family":"Mcgrane","given":"Ellen","non-dropping-particle":"","parse-names":false,"suffix":""},{"dropping-particle":"","family":"Pryce","given":"Robert","non-dropping-particle":"","parse-names":false,"suffix":""},{"dropping-particle":"","family":"Field","given":"Matt","non-dropping-particle":"","parse-names":false,"suffix":""},{"dropping-particle":"","family":"Wilson","given":"Luke","non-dropping-particle":"","parse-names":false,"suffix":""},{"dropping-particle":"","family":"Goyder","given":"Elizabeth","non-dropping-particle":"","parse-names":false,"suffix":""}],"container-title":"Addictive Behaviors Reports","id":"ITEM-1","issue":"January","issued":{"date-parts":[["2026"]]},"page":"100666","publisher":"Elsevier Ltd","title":"The effect of television advertising on gambling behaviour : a quasi-experimental study during the 2022 Qatar FIFA World Cup","type":"article-journal","volume":"23"},"uris":["http://www.mendeley.com/documents/?uuid=50b601d1-07f8-46ca-aa26-993d1b9139ae"]}],"mendeley":{"formattedCitation":"(Mcgrane &lt;i&gt;et al.&lt;/i&gt;, 2026)","plainTextFormattedCitation":"(Mcgrane et al., 2026)","previouslyFormattedCitation":"(Mcgrane &lt;i&gt;et al.&lt;/i&gt;,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(Mcgrane </w:t>
      </w:r>
      <w:r w:rsidRPr="002F036A">
        <w:rPr>
          <w:rFonts w:ascii="Verdana" w:hAnsi="Verdana" w:cs="Segoe UI"/>
          <w:i/>
          <w:noProof/>
          <w:sz w:val="22"/>
          <w:szCs w:val="22"/>
        </w:rPr>
        <w:t>et al.</w:t>
      </w:r>
      <w:r w:rsidRPr="002F036A">
        <w:rPr>
          <w:rFonts w:ascii="Verdana" w:hAnsi="Verdana" w:cs="Segoe UI"/>
          <w:noProof/>
          <w:sz w:val="22"/>
          <w:szCs w:val="22"/>
        </w:rPr>
        <w:t>, 2026)</w:t>
      </w:r>
      <w:r w:rsidRPr="002F036A">
        <w:rPr>
          <w:rFonts w:ascii="Verdana" w:hAnsi="Verdana" w:cs="Segoe UI"/>
          <w:sz w:val="22"/>
          <w:szCs w:val="22"/>
        </w:rPr>
        <w:fldChar w:fldCharType="end"/>
      </w:r>
      <w:r w:rsidRPr="002F036A">
        <w:rPr>
          <w:rFonts w:ascii="Verdana" w:hAnsi="Verdana" w:cs="Segoe UI"/>
          <w:sz w:val="22"/>
          <w:szCs w:val="22"/>
        </w:rPr>
        <w:t xml:space="preserve">.  </w:t>
      </w:r>
    </w:p>
    <w:p w:rsidR="00B172BB" w:rsidRPr="002F036A" w:rsidP="002F036A">
      <w:pPr>
        <w:pStyle w:val="ListParagraph"/>
        <w:rPr>
          <w:rFonts w:ascii="Verdana" w:hAnsi="Verdana" w:cs="Segoe UI"/>
          <w:sz w:val="22"/>
          <w:szCs w:val="22"/>
        </w:rPr>
      </w:pPr>
    </w:p>
    <w:p w:rsidR="00B172BB"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In light of</w:t>
      </w:r>
      <w:r w:rsidRPr="002F036A">
        <w:rPr>
          <w:rFonts w:ascii="Verdana" w:hAnsi="Verdana" w:cs="Segoe UI"/>
          <w:sz w:val="22"/>
          <w:szCs w:val="22"/>
        </w:rPr>
        <w:t xml:space="preserve"> developments since 2020, what would be the advantages and disadvantages of:</w:t>
      </w:r>
    </w:p>
    <w:p w:rsidR="00B172BB" w:rsidRPr="002F036A" w:rsidP="002F036A">
      <w:pPr>
        <w:pStyle w:val="ListParagraph"/>
        <w:numPr>
          <w:ilvl w:val="0"/>
          <w:numId w:val="15"/>
        </w:numPr>
        <w:spacing w:line="276" w:lineRule="auto"/>
        <w:contextualSpacing w:val="0"/>
        <w:rPr>
          <w:rFonts w:ascii="Verdana" w:hAnsi="Verdana" w:cs="Segoe UI"/>
          <w:sz w:val="22"/>
          <w:szCs w:val="22"/>
        </w:rPr>
      </w:pPr>
      <w:r w:rsidRPr="002F036A">
        <w:rPr>
          <w:rFonts w:ascii="Verdana" w:hAnsi="Verdana" w:cs="Segoe UI"/>
          <w:sz w:val="22"/>
          <w:szCs w:val="22"/>
        </w:rPr>
        <w:t>Prohibiting gambling advertising on sports kits and in or near sports venues (</w:t>
      </w:r>
      <w:r w:rsidRPr="002F036A">
        <w:rPr>
          <w:rFonts w:ascii="Verdana" w:hAnsi="Verdana" w:cs="Segoe UI"/>
          <w:sz w:val="22"/>
          <w:szCs w:val="22"/>
        </w:rPr>
        <w:t>with the exception of</w:t>
      </w:r>
      <w:r w:rsidRPr="002F036A">
        <w:rPr>
          <w:rFonts w:ascii="Verdana" w:hAnsi="Verdana" w:cs="Segoe UI"/>
          <w:sz w:val="22"/>
          <w:szCs w:val="22"/>
        </w:rPr>
        <w:t xml:space="preserve"> horseracing and greyhound racing), as recommended by the former committee;</w:t>
      </w:r>
      <w:r>
        <w:rPr>
          <w:rStyle w:val="FootnoteReference"/>
          <w:rFonts w:ascii="Verdana" w:hAnsi="Verdana"/>
          <w:sz w:val="22"/>
          <w:szCs w:val="22"/>
        </w:rPr>
        <w:footnoteReference w:id="4"/>
      </w:r>
    </w:p>
    <w:p w:rsidR="00B172BB"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The principal advantage would be a marked reduction in the gambling logos to which sports audiences are exposed, particularly the pitch-side and kit branding that dominates in-game marketing.</w:t>
      </w:r>
      <w:r w:rsidRPr="002F036A">
        <w:rPr>
          <w:rFonts w:ascii="Verdana" w:hAnsi="Verdana" w:cs="Segoe UI"/>
          <w:sz w:val="22"/>
          <w:szCs w:val="22"/>
        </w:rPr>
        <w:t xml:space="preserve"> Research by </w:t>
      </w:r>
      <w:r w:rsidRPr="002F036A">
        <w:rPr>
          <w:rFonts w:ascii="Verdana" w:hAnsi="Verdana" w:cs="Segoe UI"/>
          <w:noProof/>
          <w:sz w:val="22"/>
          <w:szCs w:val="22"/>
        </w:rPr>
        <w:t xml:space="preserve">Roderique </w:t>
      </w:r>
      <w:r w:rsidRPr="002F036A">
        <w:rPr>
          <w:rFonts w:ascii="Verdana" w:hAnsi="Verdana" w:cs="Segoe UI"/>
          <w:iCs/>
          <w:noProof/>
          <w:sz w:val="22"/>
          <w:szCs w:val="22"/>
        </w:rPr>
        <w:t>et al (2020)</w:t>
      </w:r>
      <w:r w:rsidRPr="002F036A">
        <w:rPr>
          <w:rFonts w:ascii="Verdana" w:hAnsi="Verdana" w:cs="Segoe UI"/>
          <w:sz w:val="22"/>
          <w:szCs w:val="22"/>
        </w:rPr>
        <w:t xml:space="preserve"> </w:t>
      </w:r>
      <w:r w:rsidRPr="002F036A">
        <w:rPr>
          <w:rFonts w:ascii="Verdana" w:hAnsi="Verdana" w:cs="Segoe UI"/>
          <w:sz w:val="22"/>
          <w:szCs w:val="22"/>
        </w:rPr>
        <w:t>has shown that embedded gambling promotion in football elevates viewers' urges to gamble and normalises gambling among young and vulnerable audiences</w:t>
      </w:r>
      <w:r w:rsidRPr="002F036A">
        <w:rPr>
          <w:rFonts w:ascii="Verdana" w:hAnsi="Verdana" w:cs="Segoe UI"/>
          <w:sz w:val="22"/>
          <w:szCs w:val="22"/>
        </w:rPr>
        <w:t xml:space="preserve">. Removing would could </w:t>
      </w:r>
      <w:r w:rsidRPr="002F036A">
        <w:rPr>
          <w:rFonts w:ascii="Verdana" w:hAnsi="Verdana" w:cs="Segoe UI"/>
          <w:sz w:val="22"/>
          <w:szCs w:val="22"/>
        </w:rPr>
        <w:t xml:space="preserve">lower both </w:t>
      </w:r>
      <w:r w:rsidRPr="002F036A">
        <w:rPr>
          <w:rFonts w:ascii="Verdana" w:hAnsi="Verdana" w:cs="Segoe UI"/>
          <w:sz w:val="22"/>
          <w:szCs w:val="22"/>
        </w:rPr>
        <w:t>effects, as before, evaluation of this change would be useful.</w:t>
      </w:r>
    </w:p>
    <w:p w:rsidR="00B172BB" w:rsidRPr="002F036A" w:rsidP="002F036A">
      <w:pPr>
        <w:spacing w:line="276" w:lineRule="auto"/>
        <w:rPr>
          <w:rFonts w:ascii="Verdana" w:hAnsi="Verdana" w:cs="Segoe UI"/>
          <w:sz w:val="22"/>
          <w:szCs w:val="22"/>
        </w:rPr>
      </w:pPr>
      <w:r w:rsidRPr="002F036A">
        <w:rPr>
          <w:rFonts w:ascii="Verdana" w:hAnsi="Verdana" w:cs="Segoe UI"/>
          <w:sz w:val="22"/>
          <w:szCs w:val="22"/>
        </w:rPr>
        <w:t xml:space="preserve">The principal disadvantage is that the efficacy of this policy depends on how comprehensively the ban is drawn. Evidence from Belgium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author":[{"dropping-particle":"","family":"Constandt","given":"Bram","non-dropping-particle":"","parse-names":false,"suffix":""},{"dropping-particle":"","family":"Jans","given":"Steffi","non-dropping-particle":"De","parse-names":false,"suffix":""}],"container-title":"Health Promotion International","id":"ITEM-1","issued":{"date-parts":[["2024"]]},"title":"Insights into the Belgian gambling advertising ban: the need for a comprehensive public policy approach","type":"article-journal"},"uris":["http://www.mendeley.com/documents/?uuid=7f242ff2-d7c8-4147-a990-aac8f86352cd"]}],"mendeley":{"formattedCitation":"(Constandt and De Jans, 2024)","plainTextFormattedCitation":"(Constandt and De Jans, 2024)","previouslyFormattedCitation":"(Constandt and De Jans, 2024)"},"properties":{"noteIndex":0},"schema":"https://github.com/citation-style-language/schema/raw/master/csl-citation.json"}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(Constandt and De Jans, 2024)</w:t>
      </w:r>
      <w:r w:rsidRPr="002F036A">
        <w:rPr>
          <w:rFonts w:ascii="Verdana" w:hAnsi="Verdana" w:cs="Segoe UI"/>
          <w:sz w:val="22"/>
          <w:szCs w:val="22"/>
        </w:rPr>
        <w:fldChar w:fldCharType="end"/>
      </w:r>
      <w:r w:rsidRPr="002F036A">
        <w:rPr>
          <w:rFonts w:ascii="Verdana" w:hAnsi="Verdana" w:cs="Segoe UI"/>
          <w:sz w:val="22"/>
          <w:szCs w:val="22"/>
        </w:rPr>
        <w:t xml:space="preserve"> shows that a partial ban can shift advertising to channels that are still permitted. Furthermore, a prohibition confined to overt gambling logos risks circumvention through alibi branding</w:t>
      </w:r>
      <w:r w:rsidRPr="002F036A" w:rsidR="00047B14">
        <w:rPr>
          <w:rFonts w:ascii="Verdana" w:hAnsi="Verdana" w:cs="Segoe UI"/>
          <w:sz w:val="22"/>
          <w:szCs w:val="22"/>
        </w:rPr>
        <w:t>. This was examined by</w:t>
      </w:r>
      <w:r w:rsidRPr="002F036A">
        <w:rPr>
          <w:rFonts w:ascii="Verdana" w:hAnsi="Verdana" w:cs="Segoe UI"/>
          <w:sz w:val="22"/>
          <w:szCs w:val="22"/>
        </w:rPr>
        <w:t xml:space="preserve"> Heath</w:t>
      </w:r>
      <w:r w:rsidRPr="002F036A" w:rsidR="00047B14">
        <w:rPr>
          <w:rFonts w:ascii="Verdana" w:hAnsi="Verdana" w:cs="Segoe UI"/>
          <w:sz w:val="22"/>
          <w:szCs w:val="22"/>
        </w:rPr>
        <w:t xml:space="preserve"> et al (2025) in Italy,</w:t>
      </w:r>
      <w:r w:rsidRPr="002F036A">
        <w:rPr>
          <w:rFonts w:ascii="Verdana" w:hAnsi="Verdana" w:cs="Segoe UI"/>
          <w:sz w:val="22"/>
          <w:szCs w:val="22"/>
        </w:rPr>
        <w:t xml:space="preserve"> where, despite a near-total ban, operators re-saturated the Serie A football league with alibi brands that retain the recognisable identity of operators such as </w:t>
      </w:r>
      <w:r w:rsidRPr="002F036A">
        <w:rPr>
          <w:rFonts w:ascii="Verdana" w:hAnsi="Verdana" w:cs="Segoe UI"/>
          <w:sz w:val="22"/>
          <w:szCs w:val="22"/>
        </w:rPr>
        <w:t>LeoVegas</w:t>
      </w:r>
      <w:r w:rsidRPr="002F036A">
        <w:rPr>
          <w:rFonts w:ascii="Verdana" w:hAnsi="Verdana" w:cs="Segoe UI"/>
          <w:sz w:val="22"/>
          <w:szCs w:val="22"/>
        </w:rPr>
        <w:t xml:space="preserve"> and bet365 while adding an innocuous, non-gambling suffix (for example, </w:t>
      </w:r>
      <w:r w:rsidRPr="002F036A">
        <w:rPr>
          <w:rFonts w:ascii="Verdana" w:hAnsi="Verdana" w:cs="Segoe UI"/>
          <w:sz w:val="22"/>
          <w:szCs w:val="22"/>
        </w:rPr>
        <w:t>LeoVegas.News</w:t>
      </w:r>
      <w:r w:rsidRPr="002F036A">
        <w:rPr>
          <w:rFonts w:ascii="Verdana" w:hAnsi="Verdana" w:cs="Segoe UI"/>
          <w:sz w:val="22"/>
          <w:szCs w:val="22"/>
        </w:rPr>
        <w:t xml:space="preserve">). To be effective, a </w:t>
      </w:r>
      <w:r w:rsidRPr="002F036A" w:rsidR="00047B14">
        <w:rPr>
          <w:rFonts w:ascii="Verdana" w:hAnsi="Verdana" w:cs="Segoe UI"/>
          <w:sz w:val="22"/>
          <w:szCs w:val="22"/>
        </w:rPr>
        <w:t>British</w:t>
      </w:r>
      <w:r w:rsidRPr="002F036A">
        <w:rPr>
          <w:rFonts w:ascii="Verdana" w:hAnsi="Verdana" w:cs="Segoe UI"/>
          <w:sz w:val="22"/>
          <w:szCs w:val="22"/>
        </w:rPr>
        <w:t xml:space="preserve"> ban would need to be drawn broadly enough to capture these surrogate forms. Similar regulations on alibi marketing already exist in the alcohol field</w:t>
      </w:r>
      <w:r w:rsidRPr="002F036A" w:rsidR="00E32D85">
        <w:rPr>
          <w:rFonts w:ascii="Verdana" w:hAnsi="Verdana" w:cs="Segoe UI"/>
          <w:sz w:val="22"/>
          <w:szCs w:val="22"/>
        </w:rPr>
        <w:t xml:space="preserve"> </w:t>
      </w:r>
      <w:r w:rsidRPr="002F036A" w:rsidR="00E32D85">
        <w:rPr>
          <w:rFonts w:ascii="Verdana" w:hAnsi="Verdana" w:cs="Segoe UI"/>
          <w:sz w:val="22"/>
          <w:szCs w:val="22"/>
        </w:rPr>
        <w:fldChar w:fldCharType="begin" w:fldLock="1"/>
      </w:r>
      <w:r w:rsidRPr="002F036A" w:rsidR="005236D4">
        <w:rPr>
          <w:rFonts w:ascii="Verdana" w:hAnsi="Verdana" w:cs="Segoe UI"/>
          <w:sz w:val="22"/>
          <w:szCs w:val="22"/>
        </w:rPr>
        <w:instrText>ADDIN CSL_CITATION {"citationItems":[{"id":"ITEM-1","itemData":{"author":[{"dropping-particle":"","family":"Murray","given":"Rachael","non-dropping-particle":"","parse-names":false,"suffix":""},{"dropping-particle":"","family":"Breton","given":"Magdalena Opazo","non-dropping-particle":"","parse-names":false,"suffix":""},{"dropping-particle":"","family":"Britton","given":"John","non-dropping-particle":"","parse-names":false,"suffix":""},{"dropping-particle":"","family":"Cranwell","given":"Jo","non-dropping-particle":"","parse-names":false,"suffix":""},{"dropping-particle":"","family":"Grant-braham","given":"Bruce","non-dropping-particle":"","parse-names":false,"suffix":""}],"container-title":"BMC Public Healthb","id":"ITEM-1","issue":"553","issued":{"date-parts":[["2018"]]},"page":"1-9","publisher":"BMC Public Health","title":"Carlsberg alibi marketing in the UEFA euro 2016 football finals : implications of Probably inappropriate alcohol advertising","type":"webpage","volume":"18"},"uris":["http://www.mendeley.com/documents/?uuid=f0f9849c-a397-47f6-b592-4878714de093"]},{"id":"ITEM-2","itemData":{"DOI":"10.1016/j.drugpo.2025.105108","ISSN":"0955-3959","author":[{"dropping-particle":"","family":"Purves","given":"Richard I","non-dropping-particle":"","parse-names":false,"suffix":""},{"dropping-particle":"","family":"Martin","given":"Jack G","non-dropping-particle":"","parse-names":false,"suffix":""},{"dropping-particle":"","family":"Teodorowski","given":"Piotr","non-dropping-particle":"","parse-names":false,"suffix":""},{"dropping-particle":"","family":"Brown","given":"Olivia","non-dropping-particle":"","parse-names":false,"suffix":""}],"container-title":"International Journal of Drug Policy","id":"ITEM-2","issue":"December 2025","issued":{"date-parts":[["2026"]]},"page":"105108","publisher":"Elsevier B.V.","title":"“I just saw the alcohol brand, I never really thought of the zeros”: Young people’s views of NoLo and alibi alcohol sponsorship","type":"article-journal","volume":"148"},"uris":["http://www.mendeley.com/documents/?uuid=1d22d72a-dea9-487b-a168-e26f85269bd4"]}],"mendeley":{"formattedCitation":"(Murray &lt;i&gt;et al.&lt;/i&gt;, 2018; Purves &lt;i&gt;et al.&lt;/i&gt;, 2026)","plainTextFormattedCitation":"(Murray et al., 2018; Purves et al., 2026)","previouslyFormattedCitation":"(Murray &lt;i&gt;et al.&lt;/i&gt;, 2018; Purves &lt;i&gt;et al.&lt;/i&gt;, 2026)"},"properties":{"noteIndex":0},"schema":"https://github.com/citation-style-language/schema/raw/master/csl-citation.json"}</w:instrText>
      </w:r>
      <w:r w:rsidRPr="002F036A" w:rsidR="00E32D85">
        <w:rPr>
          <w:rFonts w:ascii="Verdana" w:hAnsi="Verdana" w:cs="Segoe UI"/>
          <w:sz w:val="22"/>
          <w:szCs w:val="22"/>
        </w:rPr>
        <w:fldChar w:fldCharType="separate"/>
      </w:r>
      <w:r w:rsidRPr="002F036A" w:rsidR="00E32D85">
        <w:rPr>
          <w:rFonts w:ascii="Verdana" w:hAnsi="Verdana" w:cs="Segoe UI"/>
          <w:noProof/>
          <w:sz w:val="22"/>
          <w:szCs w:val="22"/>
        </w:rPr>
        <w:t xml:space="preserve">(Murray </w:t>
      </w:r>
      <w:r w:rsidRPr="002F036A" w:rsidR="00E32D85">
        <w:rPr>
          <w:rFonts w:ascii="Verdana" w:hAnsi="Verdana" w:cs="Segoe UI"/>
          <w:i/>
          <w:noProof/>
          <w:sz w:val="22"/>
          <w:szCs w:val="22"/>
        </w:rPr>
        <w:t>et al.</w:t>
      </w:r>
      <w:r w:rsidRPr="002F036A" w:rsidR="00E32D85">
        <w:rPr>
          <w:rFonts w:ascii="Verdana" w:hAnsi="Verdana" w:cs="Segoe UI"/>
          <w:noProof/>
          <w:sz w:val="22"/>
          <w:szCs w:val="22"/>
        </w:rPr>
        <w:t xml:space="preserve">, 2018; Purves </w:t>
      </w:r>
      <w:r w:rsidRPr="002F036A" w:rsidR="00E32D85">
        <w:rPr>
          <w:rFonts w:ascii="Verdana" w:hAnsi="Verdana" w:cs="Segoe UI"/>
          <w:i/>
          <w:noProof/>
          <w:sz w:val="22"/>
          <w:szCs w:val="22"/>
        </w:rPr>
        <w:t>et al.</w:t>
      </w:r>
      <w:r w:rsidRPr="002F036A" w:rsidR="00E32D85">
        <w:rPr>
          <w:rFonts w:ascii="Verdana" w:hAnsi="Verdana" w:cs="Segoe UI"/>
          <w:noProof/>
          <w:sz w:val="22"/>
          <w:szCs w:val="22"/>
        </w:rPr>
        <w:t>, 2026)</w:t>
      </w:r>
      <w:r w:rsidRPr="002F036A" w:rsidR="00E32D85">
        <w:rPr>
          <w:rFonts w:ascii="Verdana" w:hAnsi="Verdana" w:cs="Segoe UI"/>
          <w:sz w:val="22"/>
          <w:szCs w:val="22"/>
        </w:rPr>
        <w:fldChar w:fldCharType="end"/>
      </w:r>
      <w:r w:rsidRPr="002F036A" w:rsidR="008F735B">
        <w:rPr>
          <w:rFonts w:ascii="Verdana" w:hAnsi="Verdana" w:cs="Segoe UI"/>
          <w:sz w:val="22"/>
          <w:szCs w:val="22"/>
        </w:rPr>
        <w:t>.</w:t>
      </w:r>
    </w:p>
    <w:p w:rsidR="008D2F6C" w:rsidRPr="002F036A" w:rsidP="002F036A">
      <w:pPr>
        <w:spacing w:line="276" w:lineRule="auto"/>
        <w:rPr>
          <w:rFonts w:ascii="Verdana" w:hAnsi="Verdana" w:cs="Segoe UI"/>
          <w:sz w:val="22"/>
          <w:szCs w:val="22"/>
        </w:rPr>
      </w:pPr>
    </w:p>
    <w:p w:rsidR="00E759B6" w:rsidRPr="002F036A" w:rsidP="002F036A">
      <w:pPr>
        <w:pStyle w:val="ListParagraph"/>
        <w:numPr>
          <w:ilvl w:val="0"/>
          <w:numId w:val="15"/>
        </w:numPr>
        <w:spacing w:line="276" w:lineRule="auto"/>
        <w:contextualSpacing w:val="0"/>
        <w:rPr>
          <w:rFonts w:ascii="Verdana" w:hAnsi="Verdana" w:cs="Segoe UI"/>
          <w:sz w:val="22"/>
          <w:szCs w:val="22"/>
        </w:rPr>
      </w:pPr>
      <w:r w:rsidRPr="002F036A">
        <w:rPr>
          <w:rFonts w:ascii="Verdana" w:hAnsi="Verdana" w:cs="Segoe UI"/>
          <w:sz w:val="22"/>
          <w:szCs w:val="22"/>
        </w:rPr>
        <w:t>Prohibiting ‘bet to view’ inducements, as recommended by the former committee;</w:t>
      </w:r>
      <w:r>
        <w:rPr>
          <w:rStyle w:val="FootnoteReference"/>
          <w:rFonts w:ascii="Verdana" w:hAnsi="Verdana" w:cs="Segoe UI"/>
          <w:sz w:val="22"/>
          <w:szCs w:val="22"/>
        </w:rPr>
        <w:footnoteReference w:id="5"/>
      </w:r>
      <w:r w:rsidRPr="002F036A">
        <w:rPr>
          <w:rFonts w:ascii="Verdana" w:hAnsi="Verdana" w:cs="Segoe UI"/>
          <w:sz w:val="22"/>
          <w:szCs w:val="22"/>
        </w:rPr>
        <w:t xml:space="preserve"> and,</w:t>
      </w:r>
    </w:p>
    <w:p w:rsidR="00047B14" w:rsidRPr="002F036A" w:rsidP="002F036A">
      <w:pPr>
        <w:pStyle w:val="isselectedend"/>
        <w:spacing w:after="120" w:afterAutospacing="0" w:line="278" w:lineRule="auto"/>
        <w:rPr>
          <w:rFonts w:ascii="Verdana" w:hAnsi="Verdana" w:cs="Segoe UI"/>
          <w:sz w:val="22"/>
          <w:szCs w:val="22"/>
          <w:lang w:val="en-GB"/>
        </w:rPr>
      </w:pPr>
      <w:r w:rsidRPr="002F036A">
        <w:rPr>
          <w:rFonts w:ascii="Verdana" w:hAnsi="Verdana" w:cs="Segoe UI"/>
          <w:b/>
          <w:bCs/>
          <w:sz w:val="22"/>
          <w:szCs w:val="22"/>
          <w:lang w:val="en-GB"/>
        </w:rPr>
        <w:t>Response:</w:t>
      </w:r>
      <w:r w:rsidRPr="002F036A">
        <w:rPr>
          <w:rFonts w:ascii="Verdana" w:hAnsi="Verdana" w:cs="Segoe UI"/>
          <w:sz w:val="22"/>
          <w:szCs w:val="22"/>
          <w:lang w:val="en-GB"/>
        </w:rPr>
        <w:t xml:space="preserve"> </w:t>
      </w:r>
      <w:r w:rsidRPr="002F036A" w:rsidR="00E759B6">
        <w:rPr>
          <w:rFonts w:ascii="Verdana" w:hAnsi="Verdana" w:cs="Segoe UI"/>
          <w:sz w:val="22"/>
          <w:szCs w:val="22"/>
          <w:lang w:val="en-GB"/>
        </w:rPr>
        <w:t xml:space="preserve">To our knowledge, there is no direct evaluation of ‘bet to view’ models specifically. The principal benefit </w:t>
      </w:r>
      <w:r w:rsidRPr="002F036A">
        <w:rPr>
          <w:rFonts w:ascii="Verdana" w:hAnsi="Verdana" w:cs="Segoe UI"/>
          <w:sz w:val="22"/>
          <w:szCs w:val="22"/>
          <w:lang w:val="en-GB"/>
        </w:rPr>
        <w:t>of prohibiting th</w:t>
      </w:r>
      <w:r w:rsidRPr="002F036A" w:rsidR="00712DCB">
        <w:rPr>
          <w:rFonts w:ascii="Verdana" w:hAnsi="Verdana" w:cs="Segoe UI"/>
          <w:sz w:val="22"/>
          <w:szCs w:val="22"/>
          <w:lang w:val="en-GB"/>
        </w:rPr>
        <w:t>is model</w:t>
      </w:r>
      <w:r w:rsidRPr="002F036A">
        <w:rPr>
          <w:rFonts w:ascii="Verdana" w:hAnsi="Verdana" w:cs="Segoe UI"/>
          <w:sz w:val="22"/>
          <w:szCs w:val="22"/>
          <w:lang w:val="en-GB"/>
        </w:rPr>
        <w:t xml:space="preserve"> </w:t>
      </w:r>
      <w:r w:rsidRPr="002F036A" w:rsidR="00E759B6">
        <w:rPr>
          <w:rFonts w:ascii="Verdana" w:hAnsi="Verdana" w:cs="Segoe UI"/>
          <w:sz w:val="22"/>
          <w:szCs w:val="22"/>
          <w:lang w:val="en-GB"/>
        </w:rPr>
        <w:t>would be to prevent access to sports content from being made conditional on gambling, thereby removing a mechanism through which viewers may be steered from an interest in sport into a gambling environment.</w:t>
      </w:r>
    </w:p>
    <w:p w:rsidR="00047B14" w:rsidRPr="002F036A" w:rsidP="002F036A">
      <w:pPr>
        <w:pStyle w:val="isselectedend"/>
        <w:spacing w:after="120" w:afterAutospacing="0" w:line="278" w:lineRule="auto"/>
        <w:rPr>
          <w:rFonts w:ascii="Verdana" w:hAnsi="Verdana" w:cs="Segoe UI"/>
          <w:sz w:val="22"/>
          <w:szCs w:val="22"/>
          <w:lang w:val="en-GB"/>
        </w:rPr>
      </w:pPr>
      <w:r w:rsidRPr="002F036A">
        <w:rPr>
          <w:rFonts w:ascii="Verdana" w:hAnsi="Verdana" w:cs="Segoe UI"/>
          <w:sz w:val="22"/>
          <w:szCs w:val="22"/>
          <w:lang w:val="en-GB"/>
        </w:rPr>
        <w:t>L</w:t>
      </w:r>
      <w:r w:rsidRPr="002F036A" w:rsidR="00E759B6">
        <w:rPr>
          <w:rFonts w:ascii="Verdana" w:hAnsi="Verdana" w:cs="Segoe UI"/>
          <w:sz w:val="22"/>
          <w:szCs w:val="22"/>
          <w:lang w:val="en-GB"/>
        </w:rPr>
        <w:t xml:space="preserve">ive streaming can significantly expand the role of betting operators as providers of sports content. Streaming allows betting platforms to offer access not only to major televised events, but also to international, lower-profile or late-night events that may otherwise be difficult to view </w:t>
      </w:r>
      <w:r w:rsidRPr="002F036A" w:rsidR="00E759B6">
        <w:rPr>
          <w:rFonts w:ascii="Verdana" w:hAnsi="Verdana" w:cs="Segoe UI"/>
          <w:sz w:val="22"/>
          <w:szCs w:val="22"/>
          <w:lang w:val="en-GB"/>
        </w:rPr>
        <w:fldChar w:fldCharType="begin" w:fldLock="1"/>
      </w:r>
      <w:r w:rsidRPr="002F036A" w:rsidR="00E759B6">
        <w:rPr>
          <w:rFonts w:ascii="Verdana" w:hAnsi="Verdana" w:cs="Segoe UI"/>
          <w:sz w:val="22"/>
          <w:szCs w:val="22"/>
          <w:lang w:val="en-GB"/>
        </w:rPr>
        <w:instrText>ADDIN CSL_CITATION {"citationItems":[{"id":"ITEM-1","itemData":{"author":[{"dropping-particle":"","family":"Parke","given":"Adrian","non-dropping-particle":"","parse-names":false,"suffix":""},{"dropping-particle":"","family":"Parke","given":"Jonathan","non-dropping-particle":"","parse-names":false,"suffix":""}],"container-title":"International Journal of Mental Health and Addiciton","id":"ITEM-1","issued":{"date-parts":[["2019"]]},"page":"1340-1359","publisher":"International Journal of Mental Health and Addiction","title":"Transformation of Sports Betting into a Rapid and Continuous Gambling Activity : a Grounded Theoretical Investigation of Problem Sports Betting in Online Settings","type":"article-journal","volume":"17"},"uris":["http://www.mendeley.com/documents/?uuid=354c8829-aff6-4867-913d-9ce77b4096e8"]}],"mendeley":{"formattedCitation":"(Parke and Parke, 2019)","plainTextFormattedCitation":"(Parke and Parke, 2019)","previouslyFormattedCitation":"(Parke and Parke, 2019)"},"properties":{"noteIndex":0},"schema":"https://github.com/citation-style-language/schema/raw/master/csl-citation.json"}</w:instrText>
      </w:r>
      <w:r w:rsidRPr="002F036A" w:rsidR="00E759B6">
        <w:rPr>
          <w:rFonts w:ascii="Verdana" w:hAnsi="Verdana" w:cs="Segoe UI"/>
          <w:sz w:val="22"/>
          <w:szCs w:val="22"/>
          <w:lang w:val="en-GB"/>
        </w:rPr>
        <w:fldChar w:fldCharType="separate"/>
      </w:r>
      <w:r w:rsidRPr="002F036A" w:rsidR="00E759B6">
        <w:rPr>
          <w:rFonts w:ascii="Verdana" w:hAnsi="Verdana" w:cs="Segoe UI"/>
          <w:noProof/>
          <w:sz w:val="22"/>
          <w:szCs w:val="22"/>
          <w:lang w:val="en-GB"/>
        </w:rPr>
        <w:t>(Parke and Parke, 2019)</w:t>
      </w:r>
      <w:r w:rsidRPr="002F036A" w:rsidR="00E759B6">
        <w:rPr>
          <w:rFonts w:ascii="Verdana" w:hAnsi="Verdana" w:cs="Segoe UI"/>
          <w:sz w:val="22"/>
          <w:szCs w:val="22"/>
          <w:lang w:val="en-GB"/>
        </w:rPr>
        <w:fldChar w:fldCharType="end"/>
      </w:r>
      <w:r w:rsidRPr="002F036A" w:rsidR="00E759B6">
        <w:rPr>
          <w:rFonts w:ascii="Verdana" w:hAnsi="Verdana" w:cs="Segoe UI"/>
          <w:sz w:val="22"/>
          <w:szCs w:val="22"/>
          <w:lang w:val="en-GB"/>
        </w:rPr>
        <w:t>. Even where access does not formally require placing a bet, the viewer is brought into an operator-controlled environment where betting markets, account prompts and inducements can be presented alongside the content.</w:t>
      </w:r>
    </w:p>
    <w:p w:rsidR="00B40B20" w:rsidRPr="002F036A" w:rsidP="002F036A">
      <w:pPr>
        <w:pStyle w:val="isselectedend"/>
        <w:spacing w:after="160" w:afterAutospacing="0" w:line="278" w:lineRule="auto"/>
        <w:rPr>
          <w:rFonts w:ascii="Verdana" w:hAnsi="Verdana" w:cs="Segoe UI"/>
          <w:sz w:val="22"/>
          <w:szCs w:val="22"/>
          <w:lang w:val="en-GB"/>
        </w:rPr>
      </w:pPr>
      <w:r w:rsidRPr="002F036A">
        <w:rPr>
          <w:rFonts w:ascii="Verdana" w:hAnsi="Verdana" w:cs="Segoe UI"/>
          <w:sz w:val="22"/>
          <w:szCs w:val="22"/>
          <w:lang w:val="en-GB"/>
        </w:rPr>
        <w:t xml:space="preserve">The restriction would simply prevent gambling participation from becoming the price of access to viewing. However, to be effective, the prohibition would need to be drawn functionally, so that operators could not reproduce the same effect through registration-only streaming, bonus-linked access, account-credit requirements or other mechanisms that </w:t>
      </w:r>
      <w:r w:rsidRPr="002F036A">
        <w:rPr>
          <w:rFonts w:ascii="Verdana" w:hAnsi="Verdana" w:cs="Segoe UI"/>
          <w:sz w:val="22"/>
          <w:szCs w:val="22"/>
          <w:lang w:val="en-GB"/>
        </w:rPr>
        <w:t>make sports</w:t>
      </w:r>
      <w:r w:rsidRPr="002F036A">
        <w:rPr>
          <w:rFonts w:ascii="Verdana" w:hAnsi="Verdana" w:cs="Segoe UI"/>
          <w:sz w:val="22"/>
          <w:szCs w:val="22"/>
          <w:lang w:val="en-GB"/>
        </w:rPr>
        <w:t xml:space="preserve"> viewing a pathway into gambling.</w:t>
      </w:r>
    </w:p>
    <w:p w:rsidR="008D2F6C" w:rsidRPr="002F036A" w:rsidP="002F036A">
      <w:pPr>
        <w:pStyle w:val="isselectedend"/>
        <w:spacing w:after="160" w:afterAutospacing="0" w:line="278" w:lineRule="auto"/>
        <w:rPr>
          <w:rFonts w:ascii="Verdana" w:hAnsi="Verdana" w:cs="Segoe UI"/>
          <w:sz w:val="22"/>
          <w:szCs w:val="22"/>
          <w:lang w:val="en-GB"/>
        </w:rPr>
      </w:pPr>
    </w:p>
    <w:p w:rsidR="00B40B20" w:rsidRPr="002F036A" w:rsidP="002F036A">
      <w:pPr>
        <w:pStyle w:val="ListParagraph"/>
        <w:numPr>
          <w:ilvl w:val="0"/>
          <w:numId w:val="15"/>
        </w:numPr>
        <w:spacing w:line="276" w:lineRule="auto"/>
        <w:contextualSpacing w:val="0"/>
        <w:rPr>
          <w:rFonts w:ascii="Verdana" w:hAnsi="Verdana" w:cs="Segoe UI"/>
          <w:sz w:val="22"/>
          <w:szCs w:val="22"/>
        </w:rPr>
      </w:pPr>
      <w:r w:rsidRPr="002F036A">
        <w:rPr>
          <w:rFonts w:ascii="Verdana" w:hAnsi="Verdana" w:cs="Segoe UI"/>
          <w:sz w:val="22"/>
          <w:szCs w:val="22"/>
        </w:rPr>
        <w:t>Introducing a mandatory element to the current voluntary restriction on broadcast adverts by gambling operators during live sports coverage?</w:t>
      </w:r>
    </w:p>
    <w:p w:rsidR="00E759B6" w:rsidRPr="002F036A" w:rsidP="002F036A">
      <w:pPr>
        <w:pStyle w:val="ListParagraph"/>
        <w:spacing w:line="276" w:lineRule="auto"/>
        <w:ind w:left="0"/>
        <w:contextualSpacing w:val="0"/>
        <w:rPr>
          <w:rFonts w:ascii="Verdana" w:eastAsia="Gill Sans MT" w:hAnsi="Verdana" w:cs="Segoe UI"/>
          <w:sz w:val="22"/>
          <w:szCs w:val="22"/>
        </w:rPr>
      </w:pPr>
      <w:r w:rsidRPr="002F036A">
        <w:rPr>
          <w:rFonts w:ascii="Verdana" w:eastAsia="Gill Sans MT" w:hAnsi="Verdana" w:cs="Segoe UI"/>
          <w:b/>
          <w:bCs/>
          <w:sz w:val="22"/>
          <w:szCs w:val="22"/>
        </w:rPr>
        <w:t>Response:</w:t>
      </w:r>
      <w:r w:rsidRPr="002F036A">
        <w:rPr>
          <w:rFonts w:ascii="Verdana" w:eastAsia="Gill Sans MT" w:hAnsi="Verdana" w:cs="Segoe UI"/>
          <w:sz w:val="22"/>
          <w:szCs w:val="22"/>
        </w:rPr>
        <w:t xml:space="preserve"> </w:t>
      </w:r>
      <w:r w:rsidRPr="002F036A">
        <w:rPr>
          <w:rFonts w:ascii="Verdana" w:eastAsia="Gill Sans MT" w:hAnsi="Verdana" w:cs="Segoe UI"/>
          <w:sz w:val="22"/>
          <w:szCs w:val="22"/>
        </w:rPr>
        <w:t xml:space="preserve">Evidence and policy recommendations from other research areas suggest that partial advertising restrictions may be less effective than comprehensive statutory approaches </w:t>
      </w:r>
      <w:r w:rsidRPr="002F036A">
        <w:rPr>
          <w:rFonts w:ascii="Verdana" w:eastAsia="Gill Sans MT" w:hAnsi="Verdana" w:cs="Segoe UI"/>
          <w:sz w:val="22"/>
          <w:szCs w:val="22"/>
        </w:rPr>
        <w:fldChar w:fldCharType="begin" w:fldLock="1"/>
      </w:r>
      <w:r w:rsidRPr="002F036A">
        <w:rPr>
          <w:rFonts w:ascii="Verdana" w:eastAsia="Gill Sans MT" w:hAnsi="Verdana" w:cs="Segoe UI"/>
          <w:sz w:val="22"/>
          <w:szCs w:val="22"/>
        </w:rPr>
        <w:instrText>ADDIN CSL_CITATION {"citationItems":[{"id":"ITEM-1","itemData":{"author":[{"dropping-particle":"","family":"Saffer","given":"Henry","non-dropping-particle":"","parse-names":false,"suffix":""},{"dropping-particle":"","family":"Chaloupka","given":"Frank","non-dropping-particle":"","parse-names":false,"suffix":""}],"container-title":"Journal of Health Economics","id":"ITEM-1","issued":{"date-parts":[["2000"]]},"page":"1117-1137","title":"The effect of tobacco advertising bans on tobacco consumption","type":"article-journal","volume":"19"},"uris":["http://www.mendeley.com/documents/?uuid=c535024b-2516-4b59-9a63-75e391016c1d"]},{"id":"ITEM-2","itemData":{"DOI":"10.1136/tc.2005.013110","author":[{"dropping-particle":"","family":"Harris","given":"F","non-dropping-particle":"","parse-names":false,"suffix":""},{"dropping-particle":"","family":"Mackintosh","given":"A M","non-dropping-particle":"","parse-names":false,"suffix":""},{"dropping-particle":"","family":"Anderson","given":"S","non-dropping-particle":"","parse-names":false,"suffix":""},{"dropping-particle":"","family":"Hastings","given":"G","non-dropping-particle":"","parse-names":false,"suffix":""},{"dropping-particle":"","family":"Borland","given":"R","non-dropping-particle":"","parse-names":false,"suffix":""},{"dropping-particle":"","family":"Fong","given":"G T","non-dropping-particle":"","parse-names":false,"suffix":""},{"dropping-particle":"","family":"Hammond","given":"D","non-dropping-particle":"","parse-names":false,"suffix":""},{"dropping-particle":"","family":"Hastings","given":"Gerard","non-dropping-particle":"","parse-names":false,"suffix":""}],"container-title":"Tobacco Control","id":"ITEM-2","issued":{"date-parts":[["2006"]]},"page":"iii26–iii33","title":"Effects of the 2003 advertising/promotion ban in the United Kingdom on awareness of tobacco marketing: findings from the International Tobacco Control (ITC) Four Country Survey","type":"article-journal","volume":"Suppl III"},"uris":["http://www.mendeley.com/documents/?uuid=734380bf-9d1e-4880-9c56-219e3411c6d8"]},{"id":"ITEM-3","itemData":{"author":[{"dropping-particle":"","family":"World Health Organization","given":"","non-dropping-particle":"","parse-names":false,"suffix":""}],"id":"ITEM-3","issued":{"date-parts":[["2003"]]},"publisher-place":"Geneva","title":"WHO Framework Convention on Tobacco Control","type":"report"},"uris":["http://www.mendeley.com/documents/?uuid=8200027b-d364-41a2-b0e8-5454963e5bb6"]},{"id":"ITEM-4","itemData":{"ISBN":"9789241516419","author":[{"dropping-particle":"","family":"World Health Organization","given":"","non-dropping-particle":"","parse-names":false,"suffix":""}],"id":"ITEM-4","issued":{"date-parts":[["2019"]]},"publisher-place":"Geneva","title":"The technical package SAFER: A World Free From Alcohol Related Harms. Five areas of intervention at national and subnational levels","type":"report"},"uris":["http://www.mendeley.com/documents/?uuid=25ed2a00-f9cd-46bc-8b7a-3b8b58151c4b"]}],"mendeley":{"formattedCitation":"(Saffer and Chaloupka, 2000; World Health Organization, 2003, 2019; Harris &lt;i&gt;et al.&lt;/i&gt;, 2006)","plainTextFormattedCitation":"(Saffer and Chaloupka, 2000; World Health Organization, 2003, 2019; Harris et al., 2006)","previouslyFormattedCitation":"(Saffer and Chaloupka, 2000; World Health Organization, 2003, 2019; Harris &lt;i&gt;et al.&lt;/i&gt;, 2006)"},"properties":{"noteIndex":0},"schema":"https://github.com/citation-style-language/schema/raw/master/csl-citation.json"}</w:instrText>
      </w:r>
      <w:r w:rsidRPr="002F036A">
        <w:rPr>
          <w:rFonts w:ascii="Verdana" w:eastAsia="Gill Sans MT" w:hAnsi="Verdana" w:cs="Segoe UI"/>
          <w:sz w:val="22"/>
          <w:szCs w:val="22"/>
        </w:rPr>
        <w:fldChar w:fldCharType="separate"/>
      </w:r>
      <w:r w:rsidRPr="002F036A">
        <w:rPr>
          <w:rFonts w:ascii="Verdana" w:eastAsia="Gill Sans MT" w:hAnsi="Verdana" w:cs="Segoe UI"/>
          <w:noProof/>
          <w:sz w:val="22"/>
          <w:szCs w:val="22"/>
        </w:rPr>
        <w:t xml:space="preserve">(Saffer and Chaloupka, 2000; World Health Organization, 2003, 2019; Harris </w:t>
      </w:r>
      <w:r w:rsidRPr="002F036A">
        <w:rPr>
          <w:rFonts w:ascii="Verdana" w:eastAsia="Gill Sans MT" w:hAnsi="Verdana" w:cs="Segoe UI"/>
          <w:i/>
          <w:noProof/>
          <w:sz w:val="22"/>
          <w:szCs w:val="22"/>
        </w:rPr>
        <w:t>et al.</w:t>
      </w:r>
      <w:r w:rsidRPr="002F036A">
        <w:rPr>
          <w:rFonts w:ascii="Verdana" w:eastAsia="Gill Sans MT" w:hAnsi="Verdana" w:cs="Segoe UI"/>
          <w:noProof/>
          <w:sz w:val="22"/>
          <w:szCs w:val="22"/>
        </w:rPr>
        <w:t>, 2006)</w:t>
      </w:r>
      <w:r w:rsidRPr="002F036A">
        <w:rPr>
          <w:rFonts w:ascii="Verdana" w:eastAsia="Gill Sans MT" w:hAnsi="Verdana" w:cs="Segoe UI"/>
          <w:sz w:val="22"/>
          <w:szCs w:val="22"/>
        </w:rPr>
        <w:fldChar w:fldCharType="end"/>
      </w:r>
      <w:r w:rsidRPr="002F036A">
        <w:rPr>
          <w:rFonts w:ascii="Verdana" w:eastAsia="Gill Sans MT" w:hAnsi="Verdana" w:cs="Segoe UI"/>
          <w:sz w:val="22"/>
          <w:szCs w:val="22"/>
        </w:rPr>
        <w:t xml:space="preserve">. In Great Britain, current self-regulatory rules allow carve-outs in broadcast restrictions for live sports, making them the only daytime television programmes permitted to carry gambling advertisements. Research referenced above indicates that gambling advertising remains prevalent in and around these broadcasts. In addition, video-on-demand services face no equivalent scheduling restrictions, with current safeguards relying mainly on content and targeting rules to limit children’s exposure </w:t>
      </w:r>
      <w:r w:rsidRPr="002F036A">
        <w:rPr>
          <w:rFonts w:ascii="Verdana" w:eastAsia="Gill Sans MT" w:hAnsi="Verdana" w:cs="Segoe UI"/>
          <w:sz w:val="22"/>
          <w:szCs w:val="22"/>
        </w:rPr>
        <w:fldChar w:fldCharType="begin" w:fldLock="1"/>
      </w:r>
      <w:r w:rsidRPr="002F036A">
        <w:rPr>
          <w:rFonts w:ascii="Verdana" w:eastAsia="Gill Sans MT" w:hAnsi="Verdana" w:cs="Segoe UI"/>
          <w:sz w:val="22"/>
          <w:szCs w:val="22"/>
        </w:rPr>
        <w:instrText>ADDIN CSL_CITATION {"citationItems":[{"id":"ITEM-1","itemData":{"author":[{"dropping-particle":"","family":"Committee of Advertising Practice","given":"","non-dropping-particle":"","parse-names":false,"suffix":""}],"id":"ITEM-1","issued":{"date-parts":[["2012"]]},"publisher-place":"London","title":"Advertising in video-on-demand services: Advertising guidnace (non-broadcast)","type":"report"},"uris":["http://www.mendeley.com/documents/?uuid=93539c68-5668-4a9d-a92d-0cc4a463668d"]}],"mendeley":{"formattedCitation":"(Committee of Advertising Practice, 2012)","plainTextFormattedCitation":"(Committee of Advertising Practice, 2012)","previouslyFormattedCitation":"(Committee of Advertising Practice, 2012)"},"properties":{"noteIndex":0},"schema":"https://github.com/citation-style-language/schema/raw/master/csl-citation.json"}</w:instrText>
      </w:r>
      <w:r w:rsidRPr="002F036A">
        <w:rPr>
          <w:rFonts w:ascii="Verdana" w:eastAsia="Gill Sans MT" w:hAnsi="Verdana" w:cs="Segoe UI"/>
          <w:sz w:val="22"/>
          <w:szCs w:val="22"/>
        </w:rPr>
        <w:fldChar w:fldCharType="separate"/>
      </w:r>
      <w:r w:rsidRPr="002F036A">
        <w:rPr>
          <w:rFonts w:ascii="Verdana" w:eastAsia="Gill Sans MT" w:hAnsi="Verdana" w:cs="Segoe UI"/>
          <w:noProof/>
          <w:sz w:val="22"/>
          <w:szCs w:val="22"/>
        </w:rPr>
        <w:t>(Committee of Advertising Practice, 2012)</w:t>
      </w:r>
      <w:r w:rsidRPr="002F036A">
        <w:rPr>
          <w:rFonts w:ascii="Verdana" w:eastAsia="Gill Sans MT" w:hAnsi="Verdana" w:cs="Segoe UI"/>
          <w:sz w:val="22"/>
          <w:szCs w:val="22"/>
        </w:rPr>
        <w:fldChar w:fldCharType="end"/>
      </w:r>
      <w:r w:rsidRPr="002F036A">
        <w:rPr>
          <w:rFonts w:ascii="Verdana" w:eastAsia="Gill Sans MT" w:hAnsi="Verdana" w:cs="Segoe UI"/>
          <w:sz w:val="22"/>
          <w:szCs w:val="22"/>
        </w:rPr>
        <w:t xml:space="preserve">. This differs from the approach taken for “less healthy food and drink” advertising, which is subject to a 5:30 am to 9:00 pm watershed on linear and on-demand television, and a 24-hour ban on non-Ofcom-regulated platforms </w:t>
      </w:r>
      <w:r w:rsidRPr="002F036A">
        <w:rPr>
          <w:rFonts w:ascii="Verdana" w:eastAsia="Gill Sans MT" w:hAnsi="Verdana" w:cs="Segoe UI"/>
          <w:sz w:val="22"/>
          <w:szCs w:val="22"/>
        </w:rPr>
        <w:fldChar w:fldCharType="begin" w:fldLock="1"/>
      </w:r>
      <w:r w:rsidRPr="002F036A">
        <w:rPr>
          <w:rFonts w:ascii="Verdana" w:eastAsia="Gill Sans MT" w:hAnsi="Verdana" w:cs="Segoe UI"/>
          <w:sz w:val="22"/>
          <w:szCs w:val="22"/>
        </w:rPr>
        <w:instrText>ADDIN CSL_CITATION {"citationItems":[{"id":"ITEM-1","itemData":{"author":[{"dropping-particle":"","family":"Department of Health &amp; Social Care","given":"","non-dropping-particle":"","parse-names":false,"suffix":""}],"id":"ITEM-1","issued":{"date-parts":[["2025"]]},"publisher-place":"London","title":"Restricting advertising of less healthy food or drink on TV and online: products in scope","type":"report"},"uris":["http://www.mendeley.com/documents/?uuid=54d3a38b-c171-4f8e-8a5e-051b9e4432e5"]}],"mendeley":{"formattedCitation":"(Department of Health &amp; Social Care, 2025)","plainTextFormattedCitation":"(Department of Health &amp; Social Care, 2025)","previouslyFormattedCitation":"(Department of Health &amp; Social Care, 2025)"},"properties":{"noteIndex":0},"schema":"https://github.com/citation-style-language/schema/raw/master/csl-citation.json"}</w:instrText>
      </w:r>
      <w:r w:rsidRPr="002F036A">
        <w:rPr>
          <w:rFonts w:ascii="Verdana" w:eastAsia="Gill Sans MT" w:hAnsi="Verdana" w:cs="Segoe UI"/>
          <w:sz w:val="22"/>
          <w:szCs w:val="22"/>
        </w:rPr>
        <w:fldChar w:fldCharType="separate"/>
      </w:r>
      <w:r w:rsidRPr="002F036A">
        <w:rPr>
          <w:rFonts w:ascii="Verdana" w:eastAsia="Gill Sans MT" w:hAnsi="Verdana" w:cs="Segoe UI"/>
          <w:noProof/>
          <w:sz w:val="22"/>
          <w:szCs w:val="22"/>
        </w:rPr>
        <w:t>(Department of Health &amp; Social Care, 2025)</w:t>
      </w:r>
      <w:r w:rsidRPr="002F036A">
        <w:rPr>
          <w:rFonts w:ascii="Verdana" w:eastAsia="Gill Sans MT" w:hAnsi="Verdana" w:cs="Segoe UI"/>
          <w:sz w:val="22"/>
          <w:szCs w:val="22"/>
        </w:rPr>
        <w:fldChar w:fldCharType="end"/>
      </w:r>
      <w:r w:rsidRPr="002F036A">
        <w:rPr>
          <w:rFonts w:ascii="Verdana" w:eastAsia="Gill Sans MT" w:hAnsi="Verdana" w:cs="Segoe UI"/>
          <w:sz w:val="22"/>
          <w:szCs w:val="22"/>
        </w:rPr>
        <w:t xml:space="preserve">. A similar mandatory, time-based framework for gambling advertising could provide a more consistent and effective regulatory approach for gambling advertising. The disadvantages of applying such rules in isolation are that they only apply to one type of advertising (linear or on-demand television). </w:t>
      </w:r>
      <w:r w:rsidRPr="002F036A">
        <w:rPr>
          <w:rFonts w:ascii="Verdana" w:hAnsi="Verdana" w:cs="Segoe UI"/>
          <w:sz w:val="22"/>
          <w:szCs w:val="22"/>
        </w:rPr>
        <w:t xml:space="preserve">A mandatory restriction on broadcast advertising </w:t>
      </w:r>
      <w:r w:rsidRPr="002F036A" w:rsidR="007D5C94">
        <w:rPr>
          <w:rFonts w:ascii="Verdana" w:hAnsi="Verdana" w:cs="Segoe UI"/>
          <w:sz w:val="22"/>
          <w:szCs w:val="22"/>
        </w:rPr>
        <w:t>would likely</w:t>
      </w:r>
      <w:r w:rsidRPr="002F036A">
        <w:rPr>
          <w:rFonts w:ascii="Verdana" w:hAnsi="Verdana" w:cs="Segoe UI"/>
          <w:sz w:val="22"/>
          <w:szCs w:val="22"/>
        </w:rPr>
        <w:t xml:space="preserve"> need to sit within a broader statutory framework covering the full range of gambling marketing associated with sport.</w:t>
      </w:r>
    </w:p>
    <w:p w:rsidR="00E759B6" w:rsidRPr="002F036A" w:rsidP="002F036A">
      <w:pPr>
        <w:pStyle w:val="ListParagraph"/>
        <w:spacing w:line="276" w:lineRule="auto"/>
        <w:ind w:left="1440"/>
        <w:contextualSpacing w:val="0"/>
        <w:rPr>
          <w:rFonts w:ascii="Verdana" w:hAnsi="Verdana" w:cs="Segoe UI"/>
          <w:sz w:val="22"/>
          <w:szCs w:val="22"/>
        </w:rPr>
      </w:pPr>
    </w:p>
    <w:p w:rsidR="008D2F6C" w:rsidRPr="002F036A" w:rsidP="002F036A">
      <w:pPr>
        <w:rPr>
          <w:rFonts w:ascii="Verdana" w:hAnsi="Verdana" w:cs="Segoe UI"/>
          <w:b/>
          <w:bCs/>
          <w:i/>
          <w:iCs/>
          <w:sz w:val="22"/>
          <w:szCs w:val="22"/>
        </w:rPr>
      </w:pPr>
      <w:r w:rsidRPr="002F036A">
        <w:rPr>
          <w:rFonts w:ascii="Verdana" w:hAnsi="Verdana" w:cs="Segoe UI"/>
          <w:b/>
          <w:bCs/>
          <w:i/>
          <w:iCs/>
          <w:sz w:val="22"/>
          <w:szCs w:val="22"/>
        </w:rPr>
        <w:br w:type="page"/>
      </w:r>
    </w:p>
    <w:p w:rsidR="00E759B6" w:rsidRPr="002F036A" w:rsidP="002F036A">
      <w:pPr>
        <w:spacing w:line="276" w:lineRule="auto"/>
        <w:rPr>
          <w:rFonts w:ascii="Verdana" w:hAnsi="Verdana" w:cs="Segoe UI"/>
          <w:b/>
          <w:bCs/>
          <w:i/>
          <w:iCs/>
          <w:sz w:val="22"/>
          <w:szCs w:val="22"/>
        </w:rPr>
      </w:pPr>
      <w:r w:rsidRPr="002F036A">
        <w:rPr>
          <w:rFonts w:ascii="Verdana" w:hAnsi="Verdana" w:cs="Segoe UI"/>
          <w:b/>
          <w:bCs/>
          <w:i/>
          <w:iCs/>
          <w:sz w:val="22"/>
          <w:szCs w:val="22"/>
        </w:rPr>
        <w:t>Broadcast advertising</w:t>
      </w:r>
    </w:p>
    <w:p w:rsidR="00E759B6"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Would further restrictions on broadcast advertising in the pre-9pm watershed period, and application of similar restrictions to online advertising, reduce exposure of under-18s?</w:t>
      </w:r>
    </w:p>
    <w:p w:rsidR="00E759B6"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Yes, further restrictions on broadcast advertising in the pre-9pm watershed period, and the application of similar restrictions to online advertising, would be likely to reduce exposure of under-18s within the regulated channels and time periods. However, the effectiveness of such measures would depend on how comprehensive they are. Evidence suggests that watersheds or similar restrictions can reduce exposure to gambling advertising in the restricted period, but they can also lead to increases in advertising volumes at other times or in other media if introduced in isolation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{"citationItems":[{"id":"ITEM-1","itemData":{"DOI":"10.1017/lst.2018.5","author":[{"dropping-particle":"","family":"Hörnle","given":"Julia","non-dropping-particle":"","parse-names":false,"suffix":""},{"dropping-particle":"","family":"Carran","given":"Malgorzata A","non-dropping-particle":"","parse-names":false,"suffix":""}],"container-title":"Legal Studies","id":"ITEM-1","issued":{"date-parts":[["2018"]]},"page":"529-548","title":"A sieve that does hold a little water – gambling advertising and protection of the vulnerable in the UK","type":"article-journal","volume":"38"},"uris":["http://www.mendeley.com/documents/?uuid=b5f693b0-38ee-4880-b317-2c1da387fd40"]},{"id":"ITEM-2","itemData":{"DOI":"10.1080/16066359.2024.2355183","author":[{"dropping-particle":"","family":"Mcgrane","given":"Ellen","non-dropping-particle":"","parse-names":false,"suffix":""},{"dropping-particle":"","family":"Pryce","given":"Robert","non-dropping-particle":"","parse-names":false,"suffix":""},{"dropping-particle":"","family":"Wilson","given":"Luke","non-dropping-particle":"","parse-names":false,"suffix":""},{"dropping-particle":"","family":"Field","given":"Matt","non-dropping-particle":"","parse-names":false,"suffix":""},{"dropping-particle":"","family":"Goyder","given":"Elizabeth","non-dropping-particle":"","parse-names":false,"suffix":""}],"container-title":"Addiction Research &amp; Theory","id":"ITEM-2","issue":"2","issued":{"date-parts":[["2025"]]},"page":"134-142","publisher":"Taylor &amp; Francis","title":"How did the ‘ whistle-to-whistle ’ ban affect gambling advertising on TV ? A live football matching study","type":"article-journal","volume":"33"},"uris":["http://www.mendeley.com/documents/?uuid=0d9ce670-f51b-4e2f-a704-ea6c70310293"]},{"id":"ITEM-3","itemData":{"author":[{"dropping-particle":"","family":"Montfoort","given":"David P.M.","non-dropping-particle":"van","parse-names":false,"suffix":""}],"id":"ITEM-3","issued":{"date-parts":[["2025"]]},"publisher":"University of Twente","title":"Gambling Advertising in Transition: How Dutch Regulatory Changes Reshaped Gambling Marketing Strategies","type":"thesis"},"uris":["http://www.mendeley.com/documents/?uuid=ca97de54-6e33-448d-a16d-f638f4cf23d3"]}],"mendeley":{"formattedCitation":"(Hörnle and Carran, 2018; Mcgrane, Pryce, Wilson, &lt;i&gt;et al.&lt;/i&gt;, 2025; van Montfoort, 2025)","plainTextFormattedCitation":"(Hörnle and Carran, 2018; Mcgrane, Pryce, Wilson, et al., 2025; van Montfoort, 2025)","previouslyFormattedCitation":"(Hörnle and Carran, 2018; Mcgrane, Pryce, Wilson, &lt;i&gt;et al.&lt;/i&gt;, 2025; van Montfoort, 2025)"},"properties":{"noteIndex":0},"schema":"https://github.com/citation-style-language/schema/raw/master/csl-citation.json"}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(Hörnle and Carran, 2018; Mcgrane, Pryce, Wilson, </w:t>
      </w:r>
      <w:r w:rsidRPr="002F036A">
        <w:rPr>
          <w:rFonts w:ascii="Verdana" w:hAnsi="Verdana" w:cs="Segoe UI"/>
          <w:i/>
          <w:noProof/>
          <w:sz w:val="22"/>
          <w:szCs w:val="22"/>
        </w:rPr>
        <w:t>et al.</w:t>
      </w:r>
      <w:r w:rsidRPr="002F036A">
        <w:rPr>
          <w:rFonts w:ascii="Verdana" w:hAnsi="Verdana" w:cs="Segoe UI"/>
          <w:noProof/>
          <w:sz w:val="22"/>
          <w:szCs w:val="22"/>
        </w:rPr>
        <w:t>, 2025; van Montfoort, 2025)</w:t>
      </w:r>
      <w:r w:rsidRPr="002F036A">
        <w:rPr>
          <w:rFonts w:ascii="Verdana" w:hAnsi="Verdana" w:cs="Segoe UI"/>
          <w:sz w:val="22"/>
          <w:szCs w:val="22"/>
        </w:rPr>
        <w:fldChar w:fldCharType="end"/>
      </w:r>
      <w:r w:rsidRPr="002F036A">
        <w:rPr>
          <w:rFonts w:ascii="Verdana" w:hAnsi="Verdana" w:cs="Segoe UI"/>
          <w:sz w:val="22"/>
          <w:szCs w:val="22"/>
        </w:rPr>
        <w:t>.</w:t>
      </w:r>
    </w:p>
    <w:p w:rsidR="00E759B6" w:rsidRPr="002F036A" w:rsidP="002F036A">
      <w:pPr>
        <w:spacing w:line="276" w:lineRule="auto"/>
        <w:rPr>
          <w:rFonts w:ascii="Verdana" w:hAnsi="Verdana" w:cs="Segoe UI"/>
          <w:sz w:val="22"/>
          <w:szCs w:val="22"/>
        </w:rPr>
      </w:pPr>
      <w:r w:rsidRPr="002F036A">
        <w:rPr>
          <w:rFonts w:ascii="Verdana" w:hAnsi="Verdana" w:cs="Segoe UI"/>
          <w:sz w:val="22"/>
          <w:szCs w:val="22"/>
        </w:rPr>
        <w:t xml:space="preserve">For example, in Australia, advertising after the 8:30 p.m. watershed, introduced in 2018, led to an increase of gambling advertising past 8:30 p.m. by 131%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{"citationItems":[{"id":"ITEM-1","itemData":{"DOI":"10.1093/heapro/daac194","ISSN":"14602245","PMID":"36932993","abstract":"Around the world, children are being exposed to intensive marketing for gambling products. This normalizes perceptions that gambling is essentially a harmless form of entertainment, despite mounting evidence of the harms it causes. Young people and their parents are supportive of strategies to protect children from being exposed to gambling marketing. Yet existing regulatory efforts are inconsistent and inadequate, and have not protected children from exposure to the many forms of marketing now being developed and exploited by the gambling industry. We outline existing knowledge about strategies used by the gambling industry to market its products, with a specific focus on the potential impact of gambling marketing on young people. We provide a definition of gambling marketing and outline the different forms of promotion that are currently used to market gambling, current regulatory responses, and the impact of marketing on children and young people. We then argue that a comprehensive public health approach to gambling is urgently required, which must include effective action to limit the influence of marketing for gambling products, while recognizing that it is never possible to insulate children entirely from their reach.","author":[{"dropping-particle":"","family":"Thomas","given":"Samantha","non-dropping-particle":"","parse-names":false,"suffix":""},{"dropping-particle":"","family":"Schalkwyk","given":"May C.I.","non-dropping-particle":"van","parse-names":false,"suffix":""},{"dropping-particle":"","family":"Daube","given":"Mike","non-dropping-particle":"","parse-names":false,"suffix":""},{"dropping-particle":"","family":"Pitt","given":"Hannah","non-dropping-particle":"","parse-names":false,"suffix":""},{"dropping-particle":"","family":"McGee","given":"Darragh","non-dropping-particle":"","parse-names":false,"suffix":""},{"dropping-particle":"","family":"McKee","given":"Martin","non-dropping-particle":"","parse-names":false,"suffix":""}],"container-title":"Health promotion international","id":"ITEM-1","issue":"2","issued":{"date-parts":[["2023","4","1"]]},"publisher":"NLM (Medline)","title":"Protecting children and young people from contemporary marketing for gambling","type":"article-journal","volume":"38"},"uris":["http://www.mendeley.com/documents/?uuid=76da9086-358d-3999-84b5-d718ecb8fe45"]}],"mendeley":{"formattedCitation":"(Thomas &lt;i&gt;et al.&lt;/i&gt;, 2023)","plainTextFormattedCitation":"(Thomas et al., 2023)","previouslyFormattedCitation":"(Thomas &lt;i&gt;et al.&lt;/i&gt;, 2023)"},"properties":{"noteIndex":0},"schema":"https://github.com/citation-style-language/schema/raw/master/csl-citation.json"}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(Thomas </w:t>
      </w:r>
      <w:r w:rsidRPr="002F036A">
        <w:rPr>
          <w:rFonts w:ascii="Verdana" w:hAnsi="Verdana" w:cs="Segoe UI"/>
          <w:i/>
          <w:noProof/>
          <w:sz w:val="22"/>
          <w:szCs w:val="22"/>
        </w:rPr>
        <w:t>et al.</w:t>
      </w:r>
      <w:r w:rsidRPr="002F036A">
        <w:rPr>
          <w:rFonts w:ascii="Verdana" w:hAnsi="Verdana" w:cs="Segoe UI"/>
          <w:noProof/>
          <w:sz w:val="22"/>
          <w:szCs w:val="22"/>
        </w:rPr>
        <w:t>, 2023)</w:t>
      </w:r>
      <w:r w:rsidRPr="002F036A">
        <w:rPr>
          <w:rFonts w:ascii="Verdana" w:hAnsi="Verdana" w:cs="Segoe UI"/>
          <w:sz w:val="22"/>
          <w:szCs w:val="22"/>
        </w:rPr>
        <w:fldChar w:fldCharType="end"/>
      </w:r>
      <w:r w:rsidRPr="002F036A">
        <w:rPr>
          <w:rFonts w:ascii="Verdana" w:hAnsi="Verdana" w:cs="Segoe UI"/>
          <w:sz w:val="22"/>
          <w:szCs w:val="22"/>
        </w:rPr>
        <w:t xml:space="preserve">. In the Netherlands, advertising restrictions in traditional media have shifted advertising to online platforms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{"citationItems":[{"id":"ITEM-1","itemData":{"author":[{"dropping-particle":"","family":"Montfoort","given":"David P.M.","non-dropping-particle":"van","parse-names":false,"suffix":""}],"id":"ITEM-1","issued":{"date-parts":[["2025"]]},"publisher":"University of Twente","title":"Gambling Advertising in Transition: How Dutch Regulatory Changes Reshaped Gambling Marketing Strategies","type":"thesis"},"uris":["http://www.mendeley.com/documents/?uuid=ca97de54-6e33-448d-a16d-f638f4cf23d3"]}],"mendeley":{"formattedCitation":"(van Montfoort, 2025)","plainTextFormattedCitation":"(van Montfoort, 2025)","previouslyFormattedCitation":"(van Montfoort, 2025)"},"properties":{"noteIndex":0},"schema":"https://github.com/citation-style-language/schema/raw/master/csl-citation.json"}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(van Montfoort, 2025)</w:t>
      </w:r>
      <w:r w:rsidRPr="002F036A">
        <w:rPr>
          <w:rFonts w:ascii="Verdana" w:hAnsi="Verdana" w:cs="Segoe UI"/>
          <w:sz w:val="22"/>
          <w:szCs w:val="22"/>
        </w:rPr>
        <w:fldChar w:fldCharType="end"/>
      </w:r>
      <w:r w:rsidRPr="002F036A">
        <w:rPr>
          <w:rFonts w:ascii="Verdana" w:hAnsi="Verdana" w:cs="Segoe UI"/>
          <w:sz w:val="22"/>
          <w:szCs w:val="22"/>
        </w:rPr>
        <w:t xml:space="preserve">. This suggests that broadcast restrictions are more likely to reduce children’s exposure when they are coordinated with restrictions on online and on-demand advertising, rather than applied to </w:t>
      </w:r>
      <w:r w:rsidRPr="002F036A" w:rsidR="007D5C94">
        <w:rPr>
          <w:rFonts w:ascii="Verdana" w:hAnsi="Verdana" w:cs="Segoe UI"/>
          <w:sz w:val="22"/>
          <w:szCs w:val="22"/>
        </w:rPr>
        <w:t>broadcast media</w:t>
      </w:r>
      <w:r w:rsidRPr="002F036A">
        <w:rPr>
          <w:rFonts w:ascii="Verdana" w:hAnsi="Verdana" w:cs="Segoe UI"/>
          <w:sz w:val="22"/>
          <w:szCs w:val="22"/>
        </w:rPr>
        <w:t xml:space="preserve"> alone.</w:t>
      </w:r>
    </w:p>
    <w:p w:rsidR="00E759B6" w:rsidRPr="002F036A" w:rsidP="002F036A">
      <w:pPr>
        <w:spacing w:line="276" w:lineRule="auto"/>
        <w:rPr>
          <w:rFonts w:ascii="Verdana" w:hAnsi="Verdana" w:cs="Segoe UI"/>
          <w:sz w:val="22"/>
          <w:szCs w:val="22"/>
        </w:rPr>
      </w:pPr>
      <w:r w:rsidRPr="002F036A">
        <w:rPr>
          <w:rFonts w:ascii="Verdana" w:hAnsi="Verdana" w:cs="Segoe UI"/>
          <w:sz w:val="22"/>
          <w:szCs w:val="22"/>
        </w:rPr>
        <w:t>The effectiveness of watersheds, particularly if voluntary, depends heavily on the television and radio usage patterns of minors. Evidence</w:t>
      </w:r>
      <w:r w:rsidRPr="002F036A" w:rsidR="00D64930">
        <w:rPr>
          <w:rFonts w:ascii="Verdana" w:hAnsi="Verdana" w:cs="Segoe UI"/>
          <w:sz w:val="22"/>
          <w:szCs w:val="22"/>
        </w:rPr>
        <w:t xml:space="preserve"> compiled by </w:t>
      </w:r>
      <w:r w:rsidRPr="002F036A" w:rsidR="00D64930">
        <w:rPr>
          <w:rFonts w:ascii="Verdana" w:hAnsi="Verdana" w:cs="Segoe UI"/>
          <w:sz w:val="22"/>
          <w:szCs w:val="22"/>
        </w:rPr>
        <w:t>OfCom</w:t>
      </w:r>
      <w:r w:rsidRPr="002F036A" w:rsidR="003751B8">
        <w:rPr>
          <w:rFonts w:ascii="Verdana" w:hAnsi="Verdana" w:cs="Segoe UI"/>
          <w:sz w:val="22"/>
          <w:szCs w:val="22"/>
        </w:rPr>
        <w:t xml:space="preserve"> in 2013</w:t>
      </w:r>
      <w:r w:rsidRPr="002F036A" w:rsidR="00D64930">
        <w:rPr>
          <w:rFonts w:ascii="Verdana" w:hAnsi="Verdana" w:cs="Segoe UI"/>
          <w:sz w:val="22"/>
          <w:szCs w:val="22"/>
        </w:rPr>
        <w:t xml:space="preserve"> (cited in </w:t>
      </w:r>
      <w:r w:rsidRPr="002F036A" w:rsidR="00D64930">
        <w:rPr>
          <w:rFonts w:ascii="Verdana" w:hAnsi="Verdana" w:cs="Segoe UI"/>
          <w:noProof/>
          <w:sz w:val="22"/>
          <w:szCs w:val="22"/>
        </w:rPr>
        <w:t>(Hörnle and Carran, 2018)</w:t>
      </w:r>
      <w:r w:rsidRPr="002F036A" w:rsidR="00D64930">
        <w:rPr>
          <w:rFonts w:ascii="Verdana" w:hAnsi="Verdana" w:cs="Segoe UI"/>
          <w:sz w:val="22"/>
          <w:szCs w:val="22"/>
        </w:rPr>
        <w:t xml:space="preserve"> </w:t>
      </w:r>
      <w:r w:rsidRPr="002F036A" w:rsidR="003751B8">
        <w:rPr>
          <w:rFonts w:ascii="Verdana" w:hAnsi="Verdana" w:cs="Segoe UI"/>
          <w:sz w:val="22"/>
          <w:szCs w:val="22"/>
        </w:rPr>
        <w:t xml:space="preserve">demonstrated that 45.5% of gambling advertisements were broadcast between the hours of 06:00 and 20:59, with a further 13.1% of gambling adverts being shown between 21:00 and 22:59, and 32% being shown between 23.00 and 05.59. </w:t>
      </w:r>
      <w:r w:rsidRPr="002F036A" w:rsidR="00D64930">
        <w:rPr>
          <w:rFonts w:ascii="Verdana" w:hAnsi="Verdana" w:cs="Segoe UI"/>
          <w:sz w:val="22"/>
          <w:szCs w:val="22"/>
        </w:rPr>
        <w:t>The same report estimated that 26</w:t>
      </w:r>
      <w:r w:rsidRPr="002F036A">
        <w:rPr>
          <w:rFonts w:ascii="Verdana" w:hAnsi="Verdana" w:cs="Segoe UI"/>
          <w:sz w:val="22"/>
          <w:szCs w:val="22"/>
        </w:rPr>
        <w:t xml:space="preserve">.6% of 10-15-year-olds watched television </w:t>
      </w:r>
      <w:r w:rsidRPr="002F036A" w:rsidR="003751B8">
        <w:rPr>
          <w:rFonts w:ascii="Verdana" w:hAnsi="Verdana" w:cs="Segoe UI"/>
          <w:sz w:val="22"/>
          <w:szCs w:val="22"/>
        </w:rPr>
        <w:t>past 21:00, with 8% watching television past 23:00</w:t>
      </w:r>
      <w:r w:rsidRPr="002F036A" w:rsidR="00D64930">
        <w:rPr>
          <w:rFonts w:ascii="Verdana" w:hAnsi="Verdana" w:cs="Segoe UI"/>
          <w:sz w:val="22"/>
          <w:szCs w:val="22"/>
        </w:rPr>
        <w:t xml:space="preserve"> </w:t>
      </w:r>
      <w:r w:rsidRPr="002F036A" w:rsidR="003751B8">
        <w:rPr>
          <w:rFonts w:ascii="Verdana" w:hAnsi="Verdana" w:cs="Segoe UI"/>
          <w:noProof/>
          <w:sz w:val="22"/>
          <w:szCs w:val="22"/>
        </w:rPr>
        <w:t>(Hörnle and Carran, 2018).</w:t>
      </w:r>
      <w:r w:rsidRPr="002F036A" w:rsidR="003751B8">
        <w:rPr>
          <w:rFonts w:ascii="Verdana" w:hAnsi="Verdana" w:cs="Segoe UI"/>
          <w:sz w:val="22"/>
          <w:szCs w:val="22"/>
        </w:rPr>
        <w:t xml:space="preserve"> </w:t>
      </w:r>
      <w:r w:rsidRPr="002F036A" w:rsidR="00D64930">
        <w:rPr>
          <w:rFonts w:ascii="Verdana" w:hAnsi="Verdana" w:cs="Segoe UI"/>
          <w:sz w:val="22"/>
          <w:szCs w:val="22"/>
        </w:rPr>
        <w:t>This evidence</w:t>
      </w:r>
      <w:r w:rsidRPr="002F036A">
        <w:rPr>
          <w:rFonts w:ascii="Verdana" w:hAnsi="Verdana" w:cs="Segoe UI"/>
          <w:sz w:val="22"/>
          <w:szCs w:val="22"/>
        </w:rPr>
        <w:t xml:space="preserve"> indicates that partial watershed arrangements do not sufficiently align with children’s actual media use. </w:t>
      </w:r>
    </w:p>
    <w:p w:rsidR="008D2F6C" w:rsidRPr="002F036A" w:rsidP="002F036A">
      <w:pPr>
        <w:spacing w:line="276" w:lineRule="auto"/>
        <w:rPr>
          <w:rFonts w:ascii="Verdana" w:hAnsi="Verdana" w:cs="Segoe UI"/>
          <w:sz w:val="22"/>
          <w:szCs w:val="22"/>
        </w:rPr>
      </w:pPr>
    </w:p>
    <w:p w:rsidR="00E759B6"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What would be the benefits and risks of a ban on sponsorship by gambling operators of non-sport TV and radio programmes?</w:t>
      </w:r>
    </w:p>
    <w:p w:rsidR="00E759B6"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The evidence base on gambling sponsorship is strongest in relation to sport, and there is less direct evidence on sponsorship of non-sport television and radio programmes specifically. However, the likely benefit of a ban would be to reduce repeated exposure to gambling brands in </w:t>
      </w:r>
      <w:r w:rsidRPr="002F036A" w:rsidR="000B5201">
        <w:rPr>
          <w:rFonts w:ascii="Verdana" w:hAnsi="Verdana" w:cs="Segoe UI"/>
          <w:sz w:val="22"/>
          <w:szCs w:val="22"/>
        </w:rPr>
        <w:t xml:space="preserve">wider </w:t>
      </w:r>
      <w:r w:rsidRPr="002F036A">
        <w:rPr>
          <w:rFonts w:ascii="Verdana" w:hAnsi="Verdana" w:cs="Segoe UI"/>
          <w:sz w:val="22"/>
          <w:szCs w:val="22"/>
        </w:rPr>
        <w:t>entertainment context</w:t>
      </w:r>
      <w:r w:rsidRPr="002F036A" w:rsidR="000B5201">
        <w:rPr>
          <w:rFonts w:ascii="Verdana" w:hAnsi="Verdana" w:cs="Segoe UI"/>
          <w:sz w:val="22"/>
          <w:szCs w:val="22"/>
        </w:rPr>
        <w:t>s.</w:t>
      </w:r>
    </w:p>
    <w:p w:rsidR="000B5201" w:rsidRPr="002F036A" w:rsidP="002F036A">
      <w:pPr>
        <w:spacing w:line="276" w:lineRule="auto"/>
        <w:rPr>
          <w:rFonts w:ascii="Verdana" w:hAnsi="Verdana" w:cs="Segoe UI"/>
          <w:sz w:val="22"/>
          <w:szCs w:val="22"/>
        </w:rPr>
      </w:pPr>
      <w:r w:rsidRPr="002F036A">
        <w:rPr>
          <w:rFonts w:ascii="Verdana" w:hAnsi="Verdana" w:cs="Segoe UI"/>
          <w:sz w:val="22"/>
          <w:szCs w:val="22"/>
        </w:rPr>
        <w:t xml:space="preserve">There is substantial exposure to advertising through non-sports sponsorship of televisions programmes, with many </w:t>
      </w:r>
      <w:r w:rsidRPr="002F036A" w:rsidR="3BB8FAD6">
        <w:rPr>
          <w:rFonts w:ascii="Verdana" w:hAnsi="Verdana" w:cs="Segoe UI"/>
          <w:sz w:val="22"/>
          <w:szCs w:val="22"/>
        </w:rPr>
        <w:t>high-profile</w:t>
      </w:r>
      <w:r w:rsidRPr="002F036A">
        <w:rPr>
          <w:rFonts w:ascii="Verdana" w:hAnsi="Verdana" w:cs="Segoe UI"/>
          <w:sz w:val="22"/>
          <w:szCs w:val="22"/>
        </w:rPr>
        <w:t xml:space="preserve"> </w:t>
      </w:r>
      <w:r w:rsidRPr="002F036A" w:rsidR="003A6DA9">
        <w:rPr>
          <w:rFonts w:ascii="Verdana" w:hAnsi="Verdana" w:cs="Segoe UI"/>
          <w:sz w:val="22"/>
          <w:szCs w:val="22"/>
        </w:rPr>
        <w:t>non-sporting</w:t>
      </w:r>
      <w:r w:rsidRPr="002F036A">
        <w:rPr>
          <w:rFonts w:ascii="Verdana" w:hAnsi="Verdana" w:cs="Segoe UI"/>
          <w:sz w:val="22"/>
          <w:szCs w:val="22"/>
        </w:rPr>
        <w:t xml:space="preserve"> television programmes being sponsored by gambling companies. This includes </w:t>
      </w:r>
      <w:r w:rsidRPr="002F036A">
        <w:rPr>
          <w:rFonts w:ascii="Verdana" w:hAnsi="Verdana" w:cs="Segoe UI"/>
          <w:sz w:val="22"/>
          <w:szCs w:val="22"/>
        </w:rPr>
        <w:t>programmes like I’m a Celebrity…Get Me Out of Here, sponsored by Tombola</w:t>
      </w:r>
      <w:r w:rsidRPr="002F036A" w:rsidR="005236D4">
        <w:rPr>
          <w:rFonts w:ascii="Verdana" w:hAnsi="Verdana" w:cs="Segoe UI"/>
          <w:sz w:val="22"/>
          <w:szCs w:val="22"/>
        </w:rPr>
        <w:t xml:space="preserve"> </w:t>
      </w:r>
      <w:r w:rsidRPr="002F036A" w:rsidR="005236D4">
        <w:rPr>
          <w:rFonts w:ascii="Verdana" w:hAnsi="Verdana" w:cs="Segoe UI"/>
          <w:sz w:val="22"/>
          <w:szCs w:val="22"/>
        </w:rPr>
        <w:fldChar w:fldCharType="begin" w:fldLock="1"/>
      </w:r>
      <w:r w:rsidRPr="002F036A" w:rsidR="00CB19BF">
        <w:rPr>
          <w:rFonts w:ascii="Verdana" w:hAnsi="Verdana" w:cs="Segoe UI"/>
          <w:sz w:val="22"/>
          <w:szCs w:val="22"/>
        </w:rPr>
        <w:instrText>ADDIN CSL_CITATION {"citationItems":[{"id":"ITEM-1","itemData":{"URL":"https://www.tombola.careers/posts/tombola-announces-i-m-a-celebrity-get-me-out-of-here-sponsorship-for-7th-year","author":[{"dropping-particle":"","family":"Luke","given":"Emma","non-dropping-particle":"","parse-names":false,"suffix":""}],"container-title":"tombola.careers","id":"ITEM-1","issued":{"date-parts":[["2023","10","27"]]},"title":"tombola announces I’m A Celebrity … Get Me Out of Here! sponsorship for 7th year","type":"webpage"},"uris":["http://www.mendeley.com/documents/?uuid=2216d210-372a-4902-b636-a7481c858581"]}],"mendeley":{"formattedCitation":"(Luke, 2023)","plainTextFormattedCitation":"(Luke, 2023)","previouslyFormattedCitation":"(Luke, 2023)"},"properties":{"noteIndex":0},"schema":"https://github.com/citation-style-language/schema/raw/master/csl-citation.json"}</w:instrText>
      </w:r>
      <w:r w:rsidRPr="002F036A" w:rsidR="005236D4">
        <w:rPr>
          <w:rFonts w:ascii="Verdana" w:hAnsi="Verdana" w:cs="Segoe UI"/>
          <w:sz w:val="22"/>
          <w:szCs w:val="22"/>
        </w:rPr>
        <w:fldChar w:fldCharType="separate"/>
      </w:r>
      <w:r w:rsidRPr="002F036A" w:rsidR="005236D4">
        <w:rPr>
          <w:rFonts w:ascii="Verdana" w:hAnsi="Verdana" w:cs="Segoe UI"/>
          <w:noProof/>
          <w:sz w:val="22"/>
          <w:szCs w:val="22"/>
        </w:rPr>
        <w:t>(Luke, 2023)</w:t>
      </w:r>
      <w:r w:rsidRPr="002F036A" w:rsidR="005236D4">
        <w:rPr>
          <w:rFonts w:ascii="Verdana" w:hAnsi="Verdana" w:cs="Segoe UI"/>
          <w:sz w:val="22"/>
          <w:szCs w:val="22"/>
        </w:rPr>
        <w:fldChar w:fldCharType="end"/>
      </w:r>
      <w:r w:rsidRPr="002F036A">
        <w:rPr>
          <w:rFonts w:ascii="Verdana" w:hAnsi="Verdana" w:cs="Segoe UI"/>
          <w:sz w:val="22"/>
          <w:szCs w:val="22"/>
        </w:rPr>
        <w:t>. This features substantial sponsorship during the programme and a wide range of fan activation activities. This programme has consolidated viewing figures of around 10 million people, demonstrating substantial reach across the British population</w:t>
      </w:r>
      <w:r w:rsidRPr="002F036A" w:rsidR="00AC569C">
        <w:rPr>
          <w:rFonts w:ascii="Verdana" w:hAnsi="Verdana" w:cs="Segoe UI"/>
          <w:sz w:val="22"/>
          <w:szCs w:val="22"/>
        </w:rPr>
        <w:t xml:space="preserve"> </w:t>
      </w:r>
      <w:r w:rsidRPr="002F036A" w:rsidR="003C7AFF">
        <w:rPr>
          <w:rFonts w:ascii="Verdana" w:hAnsi="Verdana" w:cs="Segoe UI"/>
          <w:sz w:val="22"/>
          <w:szCs w:val="22"/>
        </w:rPr>
        <w:fldChar w:fldCharType="begin" w:fldLock="1"/>
      </w:r>
      <w:r w:rsidRPr="002F036A" w:rsidR="008F6CA5">
        <w:rPr>
          <w:rFonts w:ascii="Verdana" w:hAnsi="Verdana" w:cs="Segoe UI"/>
          <w:sz w:val="22"/>
          <w:szCs w:val="22"/>
        </w:rPr>
        <w:instrText>ADDIN CSL_CITATION {"citationItems":[{"id":"ITEM-1","itemData":{"URL":"https://www.itv.com/presscentre/media-releases/im-celebrity-launch-consolidates-108-million","author":[{"dropping-particle":"","family":"Itv.com","given":"","non-dropping-particle":"","parse-names":false,"suffix":""}],"container-title":"itv.com","id":"ITEM-1","issued":{"date-parts":[["2025","11","24"]]},"title":"I’m A Celebrity Launch Consolidates With 10. 8 Million","type":"webpage"},"uris":["http://www.mendeley.com/documents/?uuid=cfdd67d9-96ab-4530-9090-46073765b291"]}],"mendeley":{"formattedCitation":"(Itv.com, 2025b)","plainTextFormattedCitation":"(Itv.com, 2025b)","previouslyFormattedCitation":"(Itv.com, 2025b)"},"properties":{"noteIndex":0},"schema":"https://github.com/citation-style-language/schema/raw/master/csl-citation.json"}</w:instrText>
      </w:r>
      <w:r w:rsidRPr="002F036A" w:rsidR="003C7AFF">
        <w:rPr>
          <w:rFonts w:ascii="Verdana" w:hAnsi="Verdana" w:cs="Segoe UI"/>
          <w:sz w:val="22"/>
          <w:szCs w:val="22"/>
        </w:rPr>
        <w:fldChar w:fldCharType="separate"/>
      </w:r>
      <w:r w:rsidRPr="002F036A" w:rsidR="00241203">
        <w:rPr>
          <w:rFonts w:ascii="Verdana" w:hAnsi="Verdana" w:cs="Segoe UI"/>
          <w:noProof/>
          <w:sz w:val="22"/>
          <w:szCs w:val="22"/>
        </w:rPr>
        <w:t>(Itv.com, 2025b)</w:t>
      </w:r>
      <w:r w:rsidRPr="002F036A" w:rsidR="003C7AFF">
        <w:rPr>
          <w:rFonts w:ascii="Verdana" w:hAnsi="Verdana" w:cs="Segoe UI"/>
          <w:sz w:val="22"/>
          <w:szCs w:val="22"/>
        </w:rPr>
        <w:fldChar w:fldCharType="end"/>
      </w:r>
      <w:r w:rsidRPr="002F036A" w:rsidR="003C7AFF">
        <w:rPr>
          <w:rFonts w:ascii="Verdana" w:hAnsi="Verdana" w:cs="Segoe UI"/>
          <w:sz w:val="22"/>
          <w:szCs w:val="22"/>
        </w:rPr>
        <w:t>.</w:t>
      </w:r>
      <w:r w:rsidRPr="002F036A">
        <w:rPr>
          <w:rFonts w:ascii="Verdana" w:hAnsi="Verdana" w:cs="Segoe UI"/>
          <w:sz w:val="22"/>
          <w:szCs w:val="22"/>
        </w:rPr>
        <w:t xml:space="preserve"> </w:t>
      </w:r>
      <w:r w:rsidRPr="002F036A" w:rsidR="003A6DA9">
        <w:rPr>
          <w:rFonts w:ascii="Verdana" w:hAnsi="Verdana" w:cs="Segoe UI"/>
          <w:sz w:val="22"/>
          <w:szCs w:val="22"/>
        </w:rPr>
        <w:t xml:space="preserve">The benefits of a ban would be </w:t>
      </w:r>
      <w:r w:rsidRPr="002F036A" w:rsidR="00F956BE">
        <w:rPr>
          <w:rFonts w:ascii="Verdana" w:hAnsi="Verdana" w:cs="Segoe UI"/>
          <w:sz w:val="22"/>
          <w:szCs w:val="22"/>
        </w:rPr>
        <w:t xml:space="preserve">a </w:t>
      </w:r>
      <w:r w:rsidRPr="002F036A" w:rsidR="003A6DA9">
        <w:rPr>
          <w:rFonts w:ascii="Verdana" w:hAnsi="Verdana" w:cs="Segoe UI"/>
          <w:sz w:val="22"/>
          <w:szCs w:val="22"/>
        </w:rPr>
        <w:t xml:space="preserve">reduction in population exposure to advertising and marketing, especially of programmes like I’m </w:t>
      </w:r>
      <w:r w:rsidRPr="002F036A" w:rsidR="003C7AFF">
        <w:rPr>
          <w:rFonts w:ascii="Verdana" w:hAnsi="Verdana" w:cs="Segoe UI"/>
          <w:sz w:val="22"/>
          <w:szCs w:val="22"/>
        </w:rPr>
        <w:t xml:space="preserve">a </w:t>
      </w:r>
      <w:r w:rsidRPr="002F036A" w:rsidR="003A6DA9">
        <w:rPr>
          <w:rFonts w:ascii="Verdana" w:hAnsi="Verdana" w:cs="Segoe UI"/>
          <w:sz w:val="22"/>
          <w:szCs w:val="22"/>
        </w:rPr>
        <w:t>Celebrity</w:t>
      </w:r>
      <w:r w:rsidRPr="002F036A" w:rsidR="00F956BE">
        <w:rPr>
          <w:rFonts w:ascii="Verdana" w:hAnsi="Verdana" w:cs="Segoe UI"/>
          <w:sz w:val="22"/>
          <w:szCs w:val="22"/>
        </w:rPr>
        <w:t>,</w:t>
      </w:r>
      <w:r w:rsidRPr="002F036A" w:rsidR="003A6DA9">
        <w:rPr>
          <w:rFonts w:ascii="Verdana" w:hAnsi="Verdana" w:cs="Segoe UI"/>
          <w:sz w:val="22"/>
          <w:szCs w:val="22"/>
        </w:rPr>
        <w:t xml:space="preserve"> which have wide appeal to younger people. Data</w:t>
      </w:r>
      <w:r w:rsidRPr="002F036A" w:rsidR="003751B8">
        <w:rPr>
          <w:rFonts w:ascii="Verdana" w:hAnsi="Verdana" w:cs="Segoe UI"/>
          <w:sz w:val="22"/>
          <w:szCs w:val="22"/>
        </w:rPr>
        <w:t xml:space="preserve"> from</w:t>
      </w:r>
      <w:r w:rsidRPr="002F036A" w:rsidR="003A6DA9">
        <w:rPr>
          <w:rFonts w:ascii="Verdana" w:hAnsi="Verdana" w:cs="Segoe UI"/>
          <w:sz w:val="22"/>
          <w:szCs w:val="22"/>
        </w:rPr>
        <w:t xml:space="preserve"> 2025, compiled by ITV, showed that </w:t>
      </w:r>
      <w:r w:rsidRPr="002F036A" w:rsidR="00F956BE">
        <w:rPr>
          <w:rFonts w:ascii="Verdana" w:hAnsi="Verdana" w:cs="Segoe UI"/>
          <w:sz w:val="22"/>
          <w:szCs w:val="22"/>
        </w:rPr>
        <w:t xml:space="preserve">the </w:t>
      </w:r>
      <w:r w:rsidRPr="002F036A" w:rsidR="003A6DA9">
        <w:rPr>
          <w:rFonts w:ascii="Verdana" w:hAnsi="Verdana" w:cs="Segoe UI"/>
          <w:sz w:val="22"/>
          <w:szCs w:val="22"/>
        </w:rPr>
        <w:t>show achieved an 83% share of 16</w:t>
      </w:r>
      <w:r w:rsidRPr="002F036A" w:rsidR="003773C0">
        <w:rPr>
          <w:rFonts w:ascii="Verdana" w:hAnsi="Verdana" w:cs="Segoe UI"/>
          <w:sz w:val="22"/>
          <w:szCs w:val="22"/>
        </w:rPr>
        <w:t xml:space="preserve"> to</w:t>
      </w:r>
      <w:r w:rsidRPr="002F036A" w:rsidR="003A6DA9">
        <w:rPr>
          <w:rFonts w:ascii="Verdana" w:hAnsi="Verdana" w:cs="Segoe UI"/>
          <w:sz w:val="22"/>
          <w:szCs w:val="22"/>
        </w:rPr>
        <w:t xml:space="preserve"> </w:t>
      </w:r>
      <w:r w:rsidRPr="002F036A" w:rsidR="00F956BE">
        <w:rPr>
          <w:rFonts w:ascii="Verdana" w:hAnsi="Verdana" w:cs="Segoe UI"/>
          <w:sz w:val="22"/>
          <w:szCs w:val="22"/>
        </w:rPr>
        <w:t>34-year-</w:t>
      </w:r>
      <w:r w:rsidRPr="002F036A" w:rsidR="003A6DA9">
        <w:rPr>
          <w:rFonts w:ascii="Verdana" w:hAnsi="Verdana" w:cs="Segoe UI"/>
          <w:sz w:val="22"/>
          <w:szCs w:val="22"/>
        </w:rPr>
        <w:t>old viewers, with 1.5 million viewers in this demographic, up 9% year on year</w:t>
      </w:r>
      <w:r w:rsidRPr="002F036A" w:rsidR="00241203">
        <w:rPr>
          <w:rFonts w:ascii="Verdana" w:hAnsi="Verdana" w:cs="Segoe UI"/>
          <w:sz w:val="22"/>
          <w:szCs w:val="22"/>
        </w:rPr>
        <w:t xml:space="preserve"> </w:t>
      </w:r>
      <w:r w:rsidRPr="002F036A" w:rsidR="00241203">
        <w:rPr>
          <w:rFonts w:ascii="Verdana" w:hAnsi="Verdana" w:cs="Segoe UI"/>
          <w:sz w:val="22"/>
          <w:szCs w:val="22"/>
        </w:rPr>
        <w:fldChar w:fldCharType="begin" w:fldLock="1"/>
      </w:r>
      <w:r w:rsidRPr="002F036A" w:rsidR="008F6CA5">
        <w:rPr>
          <w:rFonts w:ascii="Verdana" w:hAnsi="Verdana" w:cs="Segoe UI"/>
          <w:sz w:val="22"/>
          <w:szCs w:val="22"/>
        </w:rPr>
        <w:instrText>ADDIN CSL_CITATION {"citationItems":[{"id":"ITEM-1","itemData":{"URL":"https://www.itv.com/presscentre/media-releases/im-celebrityget-me-out-here-returns-biggest-entertainment-launch-any-channel-2025","author":[{"dropping-particle":"","family":"Itv.com","given":"","non-dropping-particle":"","parse-names":false,"suffix":""}],"container-title":"itv.com","id":"ITEM-1","issued":{"date-parts":[["2025","11","17"]]},"title":"I’m A Celebrity … Get Me Out Of Here! Returns With Biggest Entertainment Launch On Any Channel in","type":"webpage"},"uris":["http://www.mendeley.com/documents/?uuid=9966f9a9-05ff-4a1f-9591-a74fd59526c4"]}],"mendeley":{"formattedCitation":"(Itv.com, 2025a)","plainTextFormattedCitation":"(Itv.com, 2025a)","previouslyFormattedCitation":"(Itv.com, 2025a)"},"properties":{"noteIndex":0},"schema":"https://github.com/citation-style-language/schema/raw/master/csl-citation.json"}</w:instrText>
      </w:r>
      <w:r w:rsidRPr="002F036A" w:rsidR="00241203">
        <w:rPr>
          <w:rFonts w:ascii="Verdana" w:hAnsi="Verdana" w:cs="Segoe UI"/>
          <w:sz w:val="22"/>
          <w:szCs w:val="22"/>
        </w:rPr>
        <w:fldChar w:fldCharType="separate"/>
      </w:r>
      <w:r w:rsidRPr="002F036A" w:rsidR="00241203">
        <w:rPr>
          <w:rFonts w:ascii="Verdana" w:hAnsi="Verdana" w:cs="Segoe UI"/>
          <w:noProof/>
          <w:sz w:val="22"/>
          <w:szCs w:val="22"/>
        </w:rPr>
        <w:t>(Itv.com, 2025a)</w:t>
      </w:r>
      <w:r w:rsidRPr="002F036A" w:rsidR="00241203">
        <w:rPr>
          <w:rFonts w:ascii="Verdana" w:hAnsi="Verdana" w:cs="Segoe UI"/>
          <w:sz w:val="22"/>
          <w:szCs w:val="22"/>
        </w:rPr>
        <w:fldChar w:fldCharType="end"/>
      </w:r>
      <w:r w:rsidRPr="002F036A" w:rsidR="003A6DA9">
        <w:rPr>
          <w:rFonts w:ascii="Verdana" w:hAnsi="Verdana" w:cs="Segoe UI"/>
          <w:sz w:val="22"/>
          <w:szCs w:val="22"/>
        </w:rPr>
        <w:t xml:space="preserve">. </w:t>
      </w:r>
    </w:p>
    <w:p w:rsidR="008D2F6C" w:rsidRPr="002F036A" w:rsidP="002F036A">
      <w:pPr>
        <w:spacing w:line="276" w:lineRule="auto"/>
        <w:rPr>
          <w:rFonts w:ascii="Verdana" w:hAnsi="Verdana" w:cs="Segoe UI"/>
          <w:b/>
          <w:bCs/>
          <w:i/>
          <w:iCs/>
          <w:sz w:val="22"/>
          <w:szCs w:val="22"/>
        </w:rPr>
      </w:pPr>
    </w:p>
    <w:p w:rsidR="00E759B6" w:rsidRPr="002F036A" w:rsidP="002F036A">
      <w:pPr>
        <w:spacing w:line="276" w:lineRule="auto"/>
        <w:rPr>
          <w:rFonts w:ascii="Verdana" w:hAnsi="Verdana" w:cs="Segoe UI"/>
          <w:b/>
          <w:bCs/>
          <w:i/>
          <w:iCs/>
          <w:sz w:val="22"/>
          <w:szCs w:val="22"/>
        </w:rPr>
      </w:pPr>
      <w:r w:rsidRPr="002F036A">
        <w:rPr>
          <w:rFonts w:ascii="Verdana" w:hAnsi="Verdana" w:cs="Segoe UI"/>
          <w:b/>
          <w:bCs/>
          <w:i/>
          <w:iCs/>
          <w:sz w:val="22"/>
          <w:szCs w:val="22"/>
        </w:rPr>
        <w:t>Inducements</w:t>
      </w:r>
    </w:p>
    <w:p w:rsidR="00E759B6"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To what extent do early indications of the impact of the ban on mixing of products within incentives and the limit to wagering requirements, introduced on 19 January 2026,</w:t>
      </w:r>
      <w:r>
        <w:rPr>
          <w:rStyle w:val="FootnoteReference"/>
          <w:rFonts w:ascii="Verdana" w:hAnsi="Verdana" w:cs="Segoe UI"/>
          <w:sz w:val="22"/>
          <w:szCs w:val="22"/>
        </w:rPr>
        <w:footnoteReference w:id="6"/>
      </w:r>
      <w:r w:rsidRPr="002F036A">
        <w:rPr>
          <w:rFonts w:ascii="Verdana" w:hAnsi="Verdana" w:cs="Segoe UI"/>
          <w:sz w:val="22"/>
          <w:szCs w:val="22"/>
        </w:rPr>
        <w:t xml:space="preserve"> suggest that this policy is reducing gambling-related harm?</w:t>
      </w:r>
    </w:p>
    <w:p w:rsidR="003A6DA9"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sidR="00E759B6">
        <w:rPr>
          <w:rFonts w:ascii="Verdana" w:hAnsi="Verdana" w:cs="Segoe UI"/>
          <w:sz w:val="22"/>
          <w:szCs w:val="22"/>
        </w:rPr>
        <w:t>Very little can yet be concluded directly, since the measures took effect only in January 2026</w:t>
      </w:r>
      <w:r w:rsidRPr="002F036A">
        <w:rPr>
          <w:rFonts w:ascii="Verdana" w:hAnsi="Verdana" w:cs="Segoe UI"/>
          <w:sz w:val="22"/>
          <w:szCs w:val="22"/>
        </w:rPr>
        <w:t xml:space="preserve"> and systematic evaluation of these measures has not been commissioned</w:t>
      </w:r>
      <w:r w:rsidRPr="002F036A" w:rsidR="3C05900F">
        <w:rPr>
          <w:rFonts w:ascii="Verdana" w:hAnsi="Verdana" w:cs="Segoe UI"/>
          <w:sz w:val="22"/>
          <w:szCs w:val="22"/>
        </w:rPr>
        <w:t xml:space="preserve"> </w:t>
      </w:r>
      <w:r w:rsidRPr="002F036A">
        <w:rPr>
          <w:rFonts w:ascii="Verdana" w:hAnsi="Verdana" w:cs="Segoe UI"/>
          <w:sz w:val="22"/>
          <w:szCs w:val="22"/>
        </w:rPr>
        <w:t>(though</w:t>
      </w:r>
      <w:r w:rsidRPr="002F036A" w:rsidR="3C05900F">
        <w:rPr>
          <w:rFonts w:ascii="Verdana" w:hAnsi="Verdana" w:cs="Segoe UI"/>
          <w:sz w:val="22"/>
          <w:szCs w:val="22"/>
        </w:rPr>
        <w:t xml:space="preserve"> recent appointment of a UKRI/DCMS Policy Fellow </w:t>
      </w:r>
      <w:r w:rsidRPr="002F036A">
        <w:rPr>
          <w:rFonts w:ascii="Verdana" w:hAnsi="Verdana" w:cs="Segoe UI"/>
          <w:sz w:val="22"/>
          <w:szCs w:val="22"/>
        </w:rPr>
        <w:t>may contribute towards this, but is not</w:t>
      </w:r>
      <w:r w:rsidRPr="002F036A" w:rsidR="3C05900F">
        <w:rPr>
          <w:rFonts w:ascii="Verdana" w:hAnsi="Verdana" w:cs="Segoe UI"/>
          <w:sz w:val="22"/>
          <w:szCs w:val="22"/>
        </w:rPr>
        <w:t xml:space="preserve"> due to re</w:t>
      </w:r>
      <w:r w:rsidRPr="002F036A">
        <w:rPr>
          <w:rFonts w:ascii="Verdana" w:hAnsi="Verdana" w:cs="Segoe UI"/>
          <w:sz w:val="22"/>
          <w:szCs w:val="22"/>
        </w:rPr>
        <w:t>port until</w:t>
      </w:r>
      <w:r w:rsidRPr="002F036A" w:rsidR="3C05900F">
        <w:rPr>
          <w:rFonts w:ascii="Verdana" w:hAnsi="Verdana" w:cs="Segoe UI"/>
          <w:sz w:val="22"/>
          <w:szCs w:val="22"/>
        </w:rPr>
        <w:t xml:space="preserve"> 2027</w:t>
      </w:r>
      <w:r w:rsidRPr="002F036A">
        <w:rPr>
          <w:rFonts w:ascii="Verdana" w:hAnsi="Verdana" w:cs="Segoe UI"/>
          <w:sz w:val="22"/>
          <w:szCs w:val="22"/>
        </w:rPr>
        <w:t>)</w:t>
      </w:r>
      <w:r w:rsidRPr="002F036A">
        <w:rPr>
          <w:rFonts w:ascii="Verdana" w:hAnsi="Verdana" w:cs="Segoe UI"/>
          <w:sz w:val="22"/>
          <w:szCs w:val="22"/>
        </w:rPr>
        <w:t xml:space="preserve">. </w:t>
      </w:r>
    </w:p>
    <w:p w:rsidR="00E759B6" w:rsidRPr="002F036A" w:rsidP="002F036A">
      <w:pPr>
        <w:rPr>
          <w:rFonts w:ascii="Verdana" w:hAnsi="Verdana" w:cs="Segoe UI"/>
          <w:sz w:val="22"/>
          <w:szCs w:val="22"/>
        </w:rPr>
      </w:pPr>
      <w:r w:rsidRPr="002F036A">
        <w:rPr>
          <w:rFonts w:ascii="Verdana" w:hAnsi="Verdana" w:cs="Segoe UI"/>
          <w:sz w:val="22"/>
          <w:szCs w:val="22"/>
        </w:rPr>
        <w:t>R</w:t>
      </w:r>
      <w:r w:rsidRPr="002F036A" w:rsidR="003A6DA9">
        <w:rPr>
          <w:rFonts w:ascii="Verdana" w:hAnsi="Verdana" w:cs="Segoe UI"/>
          <w:sz w:val="22"/>
          <w:szCs w:val="22"/>
        </w:rPr>
        <w:t>elevant evidence is provided by</w:t>
      </w:r>
      <w:r w:rsidRPr="002F036A">
        <w:rPr>
          <w:rFonts w:ascii="Verdana" w:hAnsi="Verdana" w:cs="Segoe UI"/>
          <w:sz w:val="22"/>
          <w:szCs w:val="22"/>
        </w:rPr>
        <w:t xml:space="preserve"> Torrance </w:t>
      </w:r>
      <w:r w:rsidRPr="002F036A" w:rsidR="003773C0">
        <w:rPr>
          <w:rFonts w:ascii="Verdana" w:hAnsi="Verdana" w:cs="Segoe UI"/>
          <w:sz w:val="22"/>
          <w:szCs w:val="22"/>
        </w:rPr>
        <w:t xml:space="preserve">et al (2026) </w:t>
      </w:r>
      <w:r w:rsidRPr="002F036A">
        <w:rPr>
          <w:rFonts w:ascii="Verdana" w:hAnsi="Verdana" w:cs="Segoe UI"/>
          <w:sz w:val="22"/>
          <w:szCs w:val="22"/>
        </w:rPr>
        <w:t xml:space="preserve">which tested comprehension </w:t>
      </w:r>
      <w:r w:rsidRPr="002F036A" w:rsidR="00C07B7E">
        <w:rPr>
          <w:rFonts w:ascii="Verdana" w:hAnsi="Verdana" w:cs="Segoe UI"/>
          <w:sz w:val="22"/>
          <w:szCs w:val="22"/>
        </w:rPr>
        <w:t>of</w:t>
      </w:r>
      <w:r w:rsidRPr="002F036A">
        <w:rPr>
          <w:rFonts w:ascii="Verdana" w:hAnsi="Verdana" w:cs="Segoe UI"/>
          <w:sz w:val="22"/>
          <w:szCs w:val="22"/>
        </w:rPr>
        <w:t xml:space="preserve"> the new </w:t>
      </w:r>
      <w:r w:rsidRPr="002F036A" w:rsidR="00C07B7E">
        <w:rPr>
          <w:rFonts w:ascii="Verdana" w:hAnsi="Verdana" w:cs="Segoe UI"/>
          <w:sz w:val="22"/>
          <w:szCs w:val="22"/>
        </w:rPr>
        <w:t>“</w:t>
      </w:r>
      <w:r w:rsidRPr="002F036A">
        <w:rPr>
          <w:rFonts w:ascii="Verdana" w:hAnsi="Verdana" w:cs="Segoe UI"/>
          <w:sz w:val="22"/>
          <w:szCs w:val="22"/>
        </w:rPr>
        <w:t>10x</w:t>
      </w:r>
      <w:r w:rsidRPr="002F036A" w:rsidR="00C07B7E">
        <w:rPr>
          <w:rFonts w:ascii="Verdana" w:hAnsi="Verdana" w:cs="Segoe UI"/>
          <w:sz w:val="22"/>
          <w:szCs w:val="22"/>
        </w:rPr>
        <w:t>”</w:t>
      </w:r>
      <w:r w:rsidRPr="002F036A">
        <w:rPr>
          <w:rFonts w:ascii="Verdana" w:hAnsi="Verdana" w:cs="Segoe UI"/>
          <w:sz w:val="22"/>
          <w:szCs w:val="22"/>
        </w:rPr>
        <w:t xml:space="preserve"> </w:t>
      </w:r>
      <w:r w:rsidRPr="002F036A" w:rsidR="00C07B7E">
        <w:rPr>
          <w:rFonts w:ascii="Verdana" w:hAnsi="Verdana" w:cs="Segoe UI"/>
          <w:sz w:val="22"/>
          <w:szCs w:val="22"/>
        </w:rPr>
        <w:t xml:space="preserve">wagering cap, </w:t>
      </w:r>
      <w:r w:rsidRPr="002F036A" w:rsidR="003773C0">
        <w:rPr>
          <w:rFonts w:ascii="Verdana" w:hAnsi="Verdana" w:cs="Segoe UI"/>
          <w:sz w:val="22"/>
          <w:szCs w:val="22"/>
        </w:rPr>
        <w:t>where</w:t>
      </w:r>
      <w:r w:rsidRPr="002F036A" w:rsidR="00C07B7E">
        <w:rPr>
          <w:rFonts w:ascii="Verdana" w:hAnsi="Verdana" w:cs="Segoe UI"/>
          <w:sz w:val="22"/>
          <w:szCs w:val="22"/>
        </w:rPr>
        <w:t xml:space="preserve"> any wagering requirements attached to incentives (such as bonuses) must not exceed 10 times the incentive amount.</w:t>
      </w:r>
      <w:r w:rsidRPr="002F036A">
        <w:rPr>
          <w:rFonts w:ascii="Verdana" w:hAnsi="Verdana" w:cs="Segoe UI"/>
          <w:sz w:val="22"/>
          <w:szCs w:val="22"/>
        </w:rPr>
        <w:t xml:space="preserve"> </w:t>
      </w:r>
      <w:r w:rsidRPr="002F036A" w:rsidR="003773C0">
        <w:rPr>
          <w:rFonts w:ascii="Verdana" w:hAnsi="Verdana" w:cs="Segoe UI"/>
          <w:sz w:val="22"/>
          <w:szCs w:val="22"/>
        </w:rPr>
        <w:t>The authors</w:t>
      </w:r>
      <w:r w:rsidRPr="002F036A">
        <w:rPr>
          <w:rFonts w:ascii="Verdana" w:hAnsi="Verdana" w:cs="Segoe UI"/>
          <w:sz w:val="22"/>
          <w:szCs w:val="22"/>
        </w:rPr>
        <w:t xml:space="preserve"> found that 92.4% of adult gamblers still underestimated the true cost of inducements incorporating the</w:t>
      </w:r>
      <w:r w:rsidRPr="002F036A" w:rsidR="00C07B7E">
        <w:rPr>
          <w:rFonts w:ascii="Verdana" w:hAnsi="Verdana" w:cs="Segoe UI"/>
          <w:sz w:val="22"/>
          <w:szCs w:val="22"/>
        </w:rPr>
        <w:t xml:space="preserve"> </w:t>
      </w:r>
      <w:r w:rsidRPr="002F036A">
        <w:rPr>
          <w:rFonts w:ascii="Verdana" w:hAnsi="Verdana" w:cs="Segoe UI"/>
          <w:sz w:val="22"/>
          <w:szCs w:val="22"/>
        </w:rPr>
        <w:t xml:space="preserve">10x wagering requirement. Participants described these inducements as manipulative and economically worthless, and concluded that they require further reform regardless of the 10x cap. This </w:t>
      </w:r>
      <w:r w:rsidRPr="002F036A" w:rsidR="003773C0">
        <w:rPr>
          <w:rFonts w:ascii="Verdana" w:hAnsi="Verdana" w:cs="Segoe UI"/>
          <w:sz w:val="22"/>
          <w:szCs w:val="22"/>
        </w:rPr>
        <w:t xml:space="preserve">evidence </w:t>
      </w:r>
      <w:r w:rsidRPr="002F036A">
        <w:rPr>
          <w:rFonts w:ascii="Verdana" w:hAnsi="Verdana" w:cs="Segoe UI"/>
          <w:sz w:val="22"/>
          <w:szCs w:val="22"/>
        </w:rPr>
        <w:t xml:space="preserve">indicates that while the cap is a reasonable </w:t>
      </w:r>
      <w:r w:rsidRPr="002F036A" w:rsidR="1C927AF1">
        <w:rPr>
          <w:rFonts w:ascii="Verdana" w:hAnsi="Verdana" w:cs="Segoe UI"/>
          <w:sz w:val="22"/>
          <w:szCs w:val="22"/>
        </w:rPr>
        <w:t xml:space="preserve">first </w:t>
      </w:r>
      <w:r w:rsidRPr="002F036A">
        <w:rPr>
          <w:rFonts w:ascii="Verdana" w:hAnsi="Verdana" w:cs="Segoe UI"/>
          <w:sz w:val="22"/>
          <w:szCs w:val="22"/>
        </w:rPr>
        <w:t>step</w:t>
      </w:r>
      <w:r w:rsidRPr="002F036A" w:rsidR="294E16D6">
        <w:rPr>
          <w:rFonts w:ascii="Verdana" w:hAnsi="Verdana" w:cs="Segoe UI"/>
          <w:sz w:val="22"/>
          <w:szCs w:val="22"/>
        </w:rPr>
        <w:t>,</w:t>
      </w:r>
      <w:r w:rsidRPr="002F036A">
        <w:rPr>
          <w:rFonts w:ascii="Verdana" w:hAnsi="Verdana" w:cs="Segoe UI"/>
          <w:sz w:val="22"/>
          <w:szCs w:val="22"/>
        </w:rPr>
        <w:t xml:space="preserve"> </w:t>
      </w:r>
      <w:r w:rsidRPr="002F036A" w:rsidR="003773C0">
        <w:rPr>
          <w:rFonts w:ascii="Verdana" w:hAnsi="Verdana" w:cs="Segoe UI"/>
          <w:sz w:val="22"/>
          <w:szCs w:val="22"/>
        </w:rPr>
        <w:t>continuing comprehension issues may undermine its efficacy.</w:t>
      </w:r>
      <w:r w:rsidRPr="002F036A" w:rsidR="51C69944">
        <w:rPr>
          <w:rFonts w:ascii="Verdana" w:hAnsi="Verdana" w:cs="Segoe UI"/>
          <w:sz w:val="22"/>
          <w:szCs w:val="22"/>
        </w:rPr>
        <w:t xml:space="preserve"> </w:t>
      </w:r>
      <w:r w:rsidRPr="002F036A" w:rsidR="003773C0">
        <w:rPr>
          <w:rFonts w:ascii="Verdana" w:hAnsi="Verdana" w:cs="Segoe UI"/>
          <w:sz w:val="22"/>
          <w:szCs w:val="22"/>
        </w:rPr>
        <w:t>Evidence from Spain suggests t</w:t>
      </w:r>
      <w:r w:rsidRPr="002F036A" w:rsidR="51C69944">
        <w:rPr>
          <w:rFonts w:ascii="Verdana" w:hAnsi="Verdana" w:cs="Segoe UI"/>
          <w:sz w:val="22"/>
          <w:szCs w:val="22"/>
        </w:rPr>
        <w:t xml:space="preserve">his </w:t>
      </w:r>
      <w:r w:rsidRPr="002F036A" w:rsidR="003773C0">
        <w:rPr>
          <w:rFonts w:ascii="Verdana" w:hAnsi="Verdana" w:cs="Segoe UI"/>
          <w:sz w:val="22"/>
          <w:szCs w:val="22"/>
        </w:rPr>
        <w:t>may be</w:t>
      </w:r>
      <w:r w:rsidRPr="002F036A">
        <w:rPr>
          <w:rFonts w:ascii="Verdana" w:hAnsi="Verdana" w:cs="Segoe UI"/>
          <w:sz w:val="22"/>
          <w:szCs w:val="22"/>
        </w:rPr>
        <w:t xml:space="preserve"> compounded operators migrat</w:t>
      </w:r>
      <w:r w:rsidRPr="002F036A" w:rsidR="003773C0">
        <w:rPr>
          <w:rFonts w:ascii="Verdana" w:hAnsi="Verdana" w:cs="Segoe UI"/>
          <w:sz w:val="22"/>
          <w:szCs w:val="22"/>
        </w:rPr>
        <w:t>ing</w:t>
      </w:r>
      <w:r w:rsidRPr="002F036A">
        <w:rPr>
          <w:rFonts w:ascii="Verdana" w:hAnsi="Verdana" w:cs="Segoe UI"/>
          <w:sz w:val="22"/>
          <w:szCs w:val="22"/>
        </w:rPr>
        <w:t xml:space="preserve"> towards non-wagering incentives such as free bets and odds boosts</w:t>
      </w:r>
      <w:r w:rsidRPr="002F036A" w:rsidR="008F6CA5">
        <w:rPr>
          <w:rFonts w:ascii="Verdana" w:hAnsi="Verdana" w:cs="Segoe UI"/>
          <w:sz w:val="22"/>
          <w:szCs w:val="22"/>
        </w:rPr>
        <w:t xml:space="preserve"> </w:t>
      </w:r>
      <w:r w:rsidRPr="002F036A" w:rsidR="00314738">
        <w:rPr>
          <w:rFonts w:ascii="Verdana" w:hAnsi="Verdana" w:cs="Segoe UI"/>
          <w:sz w:val="22"/>
          <w:szCs w:val="22"/>
        </w:rPr>
        <w:fldChar w:fldCharType="begin" w:fldLock="1"/>
      </w:r>
      <w:r w:rsidRPr="002F036A" w:rsidR="009218CF">
        <w:rPr>
          <w:rFonts w:ascii="Verdana" w:hAnsi="Verdana" w:cs="Segoe UI"/>
          <w:sz w:val="22"/>
          <w:szCs w:val="22"/>
        </w:rPr>
        <w:instrText>ADDIN CSL_CITATION {"citationItems":[{"id":"ITEM-1","itemData":{"author":[{"dropping-particle":"","family":"Aonso-Diego","given":"Gema","non-dropping-particle":"","parse-names":false,"suffix":""},{"dropping-particle":"","family":"García-pérez","given":"Ángel","non-dropping-particle":"","parse-names":false,"suffix":""},{"dropping-particle":"","family":"Krotter","given":"Andrea","non-dropping-particle":"","parse-names":false,"suffix":""}],"container-title":"Harm Reduction Journal","id":"ITEM-1","issued":{"date-parts":[["2025"]]},"page":"107","title":"Impact of Spanish gambling regulations on online gambling behavior and marketing strategies","type":"article-journal","volume":"22"},"uris":["http://www.mendeley.com/documents/?uuid=736bad1d-affc-4563-9e12-92c986363758"]}],"mendeley":{"formattedCitation":"(Aonso-Diego, García-pérez and Krotter, 2025)","plainTextFormattedCitation":"(Aonso-Diego, García-pérez and Krotter, 2025)","previouslyFormattedCitation":"(Aonso-Diego, García-pérez and Krotter, 2025)"},"properties":{"noteIndex":0},"schema":"https://github.com/citation-style-language/schema/raw/master/csl-citation.json"}</w:instrText>
      </w:r>
      <w:r w:rsidRPr="002F036A" w:rsidR="00314738">
        <w:rPr>
          <w:rFonts w:ascii="Verdana" w:hAnsi="Verdana" w:cs="Segoe UI"/>
          <w:sz w:val="22"/>
          <w:szCs w:val="22"/>
        </w:rPr>
        <w:fldChar w:fldCharType="separate"/>
      </w:r>
      <w:r w:rsidRPr="002F036A" w:rsidR="00314738">
        <w:rPr>
          <w:rFonts w:ascii="Verdana" w:hAnsi="Verdana" w:cs="Segoe UI"/>
          <w:noProof/>
          <w:sz w:val="22"/>
          <w:szCs w:val="22"/>
        </w:rPr>
        <w:t>(Aonso-Diego, García-pérez and Krotter, 2025)</w:t>
      </w:r>
      <w:r w:rsidRPr="002F036A" w:rsidR="00314738">
        <w:rPr>
          <w:rFonts w:ascii="Verdana" w:hAnsi="Verdana" w:cs="Segoe UI"/>
          <w:sz w:val="22"/>
          <w:szCs w:val="22"/>
        </w:rPr>
        <w:fldChar w:fldCharType="end"/>
      </w:r>
      <w:r w:rsidRPr="002F036A" w:rsidR="00DA3F11">
        <w:rPr>
          <w:rFonts w:ascii="Verdana" w:hAnsi="Verdana" w:cs="Segoe UI"/>
          <w:sz w:val="22"/>
          <w:szCs w:val="22"/>
        </w:rPr>
        <w:t xml:space="preserve">. </w:t>
      </w:r>
      <w:r w:rsidRPr="002F036A">
        <w:rPr>
          <w:rFonts w:ascii="Verdana" w:hAnsi="Verdana" w:cs="Segoe UI"/>
          <w:sz w:val="22"/>
          <w:szCs w:val="22"/>
        </w:rPr>
        <w:t>On balance, the early indications suggest a useful but partial measure, and the evidence</w:t>
      </w:r>
      <w:r w:rsidRPr="002F036A" w:rsidR="003773C0">
        <w:rPr>
          <w:rFonts w:ascii="Verdana" w:hAnsi="Verdana" w:cs="Segoe UI"/>
          <w:sz w:val="22"/>
          <w:szCs w:val="22"/>
        </w:rPr>
        <w:t xml:space="preserve"> </w:t>
      </w:r>
      <w:r w:rsidRPr="002F036A">
        <w:rPr>
          <w:rFonts w:ascii="Verdana" w:hAnsi="Verdana" w:cs="Segoe UI"/>
          <w:sz w:val="22"/>
          <w:szCs w:val="22"/>
        </w:rPr>
        <w:t>points towards the need for further reform</w:t>
      </w:r>
      <w:r w:rsidRPr="002F036A" w:rsidR="003773C0">
        <w:rPr>
          <w:rFonts w:ascii="Verdana" w:hAnsi="Verdana" w:cs="Segoe UI"/>
          <w:sz w:val="22"/>
          <w:szCs w:val="22"/>
        </w:rPr>
        <w:t>, at least,</w:t>
      </w:r>
      <w:r w:rsidRPr="002F036A" w:rsidR="00C07B7E">
        <w:rPr>
          <w:rFonts w:ascii="Verdana" w:hAnsi="Verdana" w:cs="Segoe UI"/>
          <w:sz w:val="22"/>
          <w:szCs w:val="22"/>
        </w:rPr>
        <w:t xml:space="preserve"> on grounds of consumer transparency.</w:t>
      </w:r>
    </w:p>
    <w:p w:rsidR="00E759B6" w:rsidRPr="002F036A" w:rsidP="002F036A">
      <w:pPr>
        <w:rPr>
          <w:rFonts w:ascii="Verdana" w:hAnsi="Verdana" w:cs="Segoe UI"/>
          <w:sz w:val="22"/>
          <w:szCs w:val="22"/>
        </w:rPr>
      </w:pPr>
    </w:p>
    <w:p w:rsidR="00E759B6"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Would a more comprehensive ban on inducements to start or continue gambling, as recommended by the former committee,</w:t>
      </w:r>
      <w:r>
        <w:rPr>
          <w:rStyle w:val="FootnoteReference"/>
          <w:rFonts w:ascii="Verdana" w:hAnsi="Verdana" w:cs="Segoe UI"/>
          <w:sz w:val="22"/>
          <w:szCs w:val="22"/>
        </w:rPr>
        <w:footnoteReference w:id="7"/>
      </w:r>
      <w:r w:rsidRPr="002F036A">
        <w:rPr>
          <w:rFonts w:ascii="Verdana" w:hAnsi="Verdana" w:cs="Segoe UI"/>
          <w:sz w:val="22"/>
          <w:szCs w:val="22"/>
        </w:rPr>
        <w:t xml:space="preserve"> be more effective in reducing harm?</w:t>
      </w:r>
    </w:p>
    <w:p w:rsidR="00E759B6"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Inducements are the form of gambling marketing most directly linked to behaviour, and restrictions on them have produced the strongest behavioural evidence of any measure in the literature</w:t>
      </w:r>
      <w:r w:rsidRPr="002F036A" w:rsidR="40109227">
        <w:rPr>
          <w:rFonts w:ascii="Verdana" w:hAnsi="Verdana" w:cs="Segoe UI"/>
          <w:sz w:val="22"/>
          <w:szCs w:val="22"/>
        </w:rPr>
        <w:t xml:space="preserve"> </w:t>
      </w:r>
      <w:r w:rsidRPr="002F036A" w:rsidR="009218CF">
        <w:rPr>
          <w:rFonts w:ascii="Verdana" w:hAnsi="Verdana" w:cs="Segoe UI"/>
          <w:sz w:val="22"/>
          <w:szCs w:val="22"/>
        </w:rPr>
        <w:fldChar w:fldCharType="begin" w:fldLock="1"/>
      </w:r>
      <w:r w:rsidRPr="002F036A" w:rsidR="005659BA">
        <w:rPr>
          <w:rFonts w:ascii="Verdana" w:hAnsi="Verdana" w:cs="Segoe UI"/>
          <w:sz w:val="22"/>
          <w:szCs w:val="22"/>
        </w:rPr>
        <w:instrText>ADDIN CSL_CITATION {"citationItems":[{"id":"ITEM-1","itemData":{"DOI":"10.3389/fpsyt.2020.593789","author":[{"dropping-particle":"","family":"Challet-Bouju","given":"Gaëlle","non-dropping-particle":"","parse-names":false,"suffix":""},{"dropping-particle":"","family":"Grall-Bronnec","given":"Marie","non-dropping-particle":"","parse-names":false,"suffix":""},{"dropping-particle":"","family":"Saillard","given":"Anaïs","non-dropping-particle":"","parse-names":false,"suffix":""},{"dropping-particle":"","family":"Leboucher","given":"Juliette","non-dropping-particle":"","parse-names":false,"suffix":""},{"dropping-particle":"","family":"Zack","given":"Martin","non-dropping-particle":"","parse-names":false,"suffix":""}],"container-title":"Frontiers in Psychiatry","id":"ITEM-1","issue":"November","issued":{"date-parts":[["2020"]]},"page":"1-12","title":"Impact of Wagering Inducements on the Gambling Behaviors , Cognitions , and Emotions of Online Gamblers : A Randomized Controlled Study","type":"article-journal","volume":"11"},"uris":["http://www.mendeley.com/documents/?uuid=c32f1aef-e548-445d-a2a2-3bc0d10ee243"]},{"id":"ITEM-2","itemData":{"DOI":"10.1111/add.15665","author":[{"dropping-particle":"","family":"Balem","given":"Marianne","non-dropping-particle":"","parse-names":false,"suffix":""},{"dropping-particle":"","family":"Perrot","given":"Bastien","non-dropping-particle":"","parse-names":false,"suffix":""},{"dropping-particle":"","family":"Hardouin","given":"Jean-benoit","non-dropping-particle":"","parse-names":false,"suffix":""},{"dropping-particle":"","family":"Thiabaud","given":"Elsa","non-dropping-particle":"","parse-names":false,"suffix":""},{"dropping-particle":"","family":"Saillard","given":"Anaïs","non-dropping-particle":"","parse-names":false,"suffix":""}],"container-title":"Addiction","id":"ITEM-2","issued":{"date-parts":[["2022"]]},"page":"1020-1034","title":"Impact of wagering inducements on the gambling behaviors of on-line gamblers : A longitudinal study based on gambling tracking data","type":"article-journal","volume":"117"},"uris":["http://www.mendeley.com/documents/?uuid=d4940519-7ac9-4676-92ba-f08bd42d760c"]}],"mendeley":{"formattedCitation":"(Challet-Bouju &lt;i&gt;et al.&lt;/i&gt;, 2020; Balem &lt;i&gt;et al.&lt;/i&gt;, 2022)","plainTextFormattedCitation":"(Challet-Bouju et al., 2020; Balem et al., 2022)","previouslyFormattedCitation":"(Challet-Bouju &lt;i&gt;et al.&lt;/i&gt;, 2020; Balem &lt;i&gt;et al.&lt;/i&gt;, 2022)"},"properties":{"noteIndex":0},"schema":"https://github.com/citation-style-language/schema/raw/master/csl-citation.json"}</w:instrText>
      </w:r>
      <w:r w:rsidRPr="002F036A" w:rsidR="009218CF">
        <w:rPr>
          <w:rFonts w:ascii="Verdana" w:hAnsi="Verdana" w:cs="Segoe UI"/>
          <w:sz w:val="22"/>
          <w:szCs w:val="22"/>
        </w:rPr>
        <w:fldChar w:fldCharType="separate"/>
      </w:r>
      <w:r w:rsidRPr="002F036A" w:rsidR="009218CF">
        <w:rPr>
          <w:rFonts w:ascii="Verdana" w:hAnsi="Verdana" w:cs="Segoe UI"/>
          <w:noProof/>
          <w:sz w:val="22"/>
          <w:szCs w:val="22"/>
        </w:rPr>
        <w:t xml:space="preserve">(Challet-Bouju </w:t>
      </w:r>
      <w:r w:rsidRPr="002F036A" w:rsidR="009218CF">
        <w:rPr>
          <w:rFonts w:ascii="Verdana" w:hAnsi="Verdana" w:cs="Segoe UI"/>
          <w:i/>
          <w:noProof/>
          <w:sz w:val="22"/>
          <w:szCs w:val="22"/>
        </w:rPr>
        <w:t>et al.</w:t>
      </w:r>
      <w:r w:rsidRPr="002F036A" w:rsidR="009218CF">
        <w:rPr>
          <w:rFonts w:ascii="Verdana" w:hAnsi="Verdana" w:cs="Segoe UI"/>
          <w:noProof/>
          <w:sz w:val="22"/>
          <w:szCs w:val="22"/>
        </w:rPr>
        <w:t xml:space="preserve">, 2020; Balem </w:t>
      </w:r>
      <w:r w:rsidRPr="002F036A" w:rsidR="009218CF">
        <w:rPr>
          <w:rFonts w:ascii="Verdana" w:hAnsi="Verdana" w:cs="Segoe UI"/>
          <w:i/>
          <w:noProof/>
          <w:sz w:val="22"/>
          <w:szCs w:val="22"/>
        </w:rPr>
        <w:t>et al.</w:t>
      </w:r>
      <w:r w:rsidRPr="002F036A" w:rsidR="009218CF">
        <w:rPr>
          <w:rFonts w:ascii="Verdana" w:hAnsi="Verdana" w:cs="Segoe UI"/>
          <w:noProof/>
          <w:sz w:val="22"/>
          <w:szCs w:val="22"/>
        </w:rPr>
        <w:t>, 2022)</w:t>
      </w:r>
      <w:r w:rsidRPr="002F036A" w:rsidR="009218CF">
        <w:rPr>
          <w:rFonts w:ascii="Verdana" w:hAnsi="Verdana" w:cs="Segoe UI"/>
          <w:sz w:val="22"/>
          <w:szCs w:val="22"/>
        </w:rPr>
        <w:fldChar w:fldCharType="end"/>
      </w:r>
      <w:r w:rsidRPr="002F036A">
        <w:rPr>
          <w:rFonts w:ascii="Verdana" w:hAnsi="Verdana" w:cs="Segoe UI"/>
          <w:sz w:val="22"/>
          <w:szCs w:val="22"/>
        </w:rPr>
        <w:t xml:space="preserve">. Qualitative evidence links inducements (bonuses, sign-up offers, cashback deals) with increased gambling behaviour; increased expenditure and time spent gambling; and reduced perceived risk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{"citationItems":[{"id":"ITEM-1","itemData":{"author":[{"dropping-particle":"","family":"Jääskeläinen, P., Kivistö, M. &amp; Marionneau","given":"V. (forthcoming). Under review.","non-dropping-particle":"","parse-names":false,"suffix":""}],"id":"ITEM-1","issued":{"date-parts":[["0"]]},"title":"How does gambling marketing affect behaviours and attitudes? A systematic review of qualitative studies (forthcoming)","type":"article-journal"},"uris":["http://www.mendeley.com/documents/?uuid=3a1900aa-952a-459d-a0ab-f1a49ec3fe2b"]}],"mendeley":{"formattedCitation":"(Jääskeläinen, P., Kivistö, M. &amp; Marionneau, no date)","plainTextFormattedCitation":"(Jääskeläinen, P., Kivistö, M. &amp; Marionneau, no date)","previouslyFormattedCitation":"(Jääskeläinen, P., Kivistö, M. &amp; Marionneau, no date)"},"properties":{"noteIndex":0},"schema":"https://github.com/citation-style-language/schema/raw/master/csl-citation.json"}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(Jääskeläinen, P., Kivistö, M. &amp; Marionneau, no date)</w:t>
      </w:r>
      <w:r w:rsidRPr="002F036A">
        <w:rPr>
          <w:rFonts w:ascii="Verdana" w:hAnsi="Verdana" w:cs="Segoe UI"/>
          <w:sz w:val="22"/>
          <w:szCs w:val="22"/>
        </w:rPr>
        <w:fldChar w:fldCharType="end"/>
      </w:r>
      <w:r w:rsidRPr="002F036A">
        <w:rPr>
          <w:rFonts w:ascii="Verdana" w:hAnsi="Verdana" w:cs="Segoe UI"/>
          <w:sz w:val="22"/>
          <w:szCs w:val="22"/>
        </w:rPr>
        <w:t>.</w:t>
      </w:r>
    </w:p>
    <w:p w:rsidR="00E759B6" w:rsidRPr="002F036A" w:rsidP="002F036A">
      <w:pPr>
        <w:rPr>
          <w:rFonts w:ascii="Verdana" w:hAnsi="Verdana" w:cs="Segoe UI"/>
          <w:sz w:val="22"/>
          <w:szCs w:val="22"/>
        </w:rPr>
      </w:pPr>
      <w:r w:rsidRPr="002F036A">
        <w:rPr>
          <w:rFonts w:ascii="Verdana" w:hAnsi="Verdana" w:cs="Segoe UI"/>
          <w:sz w:val="22"/>
          <w:szCs w:val="22"/>
        </w:rPr>
        <w:t>The case turns on who is targeted. Welcome and sign-up bonuses fall disproportionately o</w:t>
      </w:r>
      <w:r w:rsidRPr="002F036A" w:rsidR="006646BD">
        <w:rPr>
          <w:rFonts w:ascii="Verdana" w:hAnsi="Verdana" w:cs="Segoe UI"/>
          <w:sz w:val="22"/>
          <w:szCs w:val="22"/>
        </w:rPr>
        <w:t>n</w:t>
      </w:r>
      <w:r w:rsidRPr="002F036A">
        <w:rPr>
          <w:rFonts w:ascii="Verdana" w:hAnsi="Verdana" w:cs="Segoe UI"/>
          <w:sz w:val="22"/>
          <w:szCs w:val="22"/>
        </w:rPr>
        <w:t xml:space="preserve"> younger consumers </w:t>
      </w:r>
      <w:r w:rsidRPr="002F036A" w:rsidR="006646BD">
        <w:rPr>
          <w:rFonts w:ascii="Verdana" w:hAnsi="Verdana" w:cs="Segoe UI"/>
          <w:sz w:val="22"/>
          <w:szCs w:val="22"/>
        </w:rPr>
        <w:fldChar w:fldCharType="begin" w:fldLock="1"/>
      </w:r>
      <w:r w:rsidRPr="002F036A" w:rsidR="006646BD">
        <w:rPr>
          <w:rFonts w:ascii="Verdana" w:hAnsi="Verdana" w:cs="Segoe UI"/>
          <w:sz w:val="22"/>
          <w:szCs w:val="22"/>
        </w:rPr>
        <w:instrText>ADDIN CSL_CITATION {"citationItems":[{"id":"ITEM-1","itemData":{"author":[{"dropping-particle":"","family":"Gambling Commission","given":"","non-dropping-particle":"","parse-names":false,"suffix":""}],"id":"ITEM-1","issued":{"date-parts":[["2023"]]},"publisher-place":"Birmingham, UK","title":"Consumer experiences and attitudes to Free Bets &amp; Bonuses","type":"report"},"uris":["http://www.mendeley.com/documents/?uuid=8e42dccc-c53b-40fe-9b34-c45a7217d60e"]}],"mendeley":{"formattedCitation":"(Gambling Commission, 2023)","plainTextFormattedCitation":"(Gambling Commission, 2023)","previouslyFormattedCitation":"(Gambling Commission, 2023)"},"properties":{"noteIndex":0},"schema":"https://github.com/citation-style-language/schema/raw/master/csl-citation.json"}</w:instrText>
      </w:r>
      <w:r w:rsidRPr="002F036A" w:rsidR="006646BD">
        <w:rPr>
          <w:rFonts w:ascii="Verdana" w:hAnsi="Verdana" w:cs="Segoe UI"/>
          <w:sz w:val="22"/>
          <w:szCs w:val="22"/>
        </w:rPr>
        <w:fldChar w:fldCharType="separate"/>
      </w:r>
      <w:r w:rsidRPr="002F036A" w:rsidR="006646BD">
        <w:rPr>
          <w:rFonts w:ascii="Verdana" w:hAnsi="Verdana" w:cs="Segoe UI"/>
          <w:noProof/>
          <w:sz w:val="22"/>
          <w:szCs w:val="22"/>
        </w:rPr>
        <w:t>(Gambling Commission, 2023)</w:t>
      </w:r>
      <w:r w:rsidRPr="002F036A" w:rsidR="006646BD">
        <w:rPr>
          <w:rFonts w:ascii="Verdana" w:hAnsi="Verdana" w:cs="Segoe UI"/>
          <w:sz w:val="22"/>
          <w:szCs w:val="22"/>
        </w:rPr>
        <w:fldChar w:fldCharType="end"/>
      </w:r>
      <w:r w:rsidRPr="002F036A" w:rsidR="006646BD">
        <w:rPr>
          <w:rFonts w:ascii="Verdana" w:hAnsi="Verdana" w:cs="Segoe UI"/>
          <w:sz w:val="22"/>
          <w:szCs w:val="22"/>
        </w:rPr>
        <w:t xml:space="preserve"> and may serve as a pathway from non-gambling to gambling. In both Australia and Spain, acquisition inducements have been prohibited</w:t>
      </w:r>
      <w:r w:rsidRPr="002F036A" w:rsidR="00124488">
        <w:rPr>
          <w:rFonts w:ascii="Verdana" w:hAnsi="Verdana" w:cs="Segoe UI"/>
          <w:sz w:val="22"/>
          <w:szCs w:val="22"/>
        </w:rPr>
        <w:t xml:space="preserve"> </w:t>
      </w:r>
      <w:r w:rsidRPr="002F036A" w:rsidR="00124488">
        <w:rPr>
          <w:rFonts w:ascii="Verdana" w:hAnsi="Verdana" w:cs="Segoe UI"/>
          <w:sz w:val="22"/>
          <w:szCs w:val="22"/>
        </w:rPr>
        <w:fldChar w:fldCharType="begin" w:fldLock="1"/>
      </w:r>
      <w:r w:rsidRPr="002F036A" w:rsidR="005D172F">
        <w:rPr>
          <w:rFonts w:ascii="Verdana" w:hAnsi="Verdana" w:cs="Segoe UI"/>
          <w:sz w:val="22"/>
          <w:szCs w:val="22"/>
        </w:rPr>
        <w:instrText>ADDIN CSL_CITATION {"citationItems":[{"id":"ITEM-1","itemData":{"author":[{"dropping-particle":"","family":"Department of Social Services","given":"","non-dropping-particle":"","parse-names":false,"suffix":""}],"id":"ITEM-1","issued":{"date-parts":[["2022"]]},"publisher-place":"Canberra","title":"National Consumer Protection Framework for Online Wagering in Australia – National Policy Statement","type":"report"},"uris":["http://www.mendeley.com/documents/?uuid=b07da812-40e4-4593-ad7a-5dbd7ed802cb"]}],"mendeley":{"formattedCitation":"(Department of Social Services, 2022)","plainTextFormattedCitation":"(Department of Social Services, 2022)","previouslyFormattedCitation":"(Department of Social Services, 2022)"},"properties":{"noteIndex":0},"schema":"https://github.com/citation-style-language/schema/raw/master/csl-citation.json"}</w:instrText>
      </w:r>
      <w:r w:rsidRPr="002F036A" w:rsidR="00124488">
        <w:rPr>
          <w:rFonts w:ascii="Verdana" w:hAnsi="Verdana" w:cs="Segoe UI"/>
          <w:sz w:val="22"/>
          <w:szCs w:val="22"/>
        </w:rPr>
        <w:fldChar w:fldCharType="separate"/>
      </w:r>
      <w:r w:rsidRPr="002F036A" w:rsidR="00124488">
        <w:rPr>
          <w:rFonts w:ascii="Verdana" w:hAnsi="Verdana" w:cs="Segoe UI"/>
          <w:noProof/>
          <w:sz w:val="22"/>
          <w:szCs w:val="22"/>
        </w:rPr>
        <w:t>(Department of Social Services, 2022)</w:t>
      </w:r>
      <w:r w:rsidRPr="002F036A" w:rsidR="00124488">
        <w:rPr>
          <w:rFonts w:ascii="Verdana" w:hAnsi="Verdana" w:cs="Segoe UI"/>
          <w:sz w:val="22"/>
          <w:szCs w:val="22"/>
        </w:rPr>
        <w:fldChar w:fldCharType="end"/>
      </w:r>
      <w:r w:rsidR="0043450A">
        <w:rPr>
          <w:rFonts w:ascii="Verdana" w:hAnsi="Verdana" w:cs="Segoe UI"/>
          <w:sz w:val="22"/>
          <w:szCs w:val="22"/>
        </w:rPr>
        <w:t>.</w:t>
      </w:r>
      <w:r w:rsidRPr="002F036A" w:rsidR="00124488">
        <w:rPr>
          <w:rFonts w:ascii="Verdana" w:hAnsi="Verdana" w:cs="Segoe UI"/>
          <w:sz w:val="22"/>
          <w:szCs w:val="22"/>
        </w:rPr>
        <w:t xml:space="preserve"> </w:t>
      </w:r>
      <w:r w:rsidRPr="002F036A">
        <w:rPr>
          <w:rFonts w:ascii="Verdana" w:hAnsi="Verdana" w:cs="Segoe UI"/>
          <w:sz w:val="22"/>
          <w:szCs w:val="22"/>
        </w:rPr>
        <w:t>In Spain, this</w:t>
      </w:r>
      <w:r w:rsidRPr="002F036A" w:rsidR="006646BD">
        <w:rPr>
          <w:rFonts w:ascii="Verdana" w:hAnsi="Verdana" w:cs="Segoe UI"/>
          <w:sz w:val="22"/>
          <w:szCs w:val="22"/>
        </w:rPr>
        <w:t xml:space="preserve"> action</w:t>
      </w:r>
      <w:r w:rsidRPr="002F036A">
        <w:rPr>
          <w:rFonts w:ascii="Verdana" w:hAnsi="Verdana" w:cs="Segoe UI"/>
          <w:sz w:val="22"/>
          <w:szCs w:val="22"/>
        </w:rPr>
        <w:t xml:space="preserve"> was followed by a sustained fall in new account openings and in total amounts staked </w:t>
      </w:r>
      <w:r w:rsidRPr="002F036A">
        <w:rPr>
          <w:rFonts w:ascii="Verdana" w:hAnsi="Verdana" w:cs="Segoe UI"/>
          <w:sz w:val="22"/>
          <w:szCs w:val="22"/>
        </w:rPr>
        <w:fldChar w:fldCharType="begin" w:fldLock="1"/>
      </w:r>
      <w:r w:rsidRPr="002F036A" w:rsidR="0066495B">
        <w:rPr>
          <w:rFonts w:ascii="Verdana" w:hAnsi="Verdana" w:cs="Segoe UI"/>
          <w:sz w:val="22"/>
          <w:szCs w:val="22"/>
        </w:rPr>
        <w:instrText>ADDIN CSL_CITATION {"citationItems":[{"id":"ITEM-1","itemData":{"author":[{"dropping-particle":"","family":"Aonso-Diego","given":"Gema","non-dropping-particle":"","parse-names":false,"suffix":""},{"dropping-particle":"","family":"García-pérez","given":"Ángel","non-dropping-particle":"","parse-names":false,"suffix":""},{"dropping-particle":"","family":"Krotter","given":"Andrea","non-dropping-particle":"","parse-names":false,"suffix":""}],"container-title":"Harm Reduction Journal","id":"ITEM-1","issued":{"date-parts":[["2025"]]},"page":"107","title":"Impact of Spanish gambling regulations on online gambling behavior and marketing strategies","type":"article-journal","volume":"22"},"uris":["http://www.mendeley.com/documents/?uuid=736bad1d-affc-4563-9e12-92c986363758"]}],"mendeley":{"formattedCitation":"(Aonso-Diego, García-pérez and Krotter, 2025)","plainTextFormattedCitation":"(Aonso-Diego, García-pérez and Krotter, 2025)","previouslyFormattedCitation":"(Aonso-Diego, García-pérez and Krotter, 2025)"},"properties":{"noteIndex":0},"schema":"https://github.com/citation-style-language/schema/raw/master/csl-citation.json"}</w:instrText>
      </w:r>
      <w:r w:rsidRPr="002F036A">
        <w:rPr>
          <w:rFonts w:ascii="Verdana" w:hAnsi="Verdana" w:cs="Segoe UI"/>
          <w:sz w:val="22"/>
          <w:szCs w:val="22"/>
        </w:rPr>
        <w:fldChar w:fldCharType="separate"/>
      </w:r>
      <w:r w:rsidRPr="002F036A" w:rsidR="009B79ED">
        <w:rPr>
          <w:rFonts w:ascii="Verdana" w:hAnsi="Verdana" w:cs="Segoe UI"/>
          <w:noProof/>
          <w:sz w:val="22"/>
          <w:szCs w:val="22"/>
        </w:rPr>
        <w:t>(Aonso-Diego, García-pérez and Krotter, 2025)</w:t>
      </w:r>
      <w:r w:rsidRPr="002F036A">
        <w:rPr>
          <w:rFonts w:ascii="Verdana" w:hAnsi="Verdana" w:cs="Segoe UI"/>
          <w:sz w:val="22"/>
          <w:szCs w:val="22"/>
        </w:rPr>
        <w:fldChar w:fldCharType="end"/>
      </w:r>
      <w:r w:rsidRPr="002F036A">
        <w:rPr>
          <w:rFonts w:ascii="Verdana" w:hAnsi="Verdana" w:cs="Segoe UI"/>
          <w:sz w:val="22"/>
          <w:szCs w:val="22"/>
        </w:rPr>
        <w:t xml:space="preserve">. </w:t>
      </w:r>
    </w:p>
    <w:p w:rsidR="008D2F6C" w:rsidRPr="002F036A" w:rsidP="002F036A">
      <w:pPr>
        <w:rPr>
          <w:rFonts w:ascii="Verdana" w:hAnsi="Verdana" w:cs="Segoe UI"/>
          <w:sz w:val="22"/>
          <w:szCs w:val="22"/>
        </w:rPr>
      </w:pPr>
    </w:p>
    <w:p w:rsidR="008D2F6C"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Does the current regulatory framework for gambling advertising sufficiently account for the different levels of risk associated with different products, and risks linked to cross-selling?</w:t>
      </w:r>
    </w:p>
    <w:p w:rsidR="00E759B6"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No. The current regulatory framework does not systematically calibrate gambling advertising restrictions to the different levels of risk associated with different products, nor does it sufficiently address risks linked to cross-selling.</w:t>
      </w:r>
    </w:p>
    <w:p w:rsidR="00E759B6" w:rsidRPr="002F036A" w:rsidP="002F036A">
      <w:pPr>
        <w:rPr>
          <w:rFonts w:ascii="Verdana" w:hAnsi="Verdana" w:cs="Segoe UI"/>
          <w:sz w:val="22"/>
          <w:szCs w:val="22"/>
        </w:rPr>
      </w:pPr>
      <w:r w:rsidRPr="002F036A">
        <w:rPr>
          <w:rFonts w:ascii="Verdana" w:hAnsi="Verdana" w:cs="Segoe UI"/>
          <w:sz w:val="22"/>
          <w:szCs w:val="22"/>
        </w:rPr>
        <w:t xml:space="preserve">Some European countries have stricter rules on the marketing of the most harmful products – in most cases online and land-based EGMs and casino products. Finland and Norway prohibit the advertisement of both online and land-based casinos and EGMs. In addition, fast-paced online betting products cannot be advertised in Finland. In Germany, online casino gambling is subject to watershed restrictions, unlike sports betting advertising. In some other countries with strict gambling marketing regulations, lotteries are exempt (Estonia, Latvia, Bulgaria)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10.1080/14459795.2026.2682456","ISSN":"1445-9795","author":[{"dropping-particle":"","family":"Marionneau","given":"Virve","non-dropping-particle":"","parse-names":false,"suffix":""},{"dropping-particle":"","family":"Mcgrane","given":"Ellen","non-dropping-particle":"","parse-names":false,"suffix":""},{"dropping-particle":"","family":"Ukhova","given":"Daria","non-dropping-particle":"","parse-names":false,"suffix":""},{"dropping-particle":"","family":"Wardle","given":"Heather","non-dropping-particle":"","parse-names":false,"suffix":""}],"container-title":"International Gambling Studies","id":"ITEM-1","issue":"00","issued":{"date-parts":[["2026"]]},"page":"1-27","publisher":"Routledge","title":"Regulations on gambling advertising in Europe : a comparative policy review Regulations on gambling advertising in Europe : a comparative policy review ABSTRACT","type":"article-journal","volume":"00"},"uris":["http://www.mendeley.com/documents/?uuid=4be8f048-06fb-4f9d-b7bb-bbd690a4c1fa"]}],"mendeley":{"formattedCitation":"(Marionneau &lt;i&gt;et al.&lt;/i&gt;, 2026)","plainTextFormattedCitation":"(Marionneau et al., 2026)","previouslyFormattedCitation":"(Marionneau &lt;i&gt;et al.&lt;/i&gt;,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(Marionneau </w:t>
      </w:r>
      <w:r w:rsidRPr="002F036A">
        <w:rPr>
          <w:rFonts w:ascii="Verdana" w:hAnsi="Verdana" w:cs="Segoe UI"/>
          <w:i/>
          <w:noProof/>
          <w:sz w:val="22"/>
          <w:szCs w:val="22"/>
        </w:rPr>
        <w:t>et al.</w:t>
      </w:r>
      <w:r w:rsidRPr="002F036A">
        <w:rPr>
          <w:rFonts w:ascii="Verdana" w:hAnsi="Verdana" w:cs="Segoe UI"/>
          <w:noProof/>
          <w:sz w:val="22"/>
          <w:szCs w:val="22"/>
        </w:rPr>
        <w:t>, 2026)</w:t>
      </w:r>
      <w:r w:rsidRPr="002F036A">
        <w:rPr>
          <w:rFonts w:ascii="Verdana" w:hAnsi="Verdana" w:cs="Segoe UI"/>
          <w:sz w:val="22"/>
          <w:szCs w:val="22"/>
        </w:rPr>
        <w:fldChar w:fldCharType="end"/>
      </w:r>
      <w:r w:rsidRPr="002F036A">
        <w:rPr>
          <w:rFonts w:ascii="Verdana" w:hAnsi="Verdana" w:cs="Segoe UI"/>
          <w:sz w:val="22"/>
          <w:szCs w:val="22"/>
        </w:rPr>
        <w:t>.</w:t>
      </w:r>
    </w:p>
    <w:p w:rsidR="00E759B6" w:rsidRPr="002F036A" w:rsidP="002F036A">
      <w:pPr>
        <w:rPr>
          <w:rFonts w:ascii="Verdana" w:hAnsi="Verdana" w:cs="Segoe UI"/>
          <w:sz w:val="22"/>
          <w:szCs w:val="22"/>
        </w:rPr>
      </w:pPr>
      <w:r w:rsidRPr="002F036A">
        <w:rPr>
          <w:rFonts w:ascii="Verdana" w:hAnsi="Verdana" w:cs="Segoe UI"/>
          <w:sz w:val="22"/>
          <w:szCs w:val="22"/>
        </w:rPr>
        <w:t xml:space="preserve">These examples show that advertising regulation can be designed to reflect differences in product risk. Great Britain’s current framework does this only to a limited extent. It does not provide a systematic hierarchy of advertising restrictions based on the risk characteristics of products, such as speed of play, </w:t>
      </w:r>
      <w:r w:rsidRPr="002F036A">
        <w:rPr>
          <w:rFonts w:ascii="Verdana" w:hAnsi="Verdana" w:cs="Segoe UI"/>
          <w:sz w:val="22"/>
          <w:szCs w:val="22"/>
        </w:rPr>
        <w:t>event frequency, structural intensity, accessibility, or association with higher levels of gambling harm.</w:t>
      </w:r>
    </w:p>
    <w:p w:rsidR="00E759B6" w:rsidRPr="002F036A" w:rsidP="002F036A">
      <w:pPr>
        <w:rPr>
          <w:rFonts w:ascii="Verdana" w:hAnsi="Verdana" w:cs="Segoe UI"/>
          <w:sz w:val="22"/>
          <w:szCs w:val="22"/>
        </w:rPr>
      </w:pPr>
      <w:r w:rsidRPr="002F036A">
        <w:rPr>
          <w:rFonts w:ascii="Verdana" w:hAnsi="Verdana" w:cs="Segoe UI"/>
          <w:sz w:val="22"/>
          <w:szCs w:val="22"/>
        </w:rPr>
        <w:t xml:space="preserve">Regulations on marketing of the most harmful gambling products can also limit cross-selling. Cross-selling increases gambling involvement among existing consumers by getting them to add gambling types to their gambling repertoire. Greater gambling involvement is associated with increased risk of gambling harms. </w:t>
      </w:r>
      <w:r w:rsidRPr="002F036A" w:rsidR="0084598C">
        <w:rPr>
          <w:rFonts w:ascii="Verdana" w:hAnsi="Verdana" w:cs="Segoe UI"/>
          <w:sz w:val="22"/>
          <w:szCs w:val="22"/>
        </w:rPr>
        <w:t>For example, a</w:t>
      </w:r>
      <w:r w:rsidRPr="002F036A">
        <w:rPr>
          <w:rFonts w:ascii="Verdana" w:hAnsi="Verdana" w:cs="Segoe UI"/>
          <w:sz w:val="22"/>
          <w:szCs w:val="22"/>
        </w:rPr>
        <w:t xml:space="preserve">nalysis of data from eight different jurisdictions showed that increasing the number of gambling activities someone undertakes per year beyond three or four different types is associated with an increased risk of gambling harms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{"citationItems":[{"id":"ITEM-1","itemData":{"DOI":"10.1080/14459795.2022.2143546","ISSN":"1445-9795","author":[{"dropping-particle":"","family":"Hodgins","given":"David C","non-dropping-particle":"","parse-names":false,"suffix":""},{"dropping-particle":"","family":"Young","given":"Matthew M","non-dropping-particle":"","parse-names":false,"suffix":""},{"dropping-particle":"","family":"Currie","given":"Shawn R","non-dropping-particle":"","parse-names":false,"suffix":""},{"dropping-particle":"","family":"Abbott","given":"Max","non-dropping-particle":"","parse-names":false,"suffix":""},{"dropping-particle":"","family":"Brunelle","given":"Natacha","non-dropping-particle":"","parse-names":false,"suffix":""},{"dropping-particle":"","family":"Costes","given":"Jean-michel","non-dropping-particle":"","parse-names":false,"suffix":""},{"dropping-particle":"","family":"Dufour","given":"Magali","non-dropping-particle":"","parse-names":false,"suffix":""},{"dropping-particle":"","family":"Olason","given":"Daniel T","non-dropping-particle":"","parse-names":false,"suffix":""},{"dropping-particle":"","family":"Paradis","given":"Catherine","non-dropping-particle":"","parse-names":false,"suffix":""},{"dropping-particle":"","family":"Romild","given":"Ulla","non-dropping-particle":"","parse-names":false,"suffix":""},{"dropping-particle":"","family":"Salonen","given":"Anne","non-dropping-particle":"","parse-names":false,"suffix":""},{"dropping-particle":"","family":"Volberg","given":"Rachel","non-dropping-particle":"","parse-names":false,"suffix":""},{"dropping-particle":"","family":"Nadeau","given":"Louise","non-dropping-particle":"","parse-names":false,"suffix":""},{"dropping-particle":"","family":"Hodgins","given":"David C","non-dropping-particle":"","parse-names":false,"suffix":""},{"dropping-particle":"","family":"Young","given":"Matthew M","non-dropping-particle":"","parse-names":false,"suffix":""},{"dropping-particle":"","family":"Currie","given":"Shawn R","non-dropping-particle":"","parse-names":false,"suffix":""},{"dropping-particle":"","family":"Abbott","given":"Max","non-dropping-particle":"","parse-names":false,"suffix":""},{"dropping-particle":"","family":"Brunelle","given":"Natacha","non-dropping-particle":"","parse-names":false,"suffix":""},{"dropping-particle":"","family":"Costes","given":"Jean-michel","non-dropping-particle":"","parse-names":false,"suffix":""},{"dropping-particle":"","family":"Dufour","given":"Magali","non-dropping-particle":"","parse-names":false,"suffix":""},{"dropping-particle":"","family":"Daniel","given":"T","non-dropping-particle":"","parse-names":false,"suffix":""},{"dropping-particle":"","family":"Paradis","given":"Catherine","non-dropping-particle":"","parse-names":false,"suffix":""},{"dropping-particle":"","family":"Romild","given":"Ulla","non-dropping-particle":"","parse-names":false,"suffix":""},{"dropping-particle":"","family":"Salonen","given":"Anne","non-dropping-particle":"","parse-names":false,"suffix":""},{"dropping-particle":"","family":"Volberg","given":"Rachel","non-dropping-particle":"","parse-names":false,"suffix":""},{"dropping-particle":"","family":"Nadeau","given":"Louise","non-dropping-particle":"","parse-names":false,"suffix":""}],"container-title":"International Gambling Studies","id":"ITEM-1","issue":"2","issued":{"date-parts":[["2023"]]},"page":"328-344","publisher":"Routledge","title":"Lower-risk gambling limits : linked analyses across eight countries","type":"article-journal","volume":"23"},"uris":["http://www.mendeley.com/documents/?uuid=1d211459-ce91-4cbb-be84-9b6f9cb8602c"]}],"mendeley":{"formattedCitation":"(Hodgins &lt;i&gt;et al.&lt;/i&gt;, 2023)","plainTextFormattedCitation":"(Hodgins et al., 2023)","previouslyFormattedCitation":"(Hodgins &lt;i&gt;et al.&lt;/i&gt;, 2023)"},"properties":{"noteIndex":0},"schema":"https://github.com/citation-style-language/schema/raw/master/csl-citation.json"}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(Hodgins </w:t>
      </w:r>
      <w:r w:rsidRPr="002F036A">
        <w:rPr>
          <w:rFonts w:ascii="Verdana" w:hAnsi="Verdana" w:cs="Segoe UI"/>
          <w:i/>
          <w:noProof/>
          <w:sz w:val="22"/>
          <w:szCs w:val="22"/>
        </w:rPr>
        <w:t>et al.</w:t>
      </w:r>
      <w:r w:rsidRPr="002F036A">
        <w:rPr>
          <w:rFonts w:ascii="Verdana" w:hAnsi="Verdana" w:cs="Segoe UI"/>
          <w:noProof/>
          <w:sz w:val="22"/>
          <w:szCs w:val="22"/>
        </w:rPr>
        <w:t>, 2023)</w:t>
      </w:r>
      <w:r w:rsidRPr="002F036A">
        <w:rPr>
          <w:rFonts w:ascii="Verdana" w:hAnsi="Verdana" w:cs="Segoe UI"/>
          <w:sz w:val="22"/>
          <w:szCs w:val="22"/>
        </w:rPr>
        <w:fldChar w:fldCharType="end"/>
      </w:r>
      <w:r w:rsidRPr="002F036A">
        <w:rPr>
          <w:rFonts w:ascii="Verdana" w:hAnsi="Verdana" w:cs="Segoe UI"/>
          <w:sz w:val="22"/>
          <w:szCs w:val="22"/>
        </w:rPr>
        <w:t>.</w:t>
      </w:r>
    </w:p>
    <w:p w:rsidR="0084598C" w:rsidRPr="002F036A" w:rsidP="002F036A">
      <w:pPr>
        <w:rPr>
          <w:rFonts w:ascii="Verdana" w:hAnsi="Verdana" w:cs="Segoe UI"/>
          <w:sz w:val="22"/>
          <w:szCs w:val="22"/>
        </w:rPr>
      </w:pPr>
      <w:r w:rsidRPr="002F036A">
        <w:rPr>
          <w:rFonts w:ascii="Verdana" w:hAnsi="Verdana" w:cs="Segoe UI"/>
          <w:sz w:val="22"/>
          <w:szCs w:val="22"/>
        </w:rPr>
        <w:t xml:space="preserve">A regulatory </w:t>
      </w:r>
      <w:r w:rsidRPr="002F036A" w:rsidR="00E759B6">
        <w:rPr>
          <w:rFonts w:ascii="Verdana" w:hAnsi="Verdana" w:cs="Segoe UI"/>
          <w:sz w:val="22"/>
          <w:szCs w:val="22"/>
        </w:rPr>
        <w:t xml:space="preserve">framework </w:t>
      </w:r>
      <w:r w:rsidRPr="002F036A">
        <w:rPr>
          <w:rFonts w:ascii="Verdana" w:hAnsi="Verdana" w:cs="Segoe UI"/>
          <w:sz w:val="22"/>
          <w:szCs w:val="22"/>
        </w:rPr>
        <w:t>c</w:t>
      </w:r>
      <w:r w:rsidRPr="002F036A" w:rsidR="00E759B6">
        <w:rPr>
          <w:rFonts w:ascii="Verdana" w:hAnsi="Verdana" w:cs="Segoe UI"/>
          <w:sz w:val="22"/>
          <w:szCs w:val="22"/>
        </w:rPr>
        <w:t>ould distinguish between product categories according to their risk characteristics, restrict marketing for higher-risk products more strongly, and limit practices that encourage consumers to move between products in ways that increase intensity and breadth of gambling involvement.</w:t>
      </w:r>
      <w:r w:rsidRPr="002F036A">
        <w:rPr>
          <w:rFonts w:ascii="Verdana" w:hAnsi="Verdana" w:cs="Segoe UI"/>
          <w:sz w:val="22"/>
          <w:szCs w:val="22"/>
        </w:rPr>
        <w:t xml:space="preserve"> However, most gambling operators maintain unified brand identities across multiple products spanning different levels of risk. As such, permitting </w:t>
      </w:r>
      <w:r w:rsidRPr="002F036A" w:rsidR="00D339B0">
        <w:rPr>
          <w:rFonts w:ascii="Verdana" w:hAnsi="Verdana" w:cs="Segoe UI"/>
          <w:sz w:val="22"/>
          <w:szCs w:val="22"/>
        </w:rPr>
        <w:t xml:space="preserve">an </w:t>
      </w:r>
      <w:r w:rsidRPr="002F036A">
        <w:rPr>
          <w:rFonts w:ascii="Verdana" w:hAnsi="Verdana" w:cs="Segoe UI"/>
          <w:sz w:val="22"/>
          <w:szCs w:val="22"/>
        </w:rPr>
        <w:t>operator</w:t>
      </w:r>
      <w:r w:rsidRPr="002F036A" w:rsidR="00D339B0">
        <w:rPr>
          <w:rFonts w:ascii="Verdana" w:hAnsi="Verdana" w:cs="Segoe UI"/>
          <w:sz w:val="22"/>
          <w:szCs w:val="22"/>
        </w:rPr>
        <w:t xml:space="preserve"> </w:t>
      </w:r>
      <w:r w:rsidRPr="002F036A">
        <w:rPr>
          <w:rFonts w:ascii="Verdana" w:hAnsi="Verdana" w:cs="Segoe UI"/>
          <w:sz w:val="22"/>
          <w:szCs w:val="22"/>
        </w:rPr>
        <w:t>to promote a lower-risk product would need to be accompanied by strict safeguards preventing the targeting or cross-marketing of higher-risk products within the same portfolio</w:t>
      </w:r>
      <w:r w:rsidRPr="002F036A" w:rsidR="00D339B0">
        <w:rPr>
          <w:rFonts w:ascii="Verdana" w:hAnsi="Verdana" w:cs="Segoe UI"/>
          <w:sz w:val="22"/>
          <w:szCs w:val="22"/>
        </w:rPr>
        <w:t>, brand identity or operating group</w:t>
      </w:r>
      <w:r w:rsidRPr="002F036A">
        <w:rPr>
          <w:rFonts w:ascii="Verdana" w:hAnsi="Verdana" w:cs="Segoe UI"/>
          <w:sz w:val="22"/>
          <w:szCs w:val="22"/>
        </w:rPr>
        <w:t xml:space="preserve"> to those customers. Without such protections, differential regulation based on product risk may simply create indirect pathways that expose consumers to more harmful gambling options through the same operator ecosystem.</w:t>
      </w:r>
    </w:p>
    <w:p w:rsidR="008D2F6C" w:rsidRPr="002F036A" w:rsidP="002F036A">
      <w:pPr>
        <w:rPr>
          <w:rFonts w:ascii="Verdana" w:hAnsi="Verdana" w:cs="Segoe UI"/>
          <w:b/>
          <w:bCs/>
          <w:i/>
          <w:iCs/>
          <w:sz w:val="22"/>
          <w:szCs w:val="22"/>
        </w:rPr>
      </w:pPr>
    </w:p>
    <w:p w:rsidR="00E759B6" w:rsidRPr="002F036A" w:rsidP="002F036A">
      <w:pPr>
        <w:rPr>
          <w:rFonts w:ascii="Verdana" w:hAnsi="Verdana" w:cs="Segoe UI"/>
          <w:b/>
          <w:bCs/>
          <w:sz w:val="22"/>
          <w:szCs w:val="22"/>
        </w:rPr>
      </w:pPr>
      <w:r w:rsidRPr="002F036A">
        <w:rPr>
          <w:rFonts w:ascii="Verdana" w:hAnsi="Verdana" w:cs="Segoe UI"/>
          <w:b/>
          <w:bCs/>
          <w:i/>
          <w:iCs/>
          <w:sz w:val="22"/>
          <w:szCs w:val="22"/>
        </w:rPr>
        <w:t>Direct marketing</w:t>
      </w:r>
    </w:p>
    <w:p w:rsidR="00E759B6"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In the first full year since its implementation in May 2025,</w:t>
      </w:r>
      <w:r>
        <w:rPr>
          <w:rStyle w:val="FootnoteReference"/>
          <w:rFonts w:ascii="Verdana" w:hAnsi="Verdana" w:cs="Segoe UI"/>
          <w:sz w:val="22"/>
          <w:szCs w:val="22"/>
        </w:rPr>
        <w:footnoteReference w:id="8"/>
      </w:r>
      <w:r w:rsidRPr="002F036A">
        <w:rPr>
          <w:rFonts w:ascii="Verdana" w:hAnsi="Verdana" w:cs="Segoe UI"/>
          <w:sz w:val="22"/>
          <w:szCs w:val="22"/>
        </w:rPr>
        <w:t xml:space="preserve"> what evidence is there that the opt-in system for direct marketing on a per channel and per product basis has:</w:t>
      </w:r>
    </w:p>
    <w:p w:rsidR="00E759B6" w:rsidRPr="002F036A" w:rsidP="002F036A">
      <w:pPr>
        <w:pStyle w:val="ListParagraph"/>
        <w:numPr>
          <w:ilvl w:val="0"/>
          <w:numId w:val="16"/>
        </w:numPr>
        <w:spacing w:line="276" w:lineRule="auto"/>
        <w:contextualSpacing w:val="0"/>
        <w:rPr>
          <w:rFonts w:ascii="Verdana" w:hAnsi="Verdana" w:cs="Segoe UI"/>
          <w:sz w:val="22"/>
          <w:szCs w:val="22"/>
        </w:rPr>
      </w:pPr>
      <w:r w:rsidRPr="002F036A">
        <w:rPr>
          <w:rFonts w:ascii="Verdana" w:hAnsi="Verdana" w:cs="Segoe UI"/>
          <w:sz w:val="22"/>
          <w:szCs w:val="22"/>
        </w:rPr>
        <w:t>reduced the number of such direct marketing communications; and,</w:t>
      </w:r>
    </w:p>
    <w:p w:rsidR="00E759B6" w:rsidRPr="002F036A" w:rsidP="002F036A">
      <w:pPr>
        <w:pStyle w:val="ListParagraph"/>
        <w:numPr>
          <w:ilvl w:val="0"/>
          <w:numId w:val="16"/>
        </w:numPr>
        <w:spacing w:line="276" w:lineRule="auto"/>
        <w:contextualSpacing w:val="0"/>
        <w:rPr>
          <w:rFonts w:ascii="Verdana" w:hAnsi="Verdana" w:cs="Segoe UI"/>
          <w:sz w:val="22"/>
          <w:szCs w:val="22"/>
        </w:rPr>
      </w:pPr>
      <w:r w:rsidRPr="002F036A">
        <w:rPr>
          <w:rFonts w:ascii="Verdana" w:hAnsi="Verdana" w:cs="Segoe UI"/>
          <w:sz w:val="22"/>
          <w:szCs w:val="22"/>
        </w:rPr>
        <w:t>contributed to a reduction in gambling-related harm?</w:t>
      </w:r>
    </w:p>
    <w:p w:rsidR="00E759B6"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At present, there is insufficient independent evidence to determine whether the opt-in system has reduced the overall number of direct marketing communications or contributed to a reduction in gambling-related harm. A reduction is plausible, since operators may now only send direct marketing through channels and for products to which customers have explicitly opted in. However, without mandatory reporting of direct marketing activity before and after implementation, and without suitably anonymised operator data for independent evaluation, it is not possible to assess whether communications have fallen, shifted between channels, become more concentrated among highly </w:t>
      </w:r>
      <w:r w:rsidRPr="002F036A">
        <w:rPr>
          <w:rFonts w:ascii="Verdana" w:hAnsi="Verdana" w:cs="Segoe UI"/>
          <w:sz w:val="22"/>
          <w:szCs w:val="22"/>
        </w:rPr>
        <w:t xml:space="preserve">engaged customers, or reduced harm. This contrasts with other European jurisdictions where operators are required to provide regulators with more systematic information on advertising activities, </w:t>
      </w:r>
      <w:r w:rsidRPr="002F036A">
        <w:rPr>
          <w:rFonts w:ascii="Verdana" w:hAnsi="Verdana" w:cs="Segoe UI"/>
          <w:kern w:val="0"/>
          <w:sz w:val="22"/>
          <w:szCs w:val="22"/>
        </w:rPr>
        <w:t xml:space="preserve">either at the end of the year (Finland, Switzerland) or as a plan beforehand (Cyprus, Greece, France) </w:t>
      </w:r>
      <w:r w:rsidRPr="002F036A">
        <w:rPr>
          <w:rFonts w:ascii="Verdana" w:hAnsi="Verdana" w:cs="Segoe UI"/>
          <w:kern w:val="0"/>
          <w:sz w:val="22"/>
          <w:szCs w:val="22"/>
        </w:rPr>
        <w:fldChar w:fldCharType="begin" w:fldLock="1"/>
      </w:r>
      <w:r w:rsidRPr="002F036A">
        <w:rPr>
          <w:rFonts w:ascii="Verdana" w:hAnsi="Verdana" w:cs="Segoe UI"/>
          <w:kern w:val="0"/>
          <w:sz w:val="22"/>
          <w:szCs w:val="22"/>
        </w:rPr>
        <w:instrText>ADDIN CSL_CITATION {"citationItems":[{"id":"ITEM-1","itemData":{"DOI":"10.1080/14459795.2026.2682456","ISSN":"1445-9795","author":[{"dropping-particle":"","family":"Marionneau","given":"Virve","non-dropping-particle":"","parse-names":false,"suffix":""},{"dropping-particle":"","family":"Mcgrane","given":"Ellen","non-dropping-particle":"","parse-names":false,"suffix":""},{"dropping-particle":"","family":"Ukhova","given":"Daria","non-dropping-particle":"","parse-names":false,"suffix":""},{"dropping-particle":"","family":"Wardle","given":"Heather","non-dropping-particle":"","parse-names":false,"suffix":""}],"container-title":"International Gambling Studies","id":"ITEM-1","issue":"00","issued":{"date-parts":[["2026"]]},"page":"1-27","publisher":"Routledge","title":"Regulations on gambling advertising in Europe : a comparative policy review Regulations on gambling advertising in Europe : a comparative policy review ABSTRACT","type":"article-journal","volume":"00"},"uris":["http://www.mendeley.com/documents/?uuid=4be8f048-06fb-4f9d-b7bb-bbd690a4c1fa"]}],"mendeley":{"formattedCitation":"(Marionneau &lt;i&gt;et al.&lt;/i&gt;, 2026)","plainTextFormattedCitation":"(Marionneau et al., 2026)","previouslyFormattedCitation":"(Marionneau &lt;i&gt;et al.&lt;/i&gt;, 2026)"},"properties":{"noteIndex":0},"schema":"https://github.com/citation-style-language/schema/raw/master/csl-citation.json"}</w:instrText>
      </w:r>
      <w:r w:rsidRPr="002F036A">
        <w:rPr>
          <w:rFonts w:ascii="Verdana" w:hAnsi="Verdana" w:cs="Segoe UI"/>
          <w:kern w:val="0"/>
          <w:sz w:val="22"/>
          <w:szCs w:val="22"/>
        </w:rPr>
        <w:fldChar w:fldCharType="separate"/>
      </w:r>
      <w:r w:rsidRPr="002F036A">
        <w:rPr>
          <w:rFonts w:ascii="Verdana" w:hAnsi="Verdana" w:cs="Segoe UI"/>
          <w:noProof/>
          <w:kern w:val="0"/>
          <w:sz w:val="22"/>
          <w:szCs w:val="22"/>
        </w:rPr>
        <w:t xml:space="preserve">(Marionneau </w:t>
      </w:r>
      <w:r w:rsidRPr="002F036A">
        <w:rPr>
          <w:rFonts w:ascii="Verdana" w:hAnsi="Verdana" w:cs="Segoe UI"/>
          <w:i/>
          <w:noProof/>
          <w:kern w:val="0"/>
          <w:sz w:val="22"/>
          <w:szCs w:val="22"/>
        </w:rPr>
        <w:t>et al.</w:t>
      </w:r>
      <w:r w:rsidRPr="002F036A">
        <w:rPr>
          <w:rFonts w:ascii="Verdana" w:hAnsi="Verdana" w:cs="Segoe UI"/>
          <w:noProof/>
          <w:kern w:val="0"/>
          <w:sz w:val="22"/>
          <w:szCs w:val="22"/>
        </w:rPr>
        <w:t>, 2026)</w:t>
      </w:r>
      <w:r w:rsidRPr="002F036A">
        <w:rPr>
          <w:rFonts w:ascii="Verdana" w:hAnsi="Verdana" w:cs="Segoe UI"/>
          <w:kern w:val="0"/>
          <w:sz w:val="22"/>
          <w:szCs w:val="22"/>
        </w:rPr>
        <w:fldChar w:fldCharType="end"/>
      </w:r>
      <w:r w:rsidRPr="002F036A">
        <w:rPr>
          <w:rFonts w:ascii="Verdana" w:hAnsi="Verdana" w:cs="Segoe UI"/>
          <w:sz w:val="22"/>
          <w:szCs w:val="22"/>
        </w:rPr>
        <w:t>. Similar reporting obligations in Great Britain would make it possible to evaluate the opt-in system rather than leaving its effects largely unknowable.</w:t>
      </w:r>
    </w:p>
    <w:p w:rsidR="00E759B6" w:rsidRPr="002F036A" w:rsidP="002F036A">
      <w:pPr>
        <w:spacing w:line="276" w:lineRule="auto"/>
        <w:rPr>
          <w:rFonts w:ascii="Verdana" w:hAnsi="Verdana" w:cs="Segoe UI"/>
          <w:sz w:val="22"/>
          <w:szCs w:val="22"/>
        </w:rPr>
      </w:pPr>
    </w:p>
    <w:p w:rsidR="00E759B6"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In light of</w:t>
      </w:r>
      <w:r w:rsidRPr="002F036A">
        <w:rPr>
          <w:rFonts w:ascii="Verdana" w:hAnsi="Verdana" w:cs="Segoe UI"/>
          <w:sz w:val="22"/>
          <w:szCs w:val="22"/>
        </w:rPr>
        <w:t xml:space="preserve"> current evidence, what would be the benefits and risks of:</w:t>
      </w:r>
    </w:p>
    <w:p w:rsidR="00E759B6" w:rsidRPr="002F036A" w:rsidP="002F036A">
      <w:pPr>
        <w:pStyle w:val="ListParagraph"/>
        <w:numPr>
          <w:ilvl w:val="0"/>
          <w:numId w:val="17"/>
        </w:numPr>
        <w:spacing w:line="276" w:lineRule="auto"/>
        <w:contextualSpacing w:val="0"/>
        <w:rPr>
          <w:rFonts w:ascii="Verdana" w:hAnsi="Verdana" w:cs="Segoe UI"/>
          <w:sz w:val="22"/>
          <w:szCs w:val="22"/>
        </w:rPr>
      </w:pPr>
      <w:r w:rsidRPr="002F036A">
        <w:rPr>
          <w:rFonts w:ascii="Verdana" w:hAnsi="Verdana" w:cs="Segoe UI"/>
          <w:sz w:val="22"/>
          <w:szCs w:val="22"/>
        </w:rPr>
        <w:t>Restricting direct marketing to those opted in to VIP/HVC schemes, as recommended by the special inquiry committee;</w:t>
      </w:r>
      <w:r>
        <w:rPr>
          <w:rStyle w:val="FootnoteReference"/>
          <w:rFonts w:ascii="Verdana" w:hAnsi="Verdana" w:cs="Segoe UI"/>
          <w:sz w:val="22"/>
          <w:szCs w:val="22"/>
        </w:rPr>
        <w:footnoteReference w:id="9"/>
      </w:r>
      <w:r w:rsidRPr="002F036A">
        <w:rPr>
          <w:rFonts w:ascii="Verdana" w:hAnsi="Verdana" w:cs="Segoe UI"/>
          <w:sz w:val="22"/>
          <w:szCs w:val="22"/>
        </w:rPr>
        <w:t xml:space="preserve"> or,</w:t>
      </w:r>
    </w:p>
    <w:p w:rsidR="00E759B6" w:rsidRPr="002F036A" w:rsidP="002F036A">
      <w:pPr>
        <w:pStyle w:val="ListParagraph"/>
        <w:numPr>
          <w:ilvl w:val="0"/>
          <w:numId w:val="17"/>
        </w:numPr>
        <w:spacing w:line="276" w:lineRule="auto"/>
        <w:contextualSpacing w:val="0"/>
        <w:rPr>
          <w:rFonts w:ascii="Verdana" w:hAnsi="Verdana" w:cs="Segoe UI"/>
          <w:sz w:val="22"/>
          <w:szCs w:val="22"/>
        </w:rPr>
      </w:pPr>
      <w:r w:rsidRPr="002F036A">
        <w:rPr>
          <w:rFonts w:ascii="Verdana" w:hAnsi="Verdana" w:cs="Segoe UI"/>
          <w:sz w:val="22"/>
          <w:szCs w:val="22"/>
        </w:rPr>
        <w:t>A comprehensive ban on direct marketing?</w:t>
      </w:r>
    </w:p>
    <w:p w:rsidR="00E759B6"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sidR="4DE45A63">
        <w:rPr>
          <w:rFonts w:ascii="Verdana" w:hAnsi="Verdana" w:cs="Segoe UI"/>
          <w:sz w:val="22"/>
          <w:szCs w:val="22"/>
        </w:rPr>
        <w:t xml:space="preserve">A comprehensive ban on direct marketing is strongly supported by current evidence, with the principal caveats concerning how it </w:t>
      </w:r>
      <w:r w:rsidRPr="002F036A" w:rsidR="146E930B">
        <w:rPr>
          <w:rFonts w:ascii="Verdana" w:hAnsi="Verdana" w:cs="Segoe UI"/>
          <w:sz w:val="22"/>
          <w:szCs w:val="22"/>
        </w:rPr>
        <w:t>widely the ban is</w:t>
      </w:r>
      <w:r w:rsidRPr="002F036A" w:rsidR="4DE45A63">
        <w:rPr>
          <w:rFonts w:ascii="Verdana" w:hAnsi="Verdana" w:cs="Segoe UI"/>
          <w:sz w:val="22"/>
          <w:szCs w:val="22"/>
        </w:rPr>
        <w:t xml:space="preserve"> drawn </w:t>
      </w:r>
      <w:r w:rsidRPr="002F036A" w:rsidR="146E930B">
        <w:rPr>
          <w:rFonts w:ascii="Verdana" w:hAnsi="Verdana" w:cs="Segoe UI"/>
          <w:sz w:val="22"/>
          <w:szCs w:val="22"/>
        </w:rPr>
        <w:t xml:space="preserve">(i.e., whether it also includes affiliates, other commercial partners etc) </w:t>
      </w:r>
      <w:r w:rsidRPr="002F036A" w:rsidR="4DE45A63">
        <w:rPr>
          <w:rFonts w:ascii="Verdana" w:hAnsi="Verdana" w:cs="Segoe UI"/>
          <w:sz w:val="22"/>
          <w:szCs w:val="22"/>
        </w:rPr>
        <w:t xml:space="preserve">rather than whether it would work. </w:t>
      </w:r>
      <w:r w:rsidRPr="002F036A" w:rsidR="4DE45A63">
        <w:rPr>
          <w:rFonts w:ascii="Verdana" w:hAnsi="Verdana" w:cs="Segoe UI"/>
          <w:sz w:val="22"/>
          <w:szCs w:val="22"/>
        </w:rPr>
        <w:t>Rockloff</w:t>
      </w:r>
      <w:r w:rsidRPr="002F036A" w:rsidR="4DE45A63">
        <w:rPr>
          <w:rFonts w:ascii="Verdana" w:hAnsi="Verdana" w:cs="Segoe UI"/>
          <w:sz w:val="22"/>
          <w:szCs w:val="22"/>
        </w:rPr>
        <w:t xml:space="preserve"> and colleagues'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10.1111/add.70369","author":[{"dropping-particle":"","family":"Rockloff","given":"Matthew","non-dropping-particle":"","parse-names":false,"suffix":""},{"dropping-particle":"","family":"Browne","given":"Matthew","non-dropping-particle":"","parse-names":false,"suffix":""},{"dropping-particle":"","family":"Hing","given":"Nerilee","non-dropping-particle":"","parse-names":false,"suffix":""},{"dropping-particle":"","family":"Russell","given":"Alex M T","non-dropping-particle":"","parse-names":false,"suffix":""},{"dropping-particle":"","family":"Rawat","given":"Vijay","non-dropping-particle":"","parse-names":false,"suffix":""},{"dropping-particle":"","family":"Newall","given":"Philip","non-dropping-particle":"","parse-names":false,"suffix":""}],"container-title":"Addiction","id":"ITEM-1","issue":"January","issued":{"date-parts":[["2026"]]},"page":"1-13","title":"Direct gambling marketing , direct harm : A randomised experiment","type":"article-journal"},"uris":["http://www.mendeley.com/documents/?uuid=f564e7ab-c5a8-44ca-8b11-a9530bb04378"]}],"mendeley":{"formattedCitation":"(Rockloff &lt;i&gt;et al.&lt;/i&gt;, 2026)","plainTextFormattedCitation":"(Rockloff et al., 2026)","previouslyFormattedCitation":"(Rockloff &lt;i&gt;et al.&lt;/i&gt;, 2026)"},"properties":{"noteIndex":0},"schema":"https://github.com/citation-style-language/schema/raw/master/csl-citation.json"}</w:instrText>
      </w:r>
      <w:r w:rsidRPr="002F036A">
        <w:rPr>
          <w:rFonts w:ascii="Verdana" w:hAnsi="Verdana" w:cs="Segoe UI"/>
          <w:sz w:val="22"/>
          <w:szCs w:val="22"/>
        </w:rPr>
        <w:fldChar w:fldCharType="separate"/>
      </w:r>
      <w:r w:rsidRPr="002F036A" w:rsidR="4DE45A63">
        <w:rPr>
          <w:rFonts w:ascii="Verdana" w:hAnsi="Verdana" w:cs="Segoe UI"/>
          <w:noProof/>
          <w:sz w:val="22"/>
          <w:szCs w:val="22"/>
        </w:rPr>
        <w:t xml:space="preserve">(Rockloff </w:t>
      </w:r>
      <w:r w:rsidRPr="002F036A" w:rsidR="4DE45A63">
        <w:rPr>
          <w:rFonts w:ascii="Verdana" w:hAnsi="Verdana" w:cs="Segoe UI"/>
          <w:i/>
          <w:iCs/>
          <w:noProof/>
          <w:sz w:val="22"/>
          <w:szCs w:val="22"/>
        </w:rPr>
        <w:t>et al.</w:t>
      </w:r>
      <w:r w:rsidRPr="002F036A" w:rsidR="4DE45A63">
        <w:rPr>
          <w:rFonts w:ascii="Verdana" w:hAnsi="Verdana" w:cs="Segoe UI"/>
          <w:noProof/>
          <w:sz w:val="22"/>
          <w:szCs w:val="22"/>
        </w:rPr>
        <w:t>, 2026)</w:t>
      </w:r>
      <w:r w:rsidRPr="002F036A">
        <w:rPr>
          <w:rFonts w:ascii="Verdana" w:hAnsi="Verdana" w:cs="Segoe UI"/>
          <w:sz w:val="22"/>
          <w:szCs w:val="22"/>
        </w:rPr>
        <w:fldChar w:fldCharType="end"/>
      </w:r>
      <w:r w:rsidRPr="002F036A" w:rsidR="4DE45A63">
        <w:rPr>
          <w:rFonts w:ascii="Verdana" w:hAnsi="Verdana" w:cs="Segoe UI"/>
          <w:sz w:val="22"/>
          <w:szCs w:val="22"/>
        </w:rPr>
        <w:t xml:space="preserve"> randomised field experiment, the first of its kind, found that bettors who opted out of operator direct marketing placed 23% fewer bets, spent 39% less, and reported 67% fewer short-term harms, providing evidence that direct marketing </w:t>
      </w:r>
      <w:r w:rsidRPr="002F036A" w:rsidR="1012785E">
        <w:rPr>
          <w:rFonts w:ascii="Verdana" w:hAnsi="Verdana" w:cs="Segoe UI"/>
          <w:sz w:val="22"/>
          <w:szCs w:val="22"/>
        </w:rPr>
        <w:t>increases</w:t>
      </w:r>
      <w:r w:rsidRPr="002F036A" w:rsidR="4DE45A63">
        <w:rPr>
          <w:rFonts w:ascii="Verdana" w:hAnsi="Verdana" w:cs="Segoe UI"/>
          <w:sz w:val="22"/>
          <w:szCs w:val="22"/>
        </w:rPr>
        <w:t xml:space="preserve"> betting and harm among existing customers. </w:t>
      </w:r>
      <w:r w:rsidRPr="002F036A" w:rsidR="1012785E">
        <w:rPr>
          <w:rFonts w:ascii="Verdana" w:hAnsi="Verdana" w:cs="Segoe UI"/>
          <w:sz w:val="22"/>
          <w:szCs w:val="22"/>
        </w:rPr>
        <w:t xml:space="preserve">Evidence shows </w:t>
      </w:r>
      <w:r w:rsidRPr="002F036A" w:rsidR="002A2FCD">
        <w:rPr>
          <w:rFonts w:ascii="Verdana" w:hAnsi="Verdana" w:cs="Segoe UI"/>
          <w:sz w:val="22"/>
          <w:szCs w:val="22"/>
        </w:rPr>
        <w:t xml:space="preserve">both advertising and direct marketing </w:t>
      </w:r>
      <w:r w:rsidRPr="002F036A" w:rsidR="1012785E">
        <w:rPr>
          <w:rFonts w:ascii="Verdana" w:hAnsi="Verdana" w:cs="Segoe UI"/>
          <w:sz w:val="22"/>
          <w:szCs w:val="22"/>
        </w:rPr>
        <w:t>can motivate those experiencing gambling harms to continue to gamble</w:t>
      </w:r>
      <w:r w:rsidRPr="002F036A" w:rsidR="002A2FCD">
        <w:rPr>
          <w:rFonts w:ascii="Verdana" w:hAnsi="Verdana" w:cs="Segoe UI"/>
          <w:sz w:val="22"/>
          <w:szCs w:val="22"/>
        </w:rPr>
        <w:t xml:space="preserve"> (Wardle et al, 2023)</w:t>
      </w:r>
      <w:r w:rsidRPr="002F036A" w:rsidR="1012785E">
        <w:rPr>
          <w:rFonts w:ascii="Verdana" w:hAnsi="Verdana" w:cs="Segoe UI"/>
          <w:sz w:val="22"/>
          <w:szCs w:val="22"/>
        </w:rPr>
        <w:t xml:space="preserve">. </w:t>
      </w:r>
      <w:r w:rsidRPr="002F036A" w:rsidR="4DE45A63">
        <w:rPr>
          <w:rFonts w:ascii="Verdana" w:hAnsi="Verdana" w:cs="Segoe UI"/>
          <w:sz w:val="22"/>
          <w:szCs w:val="22"/>
        </w:rPr>
        <w:t xml:space="preserve">The main risk is displacement, since operators may redirect effort to affiliates, sponsorship, or other channels, so the benefits depend on a ban that explicitly captures affiliate and third-party promotion while preserving essential account communication. </w:t>
      </w:r>
    </w:p>
    <w:p w:rsidR="008D2F6C" w:rsidRPr="002F036A" w:rsidP="002F036A">
      <w:pPr>
        <w:spacing w:line="276" w:lineRule="auto"/>
        <w:rPr>
          <w:rFonts w:ascii="Verdana" w:hAnsi="Verdana" w:cs="Segoe UI"/>
          <w:sz w:val="22"/>
          <w:szCs w:val="22"/>
        </w:rPr>
      </w:pPr>
    </w:p>
    <w:p w:rsidR="00E759B6" w:rsidRPr="002F036A" w:rsidP="002F036A">
      <w:pPr>
        <w:spacing w:line="276" w:lineRule="auto"/>
        <w:rPr>
          <w:rFonts w:ascii="Verdana" w:hAnsi="Verdana" w:cs="Segoe UI"/>
          <w:b/>
          <w:bCs/>
          <w:i/>
          <w:iCs/>
          <w:sz w:val="22"/>
          <w:szCs w:val="22"/>
        </w:rPr>
      </w:pPr>
      <w:r w:rsidRPr="002F036A">
        <w:rPr>
          <w:rFonts w:ascii="Verdana" w:hAnsi="Verdana" w:cs="Segoe UI"/>
          <w:b/>
          <w:bCs/>
          <w:i/>
          <w:iCs/>
          <w:sz w:val="22"/>
          <w:szCs w:val="22"/>
        </w:rPr>
        <w:t>Regulatory framework</w:t>
      </w:r>
    </w:p>
    <w:p w:rsidR="00E759B6" w:rsidRPr="002F036A" w:rsidP="002F036A">
      <w:pPr>
        <w:pStyle w:val="ListParagraph"/>
        <w:numPr>
          <w:ilvl w:val="0"/>
          <w:numId w:val="28"/>
        </w:numPr>
        <w:spacing w:line="276" w:lineRule="auto"/>
        <w:rPr>
          <w:rFonts w:ascii="Verdana" w:hAnsi="Verdana" w:cs="Segoe UI"/>
          <w:sz w:val="22"/>
          <w:szCs w:val="22"/>
        </w:rPr>
      </w:pPr>
      <w:r w:rsidRPr="002F036A">
        <w:rPr>
          <w:rFonts w:ascii="Verdana" w:hAnsi="Verdana" w:cs="Segoe UI"/>
          <w:sz w:val="22"/>
          <w:szCs w:val="22"/>
        </w:rPr>
        <w:t>In your view, how effective is the current division of responsibilities between the ASA and the Gambling Commission in relation to the regulation of gambling advertising, and how might it be improved?</w:t>
      </w:r>
    </w:p>
    <w:p w:rsidR="00CC4072"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sidR="00E759B6">
        <w:rPr>
          <w:rFonts w:ascii="Verdana" w:hAnsi="Verdana" w:cs="Segoe UI"/>
          <w:sz w:val="22"/>
          <w:szCs w:val="22"/>
        </w:rPr>
        <w:t xml:space="preserve">The division is coherent in principle but </w:t>
      </w:r>
      <w:r w:rsidRPr="002F036A" w:rsidR="00864C7C">
        <w:rPr>
          <w:rFonts w:ascii="Verdana" w:hAnsi="Verdana" w:cs="Segoe UI"/>
          <w:sz w:val="22"/>
          <w:szCs w:val="22"/>
        </w:rPr>
        <w:t xml:space="preserve">arguably </w:t>
      </w:r>
      <w:r w:rsidRPr="002F036A" w:rsidR="00E759B6">
        <w:rPr>
          <w:rFonts w:ascii="Verdana" w:hAnsi="Verdana" w:cs="Segoe UI"/>
          <w:sz w:val="22"/>
          <w:szCs w:val="22"/>
        </w:rPr>
        <w:t>weak in practice. The ASA administers the CAP and BCAP content codes,</w:t>
      </w:r>
      <w:r w:rsidRPr="002F036A" w:rsidR="00864C7C">
        <w:rPr>
          <w:rFonts w:ascii="Verdana" w:hAnsi="Verdana" w:cs="Segoe UI"/>
          <w:sz w:val="22"/>
          <w:szCs w:val="22"/>
        </w:rPr>
        <w:t xml:space="preserve"> written by the advertising industry,</w:t>
      </w:r>
      <w:r w:rsidRPr="002F036A" w:rsidR="00E759B6">
        <w:rPr>
          <w:rFonts w:ascii="Verdana" w:hAnsi="Verdana" w:cs="Segoe UI"/>
          <w:sz w:val="22"/>
          <w:szCs w:val="22"/>
        </w:rPr>
        <w:t xml:space="preserve"> while the Gambling Commission acts as the statutory backstop, regulating operators through licence conditions with the power to fine or revoke. </w:t>
      </w:r>
      <w:r w:rsidRPr="002F036A" w:rsidR="00864C7C">
        <w:rPr>
          <w:rFonts w:ascii="Verdana" w:hAnsi="Verdana" w:cs="Segoe UI"/>
          <w:sz w:val="22"/>
          <w:szCs w:val="22"/>
        </w:rPr>
        <w:t>However, the ASA</w:t>
      </w:r>
      <w:r w:rsidRPr="002F036A">
        <w:rPr>
          <w:rFonts w:ascii="Verdana" w:hAnsi="Verdana" w:cs="Segoe UI"/>
          <w:sz w:val="22"/>
          <w:szCs w:val="22"/>
        </w:rPr>
        <w:t xml:space="preserve"> who has</w:t>
      </w:r>
      <w:r w:rsidRPr="002F036A" w:rsidR="00864C7C">
        <w:rPr>
          <w:rFonts w:ascii="Verdana" w:hAnsi="Verdana" w:cs="Segoe UI"/>
          <w:sz w:val="22"/>
          <w:szCs w:val="22"/>
        </w:rPr>
        <w:t xml:space="preserve"> responsibility for</w:t>
      </w:r>
      <w:r w:rsidRPr="002F036A" w:rsidR="00E759B6">
        <w:rPr>
          <w:rFonts w:ascii="Verdana" w:hAnsi="Verdana" w:cs="Segoe UI"/>
          <w:sz w:val="22"/>
          <w:szCs w:val="22"/>
        </w:rPr>
        <w:t xml:space="preserve"> setting and policing content standards has little enforcement weight of its own, since the ASA relies on adverse rulings</w:t>
      </w:r>
      <w:r w:rsidRPr="002F036A" w:rsidR="00864C7C">
        <w:rPr>
          <w:rFonts w:ascii="Verdana" w:hAnsi="Verdana" w:cs="Segoe UI"/>
          <w:sz w:val="22"/>
          <w:szCs w:val="22"/>
        </w:rPr>
        <w:t>, complaints and</w:t>
      </w:r>
      <w:r w:rsidRPr="002F036A" w:rsidR="00E759B6">
        <w:rPr>
          <w:rFonts w:ascii="Verdana" w:hAnsi="Verdana" w:cs="Segoe UI"/>
          <w:sz w:val="22"/>
          <w:szCs w:val="22"/>
        </w:rPr>
        <w:t xml:space="preserve"> ad</w:t>
      </w:r>
      <w:r w:rsidRPr="002F036A" w:rsidR="00864C7C">
        <w:rPr>
          <w:rFonts w:ascii="Verdana" w:hAnsi="Verdana" w:cs="Segoe UI"/>
          <w:sz w:val="22"/>
          <w:szCs w:val="22"/>
        </w:rPr>
        <w:t>vert</w:t>
      </w:r>
      <w:r w:rsidRPr="002F036A" w:rsidR="00E759B6">
        <w:rPr>
          <w:rFonts w:ascii="Verdana" w:hAnsi="Verdana" w:cs="Segoe UI"/>
          <w:sz w:val="22"/>
          <w:szCs w:val="22"/>
        </w:rPr>
        <w:t xml:space="preserve"> removal</w:t>
      </w:r>
      <w:r w:rsidRPr="002F036A" w:rsidR="00864C7C">
        <w:rPr>
          <w:rFonts w:ascii="Verdana" w:hAnsi="Verdana" w:cs="Segoe UI"/>
          <w:sz w:val="22"/>
          <w:szCs w:val="22"/>
        </w:rPr>
        <w:t xml:space="preserve">. The Gambling Commission, who </w:t>
      </w:r>
      <w:r w:rsidRPr="002F036A" w:rsidR="00864C7C">
        <w:rPr>
          <w:rFonts w:ascii="Verdana" w:hAnsi="Verdana" w:cs="Segoe UI"/>
          <w:sz w:val="22"/>
          <w:szCs w:val="22"/>
        </w:rPr>
        <w:t>have a wider range of regulatory responses available, tends only to</w:t>
      </w:r>
      <w:r w:rsidRPr="002F036A" w:rsidR="00E759B6">
        <w:rPr>
          <w:rFonts w:ascii="Verdana" w:hAnsi="Verdana" w:cs="Segoe UI"/>
          <w:sz w:val="22"/>
          <w:szCs w:val="22"/>
        </w:rPr>
        <w:t xml:space="preserve"> becomes involved only on referral for serious or repeated breaches, a route rarely used. The result is a largely self-regulatory, complaints-led system with poor compliance</w:t>
      </w:r>
      <w:r w:rsidRPr="002F036A" w:rsidR="00864C7C">
        <w:rPr>
          <w:rFonts w:ascii="Verdana" w:hAnsi="Verdana" w:cs="Segoe UI"/>
          <w:sz w:val="22"/>
          <w:szCs w:val="22"/>
        </w:rPr>
        <w:t>. Furthermore, many</w:t>
      </w:r>
      <w:r w:rsidRPr="002F036A" w:rsidR="00E759B6">
        <w:rPr>
          <w:rFonts w:ascii="Verdana" w:hAnsi="Verdana" w:cs="Segoe UI"/>
          <w:sz w:val="22"/>
          <w:szCs w:val="22"/>
        </w:rPr>
        <w:t xml:space="preserve"> organic social media gambling </w:t>
      </w:r>
      <w:r w:rsidRPr="002F036A" w:rsidR="00E759B6">
        <w:rPr>
          <w:rFonts w:ascii="Verdana" w:hAnsi="Verdana" w:cs="Segoe UI"/>
          <w:sz w:val="22"/>
          <w:szCs w:val="22"/>
        </w:rPr>
        <w:t>advertising</w:t>
      </w:r>
      <w:r w:rsidRPr="002F036A" w:rsidR="00E759B6">
        <w:rPr>
          <w:rFonts w:ascii="Verdana" w:hAnsi="Verdana" w:cs="Segoe UI"/>
          <w:sz w:val="22"/>
          <w:szCs w:val="22"/>
        </w:rPr>
        <w:t xml:space="preserve"> breach the codes and whole categories of marketing fall between the</w:t>
      </w:r>
      <w:r w:rsidRPr="002F036A" w:rsidR="00864C7C">
        <w:rPr>
          <w:rFonts w:ascii="Verdana" w:hAnsi="Verdana" w:cs="Segoe UI"/>
          <w:sz w:val="22"/>
          <w:szCs w:val="22"/>
        </w:rPr>
        <w:t xml:space="preserve"> different</w:t>
      </w:r>
      <w:r w:rsidRPr="002F036A" w:rsidR="00E759B6">
        <w:rPr>
          <w:rFonts w:ascii="Verdana" w:hAnsi="Verdana" w:cs="Segoe UI"/>
          <w:sz w:val="22"/>
          <w:szCs w:val="22"/>
        </w:rPr>
        <w:t xml:space="preserve"> regulator, notably sponsorship, affiliates, and content marketing. </w:t>
      </w:r>
    </w:p>
    <w:p w:rsidR="00E759B6" w:rsidRPr="002F036A" w:rsidP="002F036A">
      <w:pPr>
        <w:spacing w:line="276" w:lineRule="auto"/>
        <w:rPr>
          <w:rFonts w:ascii="Verdana" w:hAnsi="Verdana" w:cs="Segoe UI"/>
          <w:sz w:val="22"/>
          <w:szCs w:val="22"/>
        </w:rPr>
      </w:pPr>
      <w:r w:rsidRPr="002F036A">
        <w:rPr>
          <w:rFonts w:ascii="Verdana" w:hAnsi="Verdana" w:cs="Segoe UI"/>
          <w:sz w:val="22"/>
          <w:szCs w:val="22"/>
        </w:rPr>
        <w:t xml:space="preserve">Improvement </w:t>
      </w:r>
      <w:r w:rsidRPr="002F036A" w:rsidR="00CC4072">
        <w:rPr>
          <w:rFonts w:ascii="Verdana" w:hAnsi="Verdana" w:cs="Segoe UI"/>
          <w:sz w:val="22"/>
          <w:szCs w:val="22"/>
        </w:rPr>
        <w:t xml:space="preserve">could be delivered by </w:t>
      </w:r>
      <w:r w:rsidRPr="002F036A">
        <w:rPr>
          <w:rFonts w:ascii="Verdana" w:hAnsi="Verdana" w:cs="Segoe UI"/>
          <w:sz w:val="22"/>
          <w:szCs w:val="22"/>
        </w:rPr>
        <w:t>closing the gap between standards and enforcement, most cleanly by consolidating advertising rules within the Gambling Commission's enforceable licence conditions, an approach its recent incentive and opt-in rules show can work. This should be paired with a single point of accountability spanning the full marketing mix, a shift towards proactive independent monitoring, and the explicit inclusion of affiliates, sponsorship, and content marketing, alongside extending age protection beyond 18 to cover young adults.</w:t>
      </w:r>
    </w:p>
    <w:p w:rsidR="008D2F6C" w:rsidRPr="002F036A" w:rsidP="002F036A">
      <w:pPr>
        <w:rPr>
          <w:rFonts w:ascii="Verdana" w:hAnsi="Verdana" w:cs="Segoe UI"/>
          <w:b/>
          <w:bCs/>
          <w:i/>
          <w:iCs/>
          <w:sz w:val="22"/>
          <w:szCs w:val="22"/>
        </w:rPr>
      </w:pPr>
    </w:p>
    <w:p w:rsidR="00E759B6" w:rsidRPr="002F036A" w:rsidP="002F036A">
      <w:pPr>
        <w:rPr>
          <w:rFonts w:ascii="Verdana" w:hAnsi="Verdana" w:cs="Segoe UI"/>
          <w:b/>
          <w:bCs/>
          <w:i/>
          <w:iCs/>
          <w:sz w:val="22"/>
          <w:szCs w:val="22"/>
        </w:rPr>
      </w:pPr>
      <w:r w:rsidRPr="002F036A">
        <w:rPr>
          <w:rFonts w:ascii="Verdana" w:hAnsi="Verdana" w:cs="Segoe UI"/>
          <w:b/>
          <w:bCs/>
          <w:i/>
          <w:iCs/>
          <w:sz w:val="22"/>
          <w:szCs w:val="22"/>
        </w:rPr>
        <w:t>Affiliate marketing and social media influencers</w:t>
      </w:r>
    </w:p>
    <w:p w:rsidR="00E759B6"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The 2020 special inquiry committee recommended that affiliates “be licensed by the Gambling Commission before they can enter into contracts with gambling operators”.</w:t>
      </w:r>
      <w:r>
        <w:rPr>
          <w:rStyle w:val="FootnoteReference"/>
          <w:rFonts w:ascii="Verdana" w:hAnsi="Verdana" w:cs="Segoe UI"/>
          <w:sz w:val="22"/>
          <w:szCs w:val="22"/>
        </w:rPr>
        <w:footnoteReference w:id="10"/>
      </w:r>
    </w:p>
    <w:p w:rsidR="00E759B6" w:rsidRPr="002F036A" w:rsidP="002F036A">
      <w:pPr>
        <w:pStyle w:val="ListParagraph"/>
        <w:numPr>
          <w:ilvl w:val="0"/>
          <w:numId w:val="14"/>
        </w:numPr>
        <w:contextualSpacing w:val="0"/>
        <w:rPr>
          <w:rFonts w:ascii="Verdana" w:hAnsi="Verdana" w:cs="Segoe UI"/>
          <w:sz w:val="22"/>
          <w:szCs w:val="22"/>
        </w:rPr>
      </w:pPr>
      <w:r w:rsidRPr="002F036A">
        <w:rPr>
          <w:rFonts w:ascii="Verdana" w:hAnsi="Verdana" w:cs="Segoe UI"/>
          <w:sz w:val="22"/>
          <w:szCs w:val="22"/>
        </w:rPr>
        <w:t>Is the current regulatory model, by which the ASA regulates marketing by affiliates and the Gambling Commission holds licensed gambling operators responsible for the actions of their affiliates, operating effectively?</w:t>
      </w:r>
    </w:p>
    <w:p w:rsidR="004F3DEB" w:rsidRPr="002F036A" w:rsidP="002F036A">
      <w:pPr>
        <w:spacing w:line="259" w:lineRule="auto"/>
        <w:rPr>
          <w:rFonts w:ascii="Verdana" w:hAnsi="Verdana" w:cs="Segoe UI"/>
          <w:sz w:val="22"/>
          <w:szCs w:val="22"/>
          <w:lang w:val="en-US"/>
        </w:rPr>
      </w:pPr>
      <w:r w:rsidRPr="002F036A">
        <w:rPr>
          <w:rFonts w:ascii="Verdana" w:hAnsi="Verdana" w:cs="Segoe UI"/>
          <w:b/>
          <w:bCs/>
          <w:sz w:val="22"/>
          <w:szCs w:val="22"/>
          <w:lang w:val="en-US"/>
        </w:rPr>
        <w:t>Response:</w:t>
      </w:r>
      <w:r w:rsidRPr="002F036A">
        <w:rPr>
          <w:rFonts w:ascii="Verdana" w:hAnsi="Verdana" w:cs="Segoe UI"/>
          <w:sz w:val="22"/>
          <w:szCs w:val="22"/>
          <w:lang w:val="en-US"/>
        </w:rPr>
        <w:t xml:space="preserve"> </w:t>
      </w:r>
      <w:r w:rsidRPr="002F036A">
        <w:rPr>
          <w:rFonts w:ascii="Verdana" w:hAnsi="Verdana" w:cs="Segoe UI"/>
          <w:sz w:val="22"/>
          <w:szCs w:val="22"/>
          <w:lang w:val="en-US"/>
        </w:rPr>
        <w:t xml:space="preserve">Focus on affiliates and accountability for their practices is welcome. Data from Spain shows that total money spent by gambling operators on affiliate marketing was positively associated with increased deposits from consumers and with higher numbers of active accounts. After Spain introduced restrictions on advertising and marketing in 2020 – including regulations on content produced by affiliates - these associations were rendered non-significant </w:t>
      </w:r>
      <w:r w:rsidRPr="002F036A">
        <w:rPr>
          <w:rFonts w:ascii="Verdana" w:hAnsi="Verdana" w:cs="Segoe UI"/>
          <w:sz w:val="22"/>
          <w:szCs w:val="22"/>
          <w:lang w:val="en-US"/>
        </w:rPr>
        <w:fldChar w:fldCharType="begin" w:fldLock="1"/>
      </w:r>
      <w:r w:rsidRPr="002F036A">
        <w:rPr>
          <w:rFonts w:ascii="Verdana" w:hAnsi="Verdana" w:cs="Segoe UI"/>
          <w:sz w:val="22"/>
          <w:szCs w:val="22"/>
          <w:lang w:val="en-US"/>
        </w:rPr>
        <w:instrText>ADDIN CSL_CITATION {"citationItems":[{"id":"ITEM-1","itemData":{"DOI":"10.1016/j.puhe.2024.06.025","author":[{"dropping-particle":"","family":"Garcia-Perez","given":"A.","non-dropping-particle":"","parse-names":false,"suffix":""},{"dropping-particle":"","family":"Krotter","given":"A.","non-dropping-particle":"","parse-names":false,"suffix":""},{"dropping-particle":"","family":"Aonso-Diego","given":"Gema","non-dropping-particle":"","parse-names":false,"suffix":""}],"container-title":"Public Health","id":"ITEM-1","issued":{"date-parts":[["2024"]]},"page":"170-177","title":"The impact of gambling advertising and marketing on online gambling behavior : an analysis based on Spanish data","type":"article-journal","volume":"234"},"uris":["http://www.mendeley.com/documents/?uuid=2b8f1ee1-ca17-48ef-897b-d998e6383ca0"]}],"mendeley":{"formattedCitation":"(Garcia-Perez, Krotter and Aonso-Diego, 2024)","plainTextFormattedCitation":"(Garcia-Perez, Krotter and Aonso-Diego, 2024)","previouslyFormattedCitation":"(Garcia-Perez, Krotter and Aonso-Diego, 2024)"},"properties":{"noteIndex":0},"schema":"https://github.com/citation-style-language/schema/raw/master/csl-citation.json"}</w:instrText>
      </w:r>
      <w:r w:rsidRPr="002F036A">
        <w:rPr>
          <w:rFonts w:ascii="Verdana" w:hAnsi="Verdana" w:cs="Segoe UI"/>
          <w:sz w:val="22"/>
          <w:szCs w:val="22"/>
          <w:lang w:val="en-US"/>
        </w:rPr>
        <w:fldChar w:fldCharType="separate"/>
      </w:r>
      <w:r w:rsidRPr="002F036A">
        <w:rPr>
          <w:rFonts w:ascii="Verdana" w:hAnsi="Verdana" w:cs="Segoe UI"/>
          <w:noProof/>
          <w:sz w:val="22"/>
          <w:szCs w:val="22"/>
          <w:lang w:val="en-US"/>
        </w:rPr>
        <w:t>(Garcia-Perez, Krotter and Aonso-Diego, 2024)</w:t>
      </w:r>
      <w:r w:rsidRPr="002F036A">
        <w:rPr>
          <w:rFonts w:ascii="Verdana" w:hAnsi="Verdana" w:cs="Segoe UI"/>
          <w:sz w:val="22"/>
          <w:szCs w:val="22"/>
          <w:lang w:val="en-US"/>
        </w:rPr>
        <w:fldChar w:fldCharType="end"/>
      </w:r>
      <w:r w:rsidRPr="002F036A">
        <w:rPr>
          <w:rFonts w:ascii="Verdana" w:hAnsi="Verdana" w:cs="Segoe UI"/>
          <w:sz w:val="22"/>
          <w:szCs w:val="22"/>
          <w:lang w:val="en-US"/>
        </w:rPr>
        <w:t>.</w:t>
      </w:r>
    </w:p>
    <w:p w:rsidR="00CC4072" w:rsidRPr="002F036A" w:rsidP="002F036A">
      <w:pPr>
        <w:rPr>
          <w:rFonts w:ascii="Verdana" w:hAnsi="Verdana" w:cs="Segoe UI"/>
          <w:sz w:val="22"/>
          <w:szCs w:val="22"/>
        </w:rPr>
      </w:pPr>
      <w:r w:rsidRPr="002F036A">
        <w:rPr>
          <w:rFonts w:ascii="Verdana" w:hAnsi="Verdana" w:cs="Segoe UI"/>
          <w:sz w:val="22"/>
          <w:szCs w:val="22"/>
        </w:rPr>
        <w:t>Whilst t</w:t>
      </w:r>
      <w:r w:rsidRPr="002F036A">
        <w:rPr>
          <w:rFonts w:ascii="Verdana" w:hAnsi="Verdana" w:cs="Segoe UI"/>
          <w:sz w:val="22"/>
          <w:szCs w:val="22"/>
        </w:rPr>
        <w:t>he Gambling Commission</w:t>
      </w:r>
      <w:r w:rsidRPr="002F036A" w:rsidR="004F3DEB">
        <w:rPr>
          <w:rFonts w:ascii="Verdana" w:hAnsi="Verdana" w:cs="Segoe UI"/>
          <w:sz w:val="22"/>
          <w:szCs w:val="22"/>
        </w:rPr>
        <w:t xml:space="preserve"> </w:t>
      </w:r>
      <w:r w:rsidRPr="002F036A">
        <w:rPr>
          <w:rFonts w:ascii="Verdana" w:hAnsi="Verdana" w:cs="Segoe UI"/>
          <w:sz w:val="22"/>
          <w:szCs w:val="22"/>
        </w:rPr>
        <w:t>can</w:t>
      </w:r>
      <w:r w:rsidRPr="002F036A">
        <w:rPr>
          <w:rFonts w:ascii="Verdana" w:hAnsi="Verdana" w:cs="Segoe UI"/>
          <w:sz w:val="22"/>
          <w:szCs w:val="22"/>
        </w:rPr>
        <w:t xml:space="preserve"> hold licensed operators to account for the practices of their affiliates</w:t>
      </w:r>
      <w:r w:rsidRPr="002F036A" w:rsidR="004F3DEB">
        <w:rPr>
          <w:rFonts w:ascii="Verdana" w:hAnsi="Verdana" w:cs="Segoe UI"/>
          <w:sz w:val="22"/>
          <w:szCs w:val="22"/>
        </w:rPr>
        <w:t>,</w:t>
      </w:r>
      <w:r w:rsidRPr="002F036A">
        <w:rPr>
          <w:rFonts w:ascii="Verdana" w:hAnsi="Verdana" w:cs="Segoe UI"/>
          <w:sz w:val="22"/>
          <w:szCs w:val="22"/>
        </w:rPr>
        <w:t xml:space="preserve"> </w:t>
      </w:r>
      <w:r w:rsidRPr="002F036A">
        <w:rPr>
          <w:rFonts w:ascii="Verdana" w:hAnsi="Verdana" w:cs="Segoe UI"/>
          <w:sz w:val="22"/>
          <w:szCs w:val="22"/>
        </w:rPr>
        <w:t>the Commission can</w:t>
      </w:r>
      <w:r w:rsidRPr="002F036A">
        <w:rPr>
          <w:rFonts w:ascii="Verdana" w:hAnsi="Verdana" w:cs="Segoe UI"/>
          <w:sz w:val="22"/>
          <w:szCs w:val="22"/>
        </w:rPr>
        <w:t xml:space="preserve"> only</w:t>
      </w:r>
      <w:r w:rsidRPr="002F036A">
        <w:rPr>
          <w:rFonts w:ascii="Verdana" w:hAnsi="Verdana" w:cs="Segoe UI"/>
          <w:sz w:val="22"/>
          <w:szCs w:val="22"/>
        </w:rPr>
        <w:t xml:space="preserve"> reach an affiliate through the licensed operator that engaged it. </w:t>
      </w:r>
      <w:r w:rsidRPr="002F036A" w:rsidR="004F3DEB">
        <w:rPr>
          <w:rFonts w:ascii="Verdana" w:hAnsi="Verdana" w:cs="Segoe UI"/>
          <w:sz w:val="22"/>
          <w:szCs w:val="22"/>
        </w:rPr>
        <w:t>T</w:t>
      </w:r>
      <w:r w:rsidRPr="002F036A">
        <w:rPr>
          <w:rFonts w:ascii="Verdana" w:hAnsi="Verdana" w:cs="Segoe UI"/>
          <w:sz w:val="22"/>
          <w:szCs w:val="22"/>
        </w:rPr>
        <w:t>his</w:t>
      </w:r>
      <w:r w:rsidRPr="002F036A" w:rsidR="00E759B6">
        <w:rPr>
          <w:rFonts w:ascii="Verdana" w:hAnsi="Verdana" w:cs="Segoe UI"/>
          <w:sz w:val="22"/>
          <w:szCs w:val="22"/>
        </w:rPr>
        <w:t xml:space="preserve"> model has a structural</w:t>
      </w:r>
      <w:r w:rsidRPr="002F036A" w:rsidR="004F3DEB">
        <w:rPr>
          <w:rFonts w:ascii="Verdana" w:hAnsi="Verdana" w:cs="Segoe UI"/>
          <w:sz w:val="22"/>
          <w:szCs w:val="22"/>
        </w:rPr>
        <w:t xml:space="preserve"> weakness - it</w:t>
      </w:r>
      <w:r w:rsidRPr="002F036A">
        <w:rPr>
          <w:rFonts w:ascii="Verdana" w:hAnsi="Verdana" w:cs="Segoe UI"/>
          <w:sz w:val="22"/>
          <w:szCs w:val="22"/>
        </w:rPr>
        <w:t xml:space="preserve"> only works where there is a licensed operator which the Gambling Commission can hold to account.</w:t>
      </w:r>
      <w:r w:rsidRPr="002F036A" w:rsidR="00E759B6">
        <w:rPr>
          <w:rFonts w:ascii="Verdana" w:hAnsi="Verdana" w:cs="Segoe UI"/>
          <w:sz w:val="22"/>
          <w:szCs w:val="22"/>
        </w:rPr>
        <w:t xml:space="preserve"> </w:t>
      </w:r>
    </w:p>
    <w:p w:rsidR="00E759B6" w:rsidRPr="002F036A" w:rsidP="002F036A">
      <w:pPr>
        <w:rPr>
          <w:rFonts w:ascii="Verdana" w:hAnsi="Verdana" w:cs="Segoe UI"/>
          <w:sz w:val="22"/>
          <w:szCs w:val="22"/>
        </w:rPr>
      </w:pPr>
      <w:r w:rsidRPr="002F036A">
        <w:rPr>
          <w:rFonts w:ascii="Verdana" w:hAnsi="Verdana" w:cs="Segoe UI"/>
          <w:sz w:val="22"/>
          <w:szCs w:val="22"/>
        </w:rPr>
        <w:t xml:space="preserve">This creates regulatory gaps. </w:t>
      </w:r>
      <w:r w:rsidRPr="002F036A">
        <w:rPr>
          <w:rFonts w:ascii="Verdana" w:hAnsi="Verdana" w:cs="Segoe UI"/>
          <w:sz w:val="22"/>
          <w:szCs w:val="22"/>
        </w:rPr>
        <w:t>The clearest</w:t>
      </w:r>
      <w:r w:rsidRPr="002F036A">
        <w:rPr>
          <w:rFonts w:ascii="Verdana" w:hAnsi="Verdana" w:cs="Segoe UI"/>
          <w:sz w:val="22"/>
          <w:szCs w:val="22"/>
        </w:rPr>
        <w:t xml:space="preserve"> example</w:t>
      </w:r>
      <w:r w:rsidRPr="002F036A">
        <w:rPr>
          <w:rFonts w:ascii="Verdana" w:hAnsi="Verdana" w:cs="Segoe UI"/>
          <w:sz w:val="22"/>
          <w:szCs w:val="22"/>
        </w:rPr>
        <w:t xml:space="preserve"> is affiliated streamers sponsored by operators with no </w:t>
      </w:r>
      <w:r w:rsidRPr="002F036A" w:rsidR="006E5846">
        <w:rPr>
          <w:rFonts w:ascii="Verdana" w:hAnsi="Verdana" w:cs="Segoe UI"/>
          <w:sz w:val="22"/>
          <w:szCs w:val="22"/>
        </w:rPr>
        <w:t>British</w:t>
      </w:r>
      <w:r w:rsidRPr="002F036A">
        <w:rPr>
          <w:rFonts w:ascii="Verdana" w:hAnsi="Verdana" w:cs="Segoe UI"/>
          <w:sz w:val="22"/>
          <w:szCs w:val="22"/>
        </w:rPr>
        <w:t xml:space="preserve"> licence. </w:t>
      </w:r>
      <w:r w:rsidRPr="002F036A" w:rsidR="004F3DEB">
        <w:rPr>
          <w:rFonts w:ascii="Verdana" w:hAnsi="Verdana" w:cs="Segoe UI"/>
          <w:sz w:val="22"/>
          <w:szCs w:val="22"/>
        </w:rPr>
        <w:t>Most notable is sponsorship of gambling streamers, previously on pla</w:t>
      </w:r>
      <w:r w:rsidRPr="002F036A" w:rsidR="009D063C">
        <w:rPr>
          <w:rFonts w:ascii="Verdana" w:hAnsi="Verdana" w:cs="Segoe UI"/>
          <w:sz w:val="22"/>
          <w:szCs w:val="22"/>
        </w:rPr>
        <w:t>t</w:t>
      </w:r>
      <w:r w:rsidRPr="002F036A" w:rsidR="004F3DEB">
        <w:rPr>
          <w:rFonts w:ascii="Verdana" w:hAnsi="Verdana" w:cs="Segoe UI"/>
          <w:sz w:val="22"/>
          <w:szCs w:val="22"/>
        </w:rPr>
        <w:t xml:space="preserve">forms such as </w:t>
      </w:r>
      <w:r w:rsidRPr="002F036A">
        <w:rPr>
          <w:rFonts w:ascii="Verdana" w:hAnsi="Verdana" w:cs="Segoe UI"/>
          <w:sz w:val="22"/>
          <w:szCs w:val="22"/>
        </w:rPr>
        <w:t>Twitch</w:t>
      </w:r>
      <w:r w:rsidRPr="002F036A" w:rsidR="004F3DEB">
        <w:rPr>
          <w:rFonts w:ascii="Verdana" w:hAnsi="Verdana" w:cs="Segoe UI"/>
          <w:sz w:val="22"/>
          <w:szCs w:val="22"/>
        </w:rPr>
        <w:t xml:space="preserve"> and </w:t>
      </w:r>
      <w:r w:rsidRPr="002F036A" w:rsidR="006E5846">
        <w:rPr>
          <w:rFonts w:ascii="Verdana" w:hAnsi="Verdana" w:cs="Segoe UI"/>
          <w:sz w:val="22"/>
          <w:szCs w:val="22"/>
        </w:rPr>
        <w:t xml:space="preserve">now </w:t>
      </w:r>
      <w:r w:rsidRPr="002F036A" w:rsidR="004F3DEB">
        <w:rPr>
          <w:rFonts w:ascii="Verdana" w:hAnsi="Verdana" w:cs="Segoe UI"/>
          <w:sz w:val="22"/>
          <w:szCs w:val="22"/>
        </w:rPr>
        <w:t>newer platforms like Kick</w:t>
      </w:r>
      <w:r w:rsidRPr="002F036A" w:rsidR="006E5846">
        <w:rPr>
          <w:rFonts w:ascii="Verdana" w:hAnsi="Verdana" w:cs="Segoe UI"/>
          <w:sz w:val="22"/>
          <w:szCs w:val="22"/>
        </w:rPr>
        <w:t xml:space="preserve">. Kick was </w:t>
      </w:r>
      <w:r w:rsidRPr="002F036A">
        <w:rPr>
          <w:rFonts w:ascii="Verdana" w:hAnsi="Verdana" w:cs="Segoe UI"/>
          <w:sz w:val="22"/>
          <w:szCs w:val="22"/>
        </w:rPr>
        <w:t xml:space="preserve">created by the owners of the crypto casino Stake, </w:t>
      </w:r>
      <w:r w:rsidRPr="002F036A">
        <w:rPr>
          <w:rFonts w:ascii="Verdana" w:hAnsi="Verdana" w:cs="Segoe UI"/>
          <w:sz w:val="22"/>
          <w:szCs w:val="22"/>
        </w:rPr>
        <w:t>which is</w:t>
      </w:r>
      <w:r w:rsidRPr="002F036A" w:rsidR="009D063C">
        <w:rPr>
          <w:rFonts w:ascii="Verdana" w:hAnsi="Verdana" w:cs="Segoe UI"/>
          <w:sz w:val="22"/>
          <w:szCs w:val="22"/>
        </w:rPr>
        <w:t xml:space="preserve"> </w:t>
      </w:r>
      <w:r w:rsidRPr="002F036A" w:rsidR="3ABA3CC7">
        <w:rPr>
          <w:rFonts w:ascii="Verdana" w:hAnsi="Verdana" w:cs="Segoe UI"/>
          <w:sz w:val="22"/>
          <w:szCs w:val="22"/>
        </w:rPr>
        <w:t>un</w:t>
      </w:r>
      <w:r w:rsidRPr="002F036A">
        <w:rPr>
          <w:rFonts w:ascii="Verdana" w:hAnsi="Verdana" w:cs="Segoe UI"/>
          <w:sz w:val="22"/>
          <w:szCs w:val="22"/>
        </w:rPr>
        <w:t>licensed in Great Britain</w:t>
      </w:r>
      <w:r w:rsidRPr="002F036A" w:rsidR="006E5846">
        <w:rPr>
          <w:rFonts w:ascii="Verdana" w:hAnsi="Verdana" w:cs="Segoe UI"/>
          <w:sz w:val="22"/>
          <w:szCs w:val="22"/>
        </w:rPr>
        <w:t>. Using the Kick platform, Stake</w:t>
      </w:r>
      <w:r w:rsidRPr="002F036A" w:rsidR="5DA73354">
        <w:rPr>
          <w:rFonts w:ascii="Verdana" w:hAnsi="Verdana" w:cs="Segoe UI"/>
          <w:sz w:val="22"/>
          <w:szCs w:val="22"/>
        </w:rPr>
        <w:t xml:space="preserve"> </w:t>
      </w:r>
      <w:r w:rsidRPr="002F036A">
        <w:rPr>
          <w:rFonts w:ascii="Verdana" w:hAnsi="Verdana" w:cs="Segoe UI"/>
          <w:sz w:val="22"/>
          <w:szCs w:val="22"/>
        </w:rPr>
        <w:t xml:space="preserve">sponsored streamers </w:t>
      </w:r>
      <w:r w:rsidRPr="002F036A" w:rsidR="005209DF">
        <w:rPr>
          <w:rFonts w:ascii="Verdana" w:hAnsi="Verdana" w:cs="Segoe UI"/>
          <w:sz w:val="22"/>
          <w:szCs w:val="22"/>
        </w:rPr>
        <w:t xml:space="preserve">(among others) </w:t>
      </w:r>
      <w:r w:rsidRPr="002F036A">
        <w:rPr>
          <w:rFonts w:ascii="Verdana" w:hAnsi="Verdana" w:cs="Segoe UI"/>
          <w:sz w:val="22"/>
          <w:szCs w:val="22"/>
        </w:rPr>
        <w:t>reach</w:t>
      </w:r>
      <w:r w:rsidRPr="002F036A" w:rsidR="006E5846">
        <w:rPr>
          <w:rFonts w:ascii="Verdana" w:hAnsi="Verdana" w:cs="Segoe UI"/>
          <w:sz w:val="22"/>
          <w:szCs w:val="22"/>
        </w:rPr>
        <w:t xml:space="preserve"> British</w:t>
      </w:r>
      <w:r w:rsidRPr="002F036A">
        <w:rPr>
          <w:rFonts w:ascii="Verdana" w:hAnsi="Verdana" w:cs="Segoe UI"/>
          <w:sz w:val="22"/>
          <w:szCs w:val="22"/>
        </w:rPr>
        <w:t xml:space="preserve"> audiences, including young people</w:t>
      </w:r>
      <w:r w:rsidRPr="002F036A" w:rsidR="005659BA">
        <w:rPr>
          <w:rFonts w:ascii="Verdana" w:hAnsi="Verdana" w:cs="Segoe UI"/>
          <w:sz w:val="22"/>
          <w:szCs w:val="22"/>
        </w:rPr>
        <w:t xml:space="preserve"> </w:t>
      </w:r>
      <w:r w:rsidRPr="002F036A" w:rsidR="005659BA">
        <w:rPr>
          <w:rFonts w:ascii="Verdana" w:hAnsi="Verdana" w:cs="Segoe UI"/>
          <w:sz w:val="22"/>
          <w:szCs w:val="22"/>
        </w:rPr>
        <w:fldChar w:fldCharType="begin" w:fldLock="1"/>
      </w:r>
      <w:r w:rsidRPr="002F036A" w:rsidR="001115E5">
        <w:rPr>
          <w:rFonts w:ascii="Verdana" w:hAnsi="Verdana" w:cs="Segoe UI"/>
          <w:sz w:val="22"/>
          <w:szCs w:val="22"/>
        </w:rPr>
        <w:instrText>ADDIN CSL_CITATION {"citationItems":[{"id":"ITEM-1","itemData":{"DOI":"10.1080/16066359.2025.2567270","author":[{"dropping-particle":"","family":"Hughes","given":"Chelsea","non-dropping-particle":"","parse-names":false,"suffix":""},{"dropping-particle":"","family":"Torrance","given":"Jamie","non-dropping-particle":"","parse-names":false,"suffix":""},{"dropping-particle":"","family":"Dymond","given":"Simon","non-dropping-particle":"","parse-names":false,"suffix":""},{"dropping-particle":"","family":"Dighton","given":"Glen","non-dropping-particle":"","parse-names":false,"suffix":""},{"dropping-particle":"","family":"Hughes","given":"Chelsea","non-dropping-particle":"","parse-names":false,"suffix":""},{"dropping-particle":"","family":"Torrance","given":"Jamie","non-dropping-particle":"","parse-names":false,"suffix":""},{"dropping-particle":"","family":"Dymond","given":"Simon","non-dropping-particle":"","parse-names":false,"suffix":""},{"dropping-particle":"","family":"Dighton","given":"Glen","non-dropping-particle":"","parse-names":false,"suffix":""}],"container-title":"Addiction Research &amp; Theory","id":"ITEM-1","issue":"3","issued":{"date-parts":[["2026"]]},"page":"327-339","publisher":"Taylor &amp; Francis","title":"The experiences and engagement patterns of young adults who regularly view gambling livestreams : a qualitative interview study","type":"article-journal","volume":"34"},"uris":["http://www.mendeley.com/documents/?uuid=e867dc7f-dbe0-4ab0-bfef-5b686d875d73"]}],"mendeley":{"formattedCitation":"(Hughes &lt;i&gt;et al.&lt;/i&gt;, 2026)","plainTextFormattedCitation":"(Hughes et al., 2026)","previouslyFormattedCitation":"(Hughes &lt;i&gt;et al.&lt;/i&gt;, 2026)"},"properties":{"noteIndex":0},"schema":"https://github.com/citation-style-language/schema/raw/master/csl-citation.json"}</w:instrText>
      </w:r>
      <w:r w:rsidRPr="002F036A" w:rsidR="005659BA">
        <w:rPr>
          <w:rFonts w:ascii="Verdana" w:hAnsi="Verdana" w:cs="Segoe UI"/>
          <w:sz w:val="22"/>
          <w:szCs w:val="22"/>
        </w:rPr>
        <w:fldChar w:fldCharType="separate"/>
      </w:r>
      <w:r w:rsidRPr="002F036A" w:rsidR="005659BA">
        <w:rPr>
          <w:rFonts w:ascii="Verdana" w:hAnsi="Verdana" w:cs="Segoe UI"/>
          <w:noProof/>
          <w:sz w:val="22"/>
          <w:szCs w:val="22"/>
        </w:rPr>
        <w:t xml:space="preserve">(Hughes </w:t>
      </w:r>
      <w:r w:rsidRPr="002F036A" w:rsidR="005659BA">
        <w:rPr>
          <w:rFonts w:ascii="Verdana" w:hAnsi="Verdana" w:cs="Segoe UI"/>
          <w:i/>
          <w:noProof/>
          <w:sz w:val="22"/>
          <w:szCs w:val="22"/>
        </w:rPr>
        <w:t>et al.</w:t>
      </w:r>
      <w:r w:rsidRPr="002F036A" w:rsidR="005659BA">
        <w:rPr>
          <w:rFonts w:ascii="Verdana" w:hAnsi="Verdana" w:cs="Segoe UI"/>
          <w:noProof/>
          <w:sz w:val="22"/>
          <w:szCs w:val="22"/>
        </w:rPr>
        <w:t>, 2026)</w:t>
      </w:r>
      <w:r w:rsidRPr="002F036A" w:rsidR="005659BA">
        <w:rPr>
          <w:rFonts w:ascii="Verdana" w:hAnsi="Verdana" w:cs="Segoe UI"/>
          <w:sz w:val="22"/>
          <w:szCs w:val="22"/>
        </w:rPr>
        <w:fldChar w:fldCharType="end"/>
      </w:r>
      <w:r w:rsidRPr="002F036A">
        <w:rPr>
          <w:rFonts w:ascii="Verdana" w:hAnsi="Verdana" w:cs="Segoe UI"/>
          <w:sz w:val="22"/>
          <w:szCs w:val="22"/>
        </w:rPr>
        <w:t xml:space="preserve">. </w:t>
      </w:r>
      <w:r w:rsidRPr="002F036A" w:rsidR="005209DF">
        <w:rPr>
          <w:rFonts w:ascii="Verdana" w:hAnsi="Verdana" w:cs="Segoe UI"/>
          <w:sz w:val="22"/>
          <w:szCs w:val="22"/>
        </w:rPr>
        <w:t>Where there is no</w:t>
      </w:r>
      <w:r w:rsidRPr="002F036A">
        <w:rPr>
          <w:rFonts w:ascii="Verdana" w:hAnsi="Verdana" w:cs="Segoe UI"/>
          <w:sz w:val="22"/>
          <w:szCs w:val="22"/>
        </w:rPr>
        <w:t xml:space="preserve"> </w:t>
      </w:r>
      <w:r w:rsidRPr="002F036A" w:rsidR="005209DF">
        <w:rPr>
          <w:rFonts w:ascii="Verdana" w:hAnsi="Verdana" w:cs="Segoe UI"/>
          <w:sz w:val="22"/>
          <w:szCs w:val="22"/>
        </w:rPr>
        <w:t>British</w:t>
      </w:r>
      <w:r w:rsidRPr="002F036A">
        <w:rPr>
          <w:rFonts w:ascii="Verdana" w:hAnsi="Verdana" w:cs="Segoe UI"/>
          <w:sz w:val="22"/>
          <w:szCs w:val="22"/>
        </w:rPr>
        <w:t xml:space="preserve"> licen</w:t>
      </w:r>
      <w:r w:rsidRPr="002F036A" w:rsidR="05C64EF3">
        <w:rPr>
          <w:rFonts w:ascii="Verdana" w:hAnsi="Verdana" w:cs="Segoe UI"/>
          <w:sz w:val="22"/>
          <w:szCs w:val="22"/>
        </w:rPr>
        <w:t>sing</w:t>
      </w:r>
      <w:r w:rsidRPr="002F036A">
        <w:rPr>
          <w:rFonts w:ascii="Verdana" w:hAnsi="Verdana" w:cs="Segoe UI"/>
          <w:sz w:val="22"/>
          <w:szCs w:val="22"/>
        </w:rPr>
        <w:t xml:space="preserve"> </w:t>
      </w:r>
      <w:r w:rsidRPr="002F036A" w:rsidR="6C4330D4">
        <w:rPr>
          <w:rFonts w:ascii="Verdana" w:hAnsi="Verdana" w:cs="Segoe UI"/>
          <w:sz w:val="22"/>
          <w:szCs w:val="22"/>
        </w:rPr>
        <w:t xml:space="preserve">of </w:t>
      </w:r>
      <w:r w:rsidRPr="002F036A">
        <w:rPr>
          <w:rFonts w:ascii="Verdana" w:hAnsi="Verdana" w:cs="Segoe UI"/>
          <w:sz w:val="22"/>
          <w:szCs w:val="22"/>
        </w:rPr>
        <w:t xml:space="preserve">these operators, the Commission has no operator to sanction, and the ASA </w:t>
      </w:r>
      <w:r w:rsidRPr="002F036A" w:rsidR="005209DF">
        <w:rPr>
          <w:rFonts w:ascii="Verdana" w:hAnsi="Verdana" w:cs="Segoe UI"/>
          <w:sz w:val="22"/>
          <w:szCs w:val="22"/>
        </w:rPr>
        <w:t>can only take complaints-led action if the streams are considered marketing communications and thus subject to relevant codes.</w:t>
      </w:r>
      <w:r w:rsidRPr="002F036A" w:rsidR="004F3DEB">
        <w:rPr>
          <w:rFonts w:ascii="Verdana" w:hAnsi="Verdana" w:cs="Segoe UI"/>
          <w:sz w:val="22"/>
          <w:szCs w:val="22"/>
        </w:rPr>
        <w:t xml:space="preserve"> </w:t>
      </w:r>
      <w:r w:rsidRPr="002F036A">
        <w:rPr>
          <w:rFonts w:ascii="Verdana" w:hAnsi="Verdana" w:cs="Segoe UI"/>
          <w:sz w:val="22"/>
          <w:szCs w:val="22"/>
        </w:rPr>
        <w:t xml:space="preserve">Direct licensing of affiliates, as the former committee recommended, would </w:t>
      </w:r>
      <w:r w:rsidRPr="002F036A" w:rsidR="6531DC6A">
        <w:rPr>
          <w:rFonts w:ascii="Verdana" w:hAnsi="Verdana" w:cs="Segoe UI"/>
          <w:sz w:val="22"/>
          <w:szCs w:val="22"/>
        </w:rPr>
        <w:t xml:space="preserve">be a constructive first step. </w:t>
      </w:r>
    </w:p>
    <w:p w:rsidR="00E759B6" w:rsidRPr="002F036A" w:rsidP="002F036A">
      <w:pPr>
        <w:spacing w:line="259" w:lineRule="auto"/>
        <w:rPr>
          <w:rFonts w:ascii="Verdana" w:hAnsi="Verdana" w:cs="Segoe UI"/>
          <w:sz w:val="22"/>
          <w:szCs w:val="22"/>
          <w:lang w:val="en-US"/>
        </w:rPr>
      </w:pPr>
    </w:p>
    <w:p w:rsidR="00E759B6" w:rsidRPr="002F036A" w:rsidP="002F036A">
      <w:pPr>
        <w:pStyle w:val="ListParagraph"/>
        <w:numPr>
          <w:ilvl w:val="0"/>
          <w:numId w:val="14"/>
        </w:numPr>
        <w:contextualSpacing w:val="0"/>
        <w:rPr>
          <w:rFonts w:ascii="Verdana" w:hAnsi="Verdana" w:cs="Segoe UI"/>
          <w:sz w:val="22"/>
          <w:szCs w:val="22"/>
        </w:rPr>
      </w:pPr>
      <w:r w:rsidRPr="002F036A">
        <w:rPr>
          <w:rFonts w:ascii="Verdana" w:hAnsi="Verdana" w:cs="Segoe UI"/>
          <w:sz w:val="22"/>
          <w:szCs w:val="22"/>
        </w:rPr>
        <w:t>What would be the benefits and risks of prohibiting gambling promotions by social media influencers and content creators?</w:t>
      </w:r>
    </w:p>
    <w:p w:rsidR="00E759B6"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The benefits follow directly from the gap identified above. Prohibiting influencer and content-creator promotion would close the channel in which the current accountability model breaks down</w:t>
      </w:r>
      <w:r w:rsidRPr="002F036A">
        <w:rPr>
          <w:rFonts w:ascii="Verdana" w:hAnsi="Verdana" w:cs="Segoe UI"/>
          <w:sz w:val="22"/>
          <w:szCs w:val="22"/>
        </w:rPr>
        <w:t>.</w:t>
      </w:r>
      <w:r w:rsidRPr="002F036A">
        <w:rPr>
          <w:rFonts w:ascii="Verdana" w:hAnsi="Verdana" w:cs="Segoe UI"/>
          <w:sz w:val="22"/>
          <w:szCs w:val="22"/>
        </w:rPr>
        <w:t xml:space="preserve"> The benefit targets </w:t>
      </w:r>
      <w:r w:rsidRPr="002F036A" w:rsidR="009D063C">
        <w:rPr>
          <w:rFonts w:ascii="Verdana" w:hAnsi="Verdana" w:cs="Segoe UI"/>
          <w:sz w:val="22"/>
          <w:szCs w:val="22"/>
        </w:rPr>
        <w:t>a</w:t>
      </w:r>
      <w:r w:rsidRPr="002F036A">
        <w:rPr>
          <w:rFonts w:ascii="Verdana" w:hAnsi="Verdana" w:cs="Segoe UI"/>
          <w:sz w:val="22"/>
          <w:szCs w:val="22"/>
        </w:rPr>
        <w:t xml:space="preserve"> weak point </w:t>
      </w:r>
      <w:r w:rsidRPr="002F036A" w:rsidR="009D063C">
        <w:rPr>
          <w:rFonts w:ascii="Verdana" w:hAnsi="Verdana" w:cs="Segoe UI"/>
          <w:sz w:val="22"/>
          <w:szCs w:val="22"/>
        </w:rPr>
        <w:t>with</w:t>
      </w:r>
      <w:r w:rsidRPr="002F036A">
        <w:rPr>
          <w:rFonts w:ascii="Verdana" w:hAnsi="Verdana" w:cs="Segoe UI"/>
          <w:sz w:val="22"/>
          <w:szCs w:val="22"/>
        </w:rPr>
        <w:t>in the present</w:t>
      </w:r>
      <w:r w:rsidRPr="002F036A">
        <w:rPr>
          <w:rFonts w:ascii="Verdana" w:hAnsi="Verdana" w:cs="Segoe UI"/>
          <w:sz w:val="22"/>
          <w:szCs w:val="22"/>
        </w:rPr>
        <w:t xml:space="preserve"> regulatory</w:t>
      </w:r>
      <w:r w:rsidRPr="002F036A">
        <w:rPr>
          <w:rFonts w:ascii="Verdana" w:hAnsi="Verdana" w:cs="Segoe UI"/>
          <w:sz w:val="22"/>
          <w:szCs w:val="22"/>
        </w:rPr>
        <w:t xml:space="preserve"> regime. The principal complication is difficulty of enforcement. Because much of this promotion sits on offshore platforms beyond direct </w:t>
      </w:r>
      <w:r w:rsidRPr="002F036A">
        <w:rPr>
          <w:rFonts w:ascii="Verdana" w:hAnsi="Verdana" w:cs="Segoe UI"/>
          <w:sz w:val="22"/>
          <w:szCs w:val="22"/>
        </w:rPr>
        <w:t>British</w:t>
      </w:r>
      <w:r w:rsidRPr="002F036A">
        <w:rPr>
          <w:rFonts w:ascii="Verdana" w:hAnsi="Verdana" w:cs="Segoe UI"/>
          <w:sz w:val="22"/>
          <w:szCs w:val="22"/>
        </w:rPr>
        <w:t xml:space="preserve"> regulatory reach, a prohibition cannot be delivered by the regulator alone and depends</w:t>
      </w:r>
      <w:r w:rsidRPr="002F036A" w:rsidR="009D063C">
        <w:rPr>
          <w:rFonts w:ascii="Verdana" w:hAnsi="Verdana" w:cs="Segoe UI"/>
          <w:sz w:val="22"/>
          <w:szCs w:val="22"/>
        </w:rPr>
        <w:t>,</w:t>
      </w:r>
      <w:r w:rsidRPr="002F036A">
        <w:rPr>
          <w:rFonts w:ascii="Verdana" w:hAnsi="Verdana" w:cs="Segoe UI"/>
          <w:sz w:val="22"/>
          <w:szCs w:val="22"/>
        </w:rPr>
        <w:t xml:space="preserve"> in part</w:t>
      </w:r>
      <w:r w:rsidRPr="002F036A" w:rsidR="009D063C">
        <w:rPr>
          <w:rFonts w:ascii="Verdana" w:hAnsi="Verdana" w:cs="Segoe UI"/>
          <w:sz w:val="22"/>
          <w:szCs w:val="22"/>
        </w:rPr>
        <w:t>,</w:t>
      </w:r>
      <w:r w:rsidRPr="002F036A">
        <w:rPr>
          <w:rFonts w:ascii="Verdana" w:hAnsi="Verdana" w:cs="Segoe UI"/>
          <w:sz w:val="22"/>
          <w:szCs w:val="22"/>
        </w:rPr>
        <w:t xml:space="preserve"> on the platforms themselves to detect and remove the content. </w:t>
      </w:r>
      <w:r w:rsidRPr="002F036A" w:rsidR="009D063C">
        <w:rPr>
          <w:rFonts w:ascii="Verdana" w:hAnsi="Verdana" w:cs="Segoe UI"/>
          <w:sz w:val="22"/>
          <w:szCs w:val="22"/>
        </w:rPr>
        <w:t xml:space="preserve">Our understanding is that </w:t>
      </w:r>
      <w:r w:rsidRPr="002F036A">
        <w:rPr>
          <w:rFonts w:ascii="Verdana" w:hAnsi="Verdana" w:cs="Segoe UI"/>
          <w:sz w:val="22"/>
          <w:szCs w:val="22"/>
        </w:rPr>
        <w:t>The Illegal Gambling Taskforce is intend</w:t>
      </w:r>
      <w:r w:rsidRPr="002F036A" w:rsidR="009D063C">
        <w:rPr>
          <w:rFonts w:ascii="Verdana" w:hAnsi="Verdana" w:cs="Segoe UI"/>
          <w:sz w:val="22"/>
          <w:szCs w:val="22"/>
        </w:rPr>
        <w:t>ing to lead on engagement with platforms on this priority issue</w:t>
      </w:r>
      <w:r w:rsidRPr="002F036A" w:rsidR="00CF6670">
        <w:rPr>
          <w:rFonts w:ascii="Verdana" w:hAnsi="Verdana" w:cs="Segoe UI"/>
          <w:sz w:val="22"/>
          <w:szCs w:val="22"/>
        </w:rPr>
        <w:t>, though the commercial arrangements of platforms like Kick suggest this engagement may be challenging.</w:t>
      </w:r>
    </w:p>
    <w:p w:rsidR="00E759B6" w:rsidRPr="002F036A" w:rsidP="002F036A">
      <w:pPr>
        <w:pStyle w:val="ListParagraph"/>
        <w:ind w:left="1440"/>
        <w:contextualSpacing w:val="0"/>
        <w:rPr>
          <w:rFonts w:ascii="Verdana" w:hAnsi="Verdana" w:cs="Segoe UI"/>
          <w:sz w:val="22"/>
          <w:szCs w:val="22"/>
        </w:rPr>
      </w:pPr>
    </w:p>
    <w:p w:rsidR="00E759B6" w:rsidRPr="002F036A" w:rsidP="002F036A">
      <w:pPr>
        <w:rPr>
          <w:rFonts w:ascii="Verdana" w:hAnsi="Verdana" w:cs="Segoe UI"/>
          <w:b/>
          <w:bCs/>
          <w:i/>
          <w:iCs/>
          <w:sz w:val="22"/>
          <w:szCs w:val="22"/>
        </w:rPr>
      </w:pPr>
      <w:r w:rsidRPr="002F036A">
        <w:rPr>
          <w:rFonts w:ascii="Verdana" w:hAnsi="Verdana" w:cs="Segoe UI"/>
          <w:b/>
          <w:bCs/>
          <w:i/>
          <w:iCs/>
          <w:sz w:val="22"/>
          <w:szCs w:val="22"/>
        </w:rPr>
        <w:t>Content marketing</w:t>
      </w:r>
    </w:p>
    <w:p w:rsidR="00E759B6"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How widespread is gambling ‘content marketing’, and what evidence is there for its impact on under-18s?</w:t>
      </w:r>
    </w:p>
    <w:p w:rsidR="00E759B6"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Gambling content marketing is now a major part of the gambling marketing landscape, and a growing body of work from Rossi</w:t>
      </w:r>
      <w:r w:rsidRPr="002F036A">
        <w:rPr>
          <w:rFonts w:ascii="Verdana" w:hAnsi="Verdana" w:cs="Segoe UI"/>
          <w:sz w:val="22"/>
          <w:szCs w:val="22"/>
        </w:rPr>
        <w:t xml:space="preserve"> and colleagues </w:t>
      </w:r>
      <w:r w:rsidRPr="002F036A">
        <w:rPr>
          <w:rFonts w:ascii="Verdana" w:hAnsi="Verdana" w:cs="Segoe UI"/>
          <w:sz w:val="22"/>
          <w:szCs w:val="22"/>
        </w:rPr>
        <w:t xml:space="preserve">has provided evidence on both its reach and its effect on children. This research estimates that content marketing accounts for roughly 40 to 50% of all gambling advertising on social media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{"citationItems":[{"id":"ITEM-1","itemData":{"DOI":"10.1177/0743915621999674","ISSN":"15477207","abstract":"The internet raises substantial challenges for policy makers in regulating gambling harm. The proliferation of gambling advertising on Twitter is one such challenge. However, the sheer scale renders it extremely difficult to investigate using conventional techniques. In this article, the authors present three U.K. Twitter gambling advertising studies using both big data analytics and manual content analysis to explore the volume and content of gambling ads, the age and engagement of followers, and compliance with U.K. advertising regulations. They analyze 890,000 organic ads from 417 accounts along with data on 620,000 followers and 457,000 engagements (replies and retweets). They find that approximately 41,000 U.K. children follow Twitter gambling accounts, and that two-thirds of gambling advertising tweets fail to fully comply with regulations. Ads for e-sports gambling are markedly different from those for traditional gambling (such as on soccer, casinos, and lotteries) and appear to have strong appeal for children, with 28% of engagements with e-sports gambling ads coming from users under 16 years old. The authors make six policy recommendations: spotlight e-sports gambling advertising, create new social media–specific regulations, revise regulation on content appealing to children, use technology to block users under 18 years from seeing gambling ads, require ad labeling of organic gambling tweets, and deploy better enforcement.","author":[{"dropping-particle":"","family":"Rossi","given":"Raffaello","non-dropping-particle":"","parse-names":false,"suffix":""},{"dropping-particle":"","family":"Nairn","given":"Agnes","non-dropping-particle":"","parse-names":false,"suffix":""},{"dropping-particle":"","family":"Smith","given":"Josh","non-dropping-particle":"","parse-names":false,"suffix":""},{"dropping-particle":"","family":"Inskip","given":"Christopher","non-dropping-particle":"","parse-names":false,"suffix":""}],"container-title":"Journal of Public Policy and Marketing","id":"ITEM-1","issue":"4","issued":{"date-parts":[["2021"]]},"page":"487-504","title":"“Get a £10 Free Bet Every Week!”—Gambling Advertising on Twitter: Volume, Content, Followers, Engagement, and Regulatory Compliance","type":"article-journal","volume":"40"},"uris":["http://www.mendeley.com/documents/?uuid=78faa802-bf60-4d75-978d-a8483a4844f4"]}],"mendeley":{"formattedCitation":"(Rossi &lt;i&gt;et al.&lt;/i&gt;, 2021)","plainTextFormattedCitation":"(Rossi et al., 2021)","previouslyFormattedCitation":"(Rossi &lt;i&gt;et al.&lt;/i&gt;, 2021)"},"properties":{"noteIndex":0},"schema":"https://github.com/citation-style-language/schema/raw/master/csl-citation.json"}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(Rossi </w:t>
      </w:r>
      <w:r w:rsidRPr="002F036A">
        <w:rPr>
          <w:rFonts w:ascii="Verdana" w:hAnsi="Verdana" w:cs="Segoe UI"/>
          <w:i/>
          <w:noProof/>
          <w:sz w:val="22"/>
          <w:szCs w:val="22"/>
        </w:rPr>
        <w:t>et al.</w:t>
      </w:r>
      <w:r w:rsidRPr="002F036A">
        <w:rPr>
          <w:rFonts w:ascii="Verdana" w:hAnsi="Verdana" w:cs="Segoe UI"/>
          <w:noProof/>
          <w:sz w:val="22"/>
          <w:szCs w:val="22"/>
        </w:rPr>
        <w:t>, 2021)</w:t>
      </w:r>
      <w:r w:rsidRPr="002F036A">
        <w:rPr>
          <w:rFonts w:ascii="Verdana" w:hAnsi="Verdana" w:cs="Segoe UI"/>
          <w:sz w:val="22"/>
          <w:szCs w:val="22"/>
        </w:rPr>
        <w:fldChar w:fldCharType="end"/>
      </w:r>
      <w:r w:rsidRPr="002F036A">
        <w:rPr>
          <w:rFonts w:ascii="Verdana" w:hAnsi="Verdana" w:cs="Segoe UI"/>
          <w:sz w:val="22"/>
          <w:szCs w:val="22"/>
        </w:rPr>
        <w:t xml:space="preserve">. </w:t>
      </w:r>
      <w:r w:rsidRPr="002F036A" w:rsidR="009D063C">
        <w:rPr>
          <w:rFonts w:ascii="Verdana" w:hAnsi="Verdana" w:cs="Segoe UI"/>
          <w:sz w:val="22"/>
          <w:szCs w:val="22"/>
        </w:rPr>
        <w:t>According to Rossi and colleagues, c</w:t>
      </w:r>
      <w:r w:rsidRPr="002F036A">
        <w:rPr>
          <w:rFonts w:ascii="Verdana" w:hAnsi="Verdana" w:cs="Segoe UI"/>
          <w:sz w:val="22"/>
          <w:szCs w:val="22"/>
        </w:rPr>
        <w:t xml:space="preserve">ontent marketing is harder to recognise as advertising than conventional gambling advertising, including for children, </w:t>
      </w:r>
      <w:r w:rsidRPr="002F036A" w:rsidR="009D063C">
        <w:rPr>
          <w:rFonts w:ascii="Verdana" w:hAnsi="Verdana" w:cs="Segoe UI"/>
          <w:sz w:val="22"/>
          <w:szCs w:val="22"/>
        </w:rPr>
        <w:t>thus</w:t>
      </w:r>
      <w:r w:rsidRPr="002F036A">
        <w:rPr>
          <w:rFonts w:ascii="Verdana" w:hAnsi="Verdana" w:cs="Segoe UI"/>
          <w:sz w:val="22"/>
          <w:szCs w:val="22"/>
        </w:rPr>
        <w:t xml:space="preserve"> bypass</w:t>
      </w:r>
      <w:r w:rsidRPr="002F036A" w:rsidR="009D063C">
        <w:rPr>
          <w:rFonts w:ascii="Verdana" w:hAnsi="Verdana" w:cs="Segoe UI"/>
          <w:sz w:val="22"/>
          <w:szCs w:val="22"/>
        </w:rPr>
        <w:t>ing</w:t>
      </w:r>
      <w:r w:rsidRPr="002F036A">
        <w:rPr>
          <w:rFonts w:ascii="Verdana" w:hAnsi="Verdana" w:cs="Segoe UI"/>
          <w:sz w:val="22"/>
          <w:szCs w:val="22"/>
        </w:rPr>
        <w:t xml:space="preserve"> the scepticism overt advertising would trigger and breaches the requirement that marketing be obviously identifiable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10.1177/14707853241292953","author":[{"dropping-particle":"","family":"Rossi","given":"Raffaello","non-dropping-particle":"","parse-names":false,"suffix":""},{"dropping-particle":"","family":"Nairn","given":"Agnes","non-dropping-particle":"","parse-names":false,"suffix":""}],"container-title":"International Journal of Market Research","id":"ITEM-1","issue":"1","issued":{"date-parts":[["2025"]]},"page":"33-52","title":"Clearly (not) identifiable – The recognisability of gambling content marketing","type":"article-journal","volume":"67"},"uris":["http://www.mendeley.com/documents/?uuid=4af91b06-43e5-4bb4-98c5-5a6ca83a5ef5"]}],"mendeley":{"formattedCitation":"(Rossi and Nairn, 2025)","plainTextFormattedCitation":"(Rossi and Nairn, 2025)","previouslyFormattedCitation":"(Rossi and Nairn, 2025)"},"properties":{"noteIndex":0},"schema":"https://github.com/citation-style-language/schema/raw/master/csl-citation.json"}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(Rossi and Nairn, 2025)</w:t>
      </w:r>
      <w:r w:rsidRPr="002F036A">
        <w:rPr>
          <w:rFonts w:ascii="Verdana" w:hAnsi="Verdana" w:cs="Segoe UI"/>
          <w:sz w:val="22"/>
          <w:szCs w:val="22"/>
        </w:rPr>
        <w:fldChar w:fldCharType="end"/>
      </w:r>
      <w:r w:rsidRPr="002F036A">
        <w:rPr>
          <w:rFonts w:ascii="Verdana" w:hAnsi="Verdana" w:cs="Segoe UI"/>
          <w:sz w:val="22"/>
          <w:szCs w:val="22"/>
        </w:rPr>
        <w:t xml:space="preserve">. In an experiment with children aged 13 to 17, content marketing proved both more emotionally arousing and less identifiable than standard advertising, with a school-based gambling education programme failing to reduce either effect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10.1002/mar.70122","author":[{"dropping-particle":"","family":"Rossi","given":"Raffaello","non-dropping-particle":"","parse-names":false,"suffix":""},{"dropping-particle":"","family":"Tozzi","given":"Edoardo","non-dropping-particle":"","parse-names":false,"suffix":""},{"dropping-particle":"","family":"Nairn","given":"Agnes","non-dropping-particle":"","parse-names":false,"suffix":""}],"container-title":"Psychology &amp; Marketing","id":"ITEM-1","issued":{"date-parts":[["2026"]]},"page":"1472-1487","title":"Cognitive Overload and Emotional Arousal : Why Gambling Content Marketing Appeals to Children and Resists Established Educational Interventions","type":"article-journal","volume":"43"},"uris":["http://www.mendeley.com/documents/?uuid=6b6c719d-9034-4c5b-afee-b2b18ae1fb1d"]}],"mendeley":{"formattedCitation":"(Rossi, Tozzi and Nairn, 2026)","plainTextFormattedCitation":"(Rossi, Tozzi and Nairn, 2026)","previouslyFormattedCitation":"(Rossi, Tozzi and Nairn,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(Rossi, Tozzi and Nairn, 2026)</w:t>
      </w:r>
      <w:r w:rsidRPr="002F036A">
        <w:rPr>
          <w:rFonts w:ascii="Verdana" w:hAnsi="Verdana" w:cs="Segoe UI"/>
          <w:sz w:val="22"/>
          <w:szCs w:val="22"/>
        </w:rPr>
        <w:fldChar w:fldCharType="end"/>
      </w:r>
      <w:r w:rsidRPr="002F036A">
        <w:rPr>
          <w:rFonts w:ascii="Verdana" w:hAnsi="Verdana" w:cs="Segoe UI"/>
          <w:sz w:val="22"/>
          <w:szCs w:val="22"/>
        </w:rPr>
        <w:t xml:space="preserve">. </w:t>
      </w:r>
      <w:r w:rsidRPr="002F036A" w:rsidR="00E13EF9">
        <w:rPr>
          <w:rFonts w:ascii="Verdana" w:hAnsi="Verdana" w:cs="Segoe UI"/>
          <w:sz w:val="22"/>
          <w:szCs w:val="22"/>
        </w:rPr>
        <w:t>Taken together, this evidence</w:t>
      </w:r>
      <w:r w:rsidRPr="002F036A">
        <w:rPr>
          <w:rFonts w:ascii="Verdana" w:hAnsi="Verdana" w:cs="Segoe UI"/>
          <w:sz w:val="22"/>
          <w:szCs w:val="22"/>
        </w:rPr>
        <w:t xml:space="preserve"> describes a form of marketing that is widespread</w:t>
      </w:r>
      <w:r w:rsidRPr="002F036A" w:rsidR="00E13EF9">
        <w:rPr>
          <w:rFonts w:ascii="Verdana" w:hAnsi="Verdana" w:cs="Segoe UI"/>
          <w:sz w:val="22"/>
          <w:szCs w:val="22"/>
        </w:rPr>
        <w:t>. Among children, it is</w:t>
      </w:r>
      <w:r w:rsidRPr="002F036A">
        <w:rPr>
          <w:rFonts w:ascii="Verdana" w:hAnsi="Verdana" w:cs="Segoe UI"/>
          <w:sz w:val="22"/>
          <w:szCs w:val="22"/>
        </w:rPr>
        <w:t xml:space="preserve"> emotionally engagin</w:t>
      </w:r>
      <w:r w:rsidRPr="002F036A" w:rsidR="00E13EF9">
        <w:rPr>
          <w:rFonts w:ascii="Verdana" w:hAnsi="Verdana" w:cs="Segoe UI"/>
          <w:sz w:val="22"/>
          <w:szCs w:val="22"/>
        </w:rPr>
        <w:t xml:space="preserve">g whilst being not recognisable </w:t>
      </w:r>
      <w:r w:rsidRPr="002F036A">
        <w:rPr>
          <w:rFonts w:ascii="Verdana" w:hAnsi="Verdana" w:cs="Segoe UI"/>
          <w:sz w:val="22"/>
          <w:szCs w:val="22"/>
        </w:rPr>
        <w:t xml:space="preserve">as advertising, </w:t>
      </w:r>
      <w:r w:rsidRPr="002F036A" w:rsidR="00E13EF9">
        <w:rPr>
          <w:rFonts w:ascii="Verdana" w:hAnsi="Verdana" w:cs="Segoe UI"/>
          <w:sz w:val="22"/>
          <w:szCs w:val="22"/>
        </w:rPr>
        <w:t xml:space="preserve">with both aspects being </w:t>
      </w:r>
      <w:r w:rsidRPr="002F036A">
        <w:rPr>
          <w:rFonts w:ascii="Verdana" w:hAnsi="Verdana" w:cs="Segoe UI"/>
          <w:sz w:val="22"/>
          <w:szCs w:val="22"/>
        </w:rPr>
        <w:t xml:space="preserve">resistant to educational </w:t>
      </w:r>
      <w:r w:rsidRPr="002F036A" w:rsidR="00E13EF9">
        <w:rPr>
          <w:rFonts w:ascii="Verdana" w:hAnsi="Verdana" w:cs="Segoe UI"/>
          <w:sz w:val="22"/>
          <w:szCs w:val="22"/>
        </w:rPr>
        <w:t>efforts</w:t>
      </w:r>
      <w:r w:rsidRPr="002F036A">
        <w:rPr>
          <w:rFonts w:ascii="Verdana" w:hAnsi="Verdana" w:cs="Segoe UI"/>
          <w:sz w:val="22"/>
          <w:szCs w:val="22"/>
        </w:rPr>
        <w:t xml:space="preserve"> </w:t>
      </w:r>
      <w:r w:rsidRPr="002F036A" w:rsidR="00E13EF9">
        <w:rPr>
          <w:rFonts w:ascii="Verdana" w:hAnsi="Verdana" w:cs="Segoe UI"/>
          <w:sz w:val="22"/>
          <w:szCs w:val="22"/>
        </w:rPr>
        <w:t>to counter these effects</w:t>
      </w:r>
      <w:r w:rsidRPr="002F036A">
        <w:rPr>
          <w:rFonts w:ascii="Verdana" w:hAnsi="Verdana" w:cs="Segoe UI"/>
          <w:sz w:val="22"/>
          <w:szCs w:val="22"/>
        </w:rPr>
        <w:t>.</w:t>
      </w:r>
    </w:p>
    <w:p w:rsidR="008D2F6C" w:rsidRPr="002F036A" w:rsidP="002F036A">
      <w:pPr>
        <w:rPr>
          <w:rFonts w:ascii="Verdana" w:hAnsi="Verdana" w:cs="Segoe UI"/>
          <w:sz w:val="22"/>
          <w:szCs w:val="22"/>
        </w:rPr>
      </w:pPr>
    </w:p>
    <w:p w:rsidR="00320CD8"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To what extent does the ASA’s distinction between ‘advertising’ and ‘editorial content’ affect its ability to regulate content marketing?</w:t>
      </w:r>
    </w:p>
    <w:p w:rsidR="00320CD8"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The ASA’s jurisdiction rests on a distinction between marketing communications, which fall within its codes, and editorial content, which does not. This boundary works reasonably well for conventional advertising, where promotional intent is clearly signalled. However, content marketing often operates in a space where this distinction becomes less clear-cut. By presenting promotional material in formats that resemble organic or editorial content, such material can be experienced as editorial while still serving advertising purposes.</w:t>
      </w:r>
    </w:p>
    <w:p w:rsidR="00320CD8" w:rsidRPr="002F036A" w:rsidP="002F036A">
      <w:pPr>
        <w:spacing w:line="276" w:lineRule="auto"/>
        <w:rPr>
          <w:rFonts w:ascii="Verdana" w:hAnsi="Verdana" w:cs="Segoe UI"/>
          <w:sz w:val="22"/>
          <w:szCs w:val="22"/>
        </w:rPr>
      </w:pPr>
      <w:r w:rsidRPr="002F036A">
        <w:rPr>
          <w:rFonts w:ascii="Verdana" w:hAnsi="Verdana" w:cs="Segoe UI"/>
          <w:sz w:val="22"/>
          <w:szCs w:val="22"/>
        </w:rPr>
        <w:t xml:space="preserve">This reflects a wider challenge in gambling regulation, where rules are sometimes framed around specific distinctions that can be difficult to apply consistently in practice. For instance, the ‘strong appeal’ threshold does not include the 18 to 24 age group, despite the Government </w:t>
      </w:r>
      <w:r w:rsidRPr="002F036A" w:rsidR="00CF6670">
        <w:rPr>
          <w:rFonts w:ascii="Verdana" w:hAnsi="Verdana" w:cs="Segoe UI"/>
          <w:sz w:val="22"/>
          <w:szCs w:val="22"/>
        </w:rPr>
        <w:t xml:space="preserve">recognising the </w:t>
      </w:r>
      <w:r w:rsidRPr="002F036A">
        <w:rPr>
          <w:rFonts w:ascii="Verdana" w:hAnsi="Verdana" w:cs="Segoe UI"/>
          <w:sz w:val="22"/>
          <w:szCs w:val="22"/>
        </w:rPr>
        <w:t>heightened risk of harms among this age group</w:t>
      </w:r>
      <w:r w:rsidRPr="002F036A" w:rsidR="001115E5">
        <w:rPr>
          <w:rFonts w:ascii="Verdana" w:hAnsi="Verdana" w:cs="Segoe UI"/>
          <w:sz w:val="22"/>
          <w:szCs w:val="22"/>
        </w:rPr>
        <w:t xml:space="preserve"> </w:t>
      </w:r>
      <w:r w:rsidRPr="002F036A" w:rsidR="001115E5">
        <w:rPr>
          <w:rFonts w:ascii="Verdana" w:hAnsi="Verdana" w:cs="Segoe UI"/>
          <w:sz w:val="22"/>
          <w:szCs w:val="22"/>
        </w:rPr>
        <w:fldChar w:fldCharType="begin" w:fldLock="1"/>
      </w:r>
      <w:r w:rsidRPr="002F036A" w:rsidR="00154C04">
        <w:rPr>
          <w:rFonts w:ascii="Verdana" w:hAnsi="Verdana" w:cs="Segoe UI"/>
          <w:sz w:val="22"/>
          <w:szCs w:val="22"/>
        </w:rPr>
        <w:instrText>ADDIN CSL_CITATION {"citationItems":[{"id":"ITEM-1","itemData":{"ISBN":"9781528635813","author":[{"dropping-particle":"","family":"Department for Culture Media &amp; Sport","given":"","non-dropping-particle":"","parse-names":false,"suffix":""}],"id":"ITEM-1","issue":"April","issued":{"date-parts":[["2023"]]},"title":"High Stakes: Gambling Reform for the Digital Age","type":"book"},"uris":["http://www.mendeley.com/documents/?uuid=bb7ca996-2af0-4db6-b3ca-11b510a4e6d7"]}],"mendeley":{"formattedCitation":"(Department for Culture Media &amp; Sport, 2023)","plainTextFormattedCitation":"(Department for Culture Media &amp; Sport, 2023)","previouslyFormattedCitation":"(Department for Culture Media &amp; Sport, 2023)"},"properties":{"noteIndex":0},"schema":"https://github.com/citation-style-language/schema/raw/master/csl-citation.json"}</w:instrText>
      </w:r>
      <w:r w:rsidRPr="002F036A" w:rsidR="001115E5">
        <w:rPr>
          <w:rFonts w:ascii="Verdana" w:hAnsi="Verdana" w:cs="Segoe UI"/>
          <w:sz w:val="22"/>
          <w:szCs w:val="22"/>
        </w:rPr>
        <w:fldChar w:fldCharType="separate"/>
      </w:r>
      <w:r w:rsidRPr="002F036A" w:rsidR="001115E5">
        <w:rPr>
          <w:rFonts w:ascii="Verdana" w:hAnsi="Verdana" w:cs="Segoe UI"/>
          <w:noProof/>
          <w:sz w:val="22"/>
          <w:szCs w:val="22"/>
        </w:rPr>
        <w:t>(Department for Culture Media &amp; Sport, 2023)</w:t>
      </w:r>
      <w:r w:rsidRPr="002F036A" w:rsidR="001115E5">
        <w:rPr>
          <w:rFonts w:ascii="Verdana" w:hAnsi="Verdana" w:cs="Segoe UI"/>
          <w:sz w:val="22"/>
          <w:szCs w:val="22"/>
        </w:rPr>
        <w:fldChar w:fldCharType="end"/>
      </w:r>
      <w:r w:rsidRPr="002F036A">
        <w:rPr>
          <w:rFonts w:ascii="Verdana" w:hAnsi="Verdana" w:cs="Segoe UI"/>
          <w:sz w:val="22"/>
          <w:szCs w:val="22"/>
        </w:rPr>
        <w:t>. Similarly, adjustments to features such as celebratory sounds for losses framed as wins have addressed formal requirements while raising questions about whether the broader intent of the rules is fully met (Myles, Bennett and Newall, 2026). Practices such as alibi branding also maintain brand visibility even when sponsorship is restricted</w:t>
      </w:r>
      <w:r w:rsidRPr="002F036A" w:rsidR="00154C04">
        <w:rPr>
          <w:rFonts w:ascii="Verdana" w:hAnsi="Verdana" w:cs="Segoe UI"/>
          <w:sz w:val="22"/>
          <w:szCs w:val="22"/>
        </w:rPr>
        <w:t xml:space="preserve"> </w:t>
      </w:r>
      <w:r w:rsidRPr="002F036A" w:rsidR="00154C04">
        <w:rPr>
          <w:rFonts w:ascii="Verdana" w:hAnsi="Verdana" w:cs="Segoe UI"/>
          <w:sz w:val="22"/>
          <w:szCs w:val="22"/>
        </w:rPr>
        <w:fldChar w:fldCharType="begin" w:fldLock="1"/>
      </w:r>
      <w:r w:rsidRPr="002F036A" w:rsidR="005B72D1">
        <w:rPr>
          <w:rFonts w:ascii="Verdana" w:hAnsi="Verdana" w:cs="Segoe UI"/>
          <w:sz w:val="22"/>
          <w:szCs w:val="22"/>
        </w:rPr>
        <w:instrText>ADDIN CSL_CITATION {"citationItems":[{"id":"ITEM-1","itemData":{"ISBN":"0000000216609","author":[{"dropping-particle":"","family":"Heath","given":"Conor","non-dropping-particle":"","parse-names":false,"suffix":""},{"dropping-particle":"","family":"Torrance","given":"Jamie","non-dropping-particle":"","parse-names":false,"suffix":""},{"dropping-particle":"","family":"Xiao","given":"Leon Y","non-dropping-particle":"","parse-names":false,"suffix":""},{"dropping-particle":"","family":"Newall","given":"Philip","non-dropping-particle":"","parse-names":false,"suffix":""}],"container-title":"Journal of Gambling Issues","id":"ITEM-1","issued":{"date-parts":[["2025"]]},"page":"2-7","title":"Loopholes and logos: How ‘decoy brands ’ perpetuate gambling advertising in Italian football","type":"article-journal"},"uris":["http://www.mendeley.com/documents/?uuid=ecf84fdd-9a20-41aa-9398-bd2febc9e7d5"]}],"mendeley":{"formattedCitation":"(Heath &lt;i&gt;et al.&lt;/i&gt;, 2025)","plainTextFormattedCitation":"(Heath et al., 2025)","previouslyFormattedCitation":"(Heath &lt;i&gt;et al.&lt;/i&gt;, 2025)"},"properties":{"noteIndex":0},"schema":"https://github.com/citation-style-language/schema/raw/master/csl-citation.json"}</w:instrText>
      </w:r>
      <w:r w:rsidRPr="002F036A" w:rsidR="00154C04">
        <w:rPr>
          <w:rFonts w:ascii="Verdana" w:hAnsi="Verdana" w:cs="Segoe UI"/>
          <w:sz w:val="22"/>
          <w:szCs w:val="22"/>
        </w:rPr>
        <w:fldChar w:fldCharType="separate"/>
      </w:r>
      <w:r w:rsidRPr="002F036A" w:rsidR="00154C04">
        <w:rPr>
          <w:rFonts w:ascii="Verdana" w:hAnsi="Verdana" w:cs="Segoe UI"/>
          <w:noProof/>
          <w:sz w:val="22"/>
          <w:szCs w:val="22"/>
        </w:rPr>
        <w:t xml:space="preserve">(Heath </w:t>
      </w:r>
      <w:r w:rsidRPr="002F036A" w:rsidR="00154C04">
        <w:rPr>
          <w:rFonts w:ascii="Verdana" w:hAnsi="Verdana" w:cs="Segoe UI"/>
          <w:i/>
          <w:noProof/>
          <w:sz w:val="22"/>
          <w:szCs w:val="22"/>
        </w:rPr>
        <w:t>et al.</w:t>
      </w:r>
      <w:r w:rsidRPr="002F036A" w:rsidR="00154C04">
        <w:rPr>
          <w:rFonts w:ascii="Verdana" w:hAnsi="Verdana" w:cs="Segoe UI"/>
          <w:noProof/>
          <w:sz w:val="22"/>
          <w:szCs w:val="22"/>
        </w:rPr>
        <w:t>, 2025)</w:t>
      </w:r>
      <w:r w:rsidRPr="002F036A" w:rsidR="00154C04">
        <w:rPr>
          <w:rFonts w:ascii="Verdana" w:hAnsi="Verdana" w:cs="Segoe UI"/>
          <w:sz w:val="22"/>
          <w:szCs w:val="22"/>
        </w:rPr>
        <w:fldChar w:fldCharType="end"/>
      </w:r>
      <w:r w:rsidRPr="002F036A">
        <w:rPr>
          <w:rFonts w:ascii="Verdana" w:hAnsi="Verdana" w:cs="Segoe UI"/>
          <w:sz w:val="22"/>
          <w:szCs w:val="22"/>
        </w:rPr>
        <w:t>.</w:t>
      </w:r>
    </w:p>
    <w:p w:rsidR="00320CD8" w:rsidRPr="002F036A" w:rsidP="002F036A">
      <w:pPr>
        <w:spacing w:line="276" w:lineRule="auto"/>
        <w:rPr>
          <w:rFonts w:ascii="Verdana" w:hAnsi="Verdana" w:cs="Segoe UI"/>
          <w:sz w:val="22"/>
          <w:szCs w:val="22"/>
        </w:rPr>
      </w:pPr>
      <w:r w:rsidRPr="002F036A">
        <w:rPr>
          <w:rFonts w:ascii="Verdana" w:hAnsi="Verdana" w:cs="Segoe UI"/>
          <w:sz w:val="22"/>
          <w:szCs w:val="22"/>
        </w:rPr>
        <w:t>Across these examples, there is a recurring tension between regulating formal characteristics and addressing the broader functions that marketing performs. Where regulation focuses primarily on form, there is a tendency for marketing practices to adapt accordingly. In this context, if the ASA’s remit continues to depend largely on whether content is classified as advertising rather than on its practical effects, certain forms of content marketing may remain difficult to address fully within existing frameworks.</w:t>
      </w:r>
    </w:p>
    <w:p w:rsidR="008D2F6C" w:rsidRPr="002F036A" w:rsidP="002F036A">
      <w:pPr>
        <w:spacing w:line="276" w:lineRule="auto"/>
        <w:rPr>
          <w:rFonts w:ascii="Verdana" w:hAnsi="Verdana" w:cs="Segoe UI"/>
          <w:sz w:val="22"/>
          <w:szCs w:val="22"/>
        </w:rPr>
      </w:pPr>
    </w:p>
    <w:p w:rsidR="00E759B6"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Should gambling content marketing be permitted, and if so, how might it be regulated more effectively?</w:t>
      </w:r>
    </w:p>
    <w:p w:rsidR="00320CD8"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sidR="00E759B6">
        <w:rPr>
          <w:rFonts w:ascii="Verdana" w:hAnsi="Verdana" w:cs="Segoe UI"/>
          <w:sz w:val="22"/>
          <w:szCs w:val="22"/>
        </w:rPr>
        <w:t>Rossi, Nairn, and colleagues have made a clear set of recommendations on this question</w:t>
      </w:r>
      <w:r w:rsidRPr="002F036A" w:rsidR="00172547">
        <w:rPr>
          <w:rFonts w:ascii="Verdana" w:hAnsi="Verdana" w:cs="Segoe UI"/>
          <w:sz w:val="22"/>
          <w:szCs w:val="22"/>
        </w:rPr>
        <w:t xml:space="preserve"> </w:t>
      </w:r>
      <w:r w:rsidRPr="002F036A" w:rsidR="00172547">
        <w:rPr>
          <w:rFonts w:ascii="Verdana" w:hAnsi="Verdana" w:cs="Segoe UI"/>
          <w:sz w:val="22"/>
          <w:szCs w:val="22"/>
        </w:rPr>
        <w:fldChar w:fldCharType="begin" w:fldLock="1"/>
      </w:r>
      <w:r w:rsidRPr="002F036A" w:rsidR="00080F8A">
        <w:rPr>
          <w:rFonts w:ascii="Verdana" w:hAnsi="Verdana" w:cs="Segoe UI"/>
          <w:sz w:val="22"/>
          <w:szCs w:val="22"/>
        </w:rPr>
        <w:instrText>ADDIN CSL_CITATION {"citationItems":[{"id":"ITEM-1","itemData":{"author":[{"dropping-particle":"","family":"Rossi","given":"Raffaello","non-dropping-particle":"","parse-names":false,"suffix":""},{"dropping-particle":"","family":"Nairn","given":"Agnes","non-dropping-particle":"","parse-names":false,"suffix":""}],"id":"ITEM-1","issue":"October","issued":{"date-parts":[["2021"]]},"publisher-place":"Bristol","title":"What are the odds? The appeal of gambling adverts to children and young persons on Twitter","type":"report"},"uris":["http://www.mendeley.com/documents/?uuid=d9ba4453-4307-41a0-a387-940e22ff3cee"]},{"id":"ITEM-2","itemData":{"DOI":"10.1007/s40429-022-00457-0","ISBN":"4042902200","ISSN":"2196-2952","author":[{"dropping-particle":"","family":"Rossi","given":"Raffaello","non-dropping-particle":"","parse-names":false,"suffix":""},{"dropping-particle":"","family":"Nairn","given":"Agnes","non-dropping-particle":"","parse-names":false,"suffix":""}],"container-title":"Current Addiction Reports","id":"ITEM-2","issued":{"date-parts":[["2022"]]},"page":"385-391","publisher":"Springer International Publishing","title":"New Developments in Gambling Marketing : the Rise of Social Media Ads and Its Effect on Youth","type":"article-journal","volume":"9"},"uris":["http://www.mendeley.com/documents/?uuid=f107c92d-6a62-4ef8-9057-5fad98b3b3c0"]},{"id":"ITEM-3","itemData":{"DOI":"https://doi.org/10.1086/729290","author":[{"dropping-particle":"","family":"Rossi","given":"Raffaello","non-dropping-particle":"","parse-names":false,"suffix":""},{"dropping-particle":"","family":"Nairn","given":"Agnes","non-dropping-particle":"","parse-names":false,"suffix":""}],"container-title":"Journal of the Association for Consumer Research","id":"ITEM-3","issue":"2","issued":{"date-parts":[["2024"]]},"page":"187-199","title":"Priming young minds: The appeal of gambling advertising to children and young people","type":"article-journal","volume":"9"},"uris":["http://www.mendeley.com/documents/?uuid=02f4fad2-e9cb-417b-91c4-e8dec365d185"]},{"id":"ITEM-4","itemData":{"DOI":"10.1177/14707853241292953","author":[{"dropping-particle":"","family":"Rossi","given":"Raffaello","non-dropping-particle":"","parse-names":false,"suffix":""},{"dropping-particle":"","family":"Nairn","given":"Agnes","non-dropping-particle":"","parse-names":false,"suffix":""}],"container-title":"International Journal of Market Research","id":"ITEM-4","issue":"1","issued":{"date-parts":[["2025"]]},"page":"33-52","title":"Clearly (not) identifiable – The recognisability of gambling content marketing","type":"article-journal","volume":"67"},"uris":["http://www.mendeley.com/documents/?uuid=4af91b06-43e5-4bb4-98c5-5a6ca83a5ef5"]}],"mendeley":{"formattedCitation":"(Rossi and Nairn, 2021, 2022, 2024, 2025)","plainTextFormattedCitation":"(Rossi and Nairn, 2021, 2022, 2024, 2025)","previouslyFormattedCitation":"(Rossi and Nairn, 2021, 2022, 2024, 2025)"},"properties":{"noteIndex":0},"schema":"https://github.com/citation-style-language/schema/raw/master/csl-citation.json"}</w:instrText>
      </w:r>
      <w:r w:rsidRPr="002F036A" w:rsidR="00172547">
        <w:rPr>
          <w:rFonts w:ascii="Verdana" w:hAnsi="Verdana" w:cs="Segoe UI"/>
          <w:sz w:val="22"/>
          <w:szCs w:val="22"/>
        </w:rPr>
        <w:fldChar w:fldCharType="separate"/>
      </w:r>
      <w:r w:rsidRPr="002F036A" w:rsidR="00172547">
        <w:rPr>
          <w:rFonts w:ascii="Verdana" w:hAnsi="Verdana" w:cs="Segoe UI"/>
          <w:noProof/>
          <w:sz w:val="22"/>
          <w:szCs w:val="22"/>
        </w:rPr>
        <w:t>(Rossi and Nairn, 2021, 2022, 2024, 2025)</w:t>
      </w:r>
      <w:r w:rsidRPr="002F036A" w:rsidR="00172547">
        <w:rPr>
          <w:rFonts w:ascii="Verdana" w:hAnsi="Verdana" w:cs="Segoe UI"/>
          <w:sz w:val="22"/>
          <w:szCs w:val="22"/>
        </w:rPr>
        <w:fldChar w:fldCharType="end"/>
      </w:r>
      <w:r w:rsidRPr="002F036A" w:rsidR="00E759B6">
        <w:rPr>
          <w:rFonts w:ascii="Verdana" w:hAnsi="Verdana" w:cs="Segoe UI"/>
          <w:sz w:val="22"/>
          <w:szCs w:val="22"/>
        </w:rPr>
        <w:t xml:space="preserve">. </w:t>
      </w:r>
      <w:r w:rsidRPr="002F036A" w:rsidR="004B29D5">
        <w:rPr>
          <w:rFonts w:ascii="Verdana" w:hAnsi="Verdana" w:cs="Segoe UI"/>
          <w:sz w:val="22"/>
          <w:szCs w:val="22"/>
        </w:rPr>
        <w:t xml:space="preserve">Whilst they have subsequently recommended an outright ban on content marketing </w:t>
      </w:r>
      <w:r w:rsidRPr="002F036A" w:rsidR="00080F8A">
        <w:rPr>
          <w:rFonts w:ascii="Verdana" w:hAnsi="Verdana" w:cs="Segoe UI"/>
          <w:sz w:val="22"/>
          <w:szCs w:val="22"/>
        </w:rPr>
        <w:fldChar w:fldCharType="begin" w:fldLock="1"/>
      </w:r>
      <w:r w:rsidRPr="002F036A" w:rsidR="0096569B">
        <w:rPr>
          <w:rFonts w:ascii="Verdana" w:hAnsi="Verdana" w:cs="Segoe UI"/>
          <w:sz w:val="22"/>
          <w:szCs w:val="22"/>
        </w:rPr>
        <w:instrText>ADDIN CSL_CITATION {"citationItems":[{"id":"ITEM-1","itemData":{"DOI":"10.1177/14707853241292953","author":[{"dropping-particle":"","family":"Rossi","given":"Raffaello","non-dropping-particle":"","parse-names":false,"suffix":""},{"dropping-particle":"","family":"Nairn","given":"Agnes","non-dropping-particle":"","parse-names":false,"suffix":""}],"container-title":"International Journal of Market Research","id":"ITEM-1","issue":"1","issued":{"date-parts":[["2025"]]},"page":"33-52","title":"Clearly (not) identifiable – The recognisability of gambling content marketing","type":"article-journal","volume":"67"},"uris":["http://www.mendeley.com/documents/?uuid=4af91b06-43e5-4bb4-98c5-5a6ca83a5ef5"]}],"mendeley":{"formattedCitation":"(Rossi and Nairn, 2025)","plainTextFormattedCitation":"(Rossi and Nairn, 2025)","previouslyFormattedCitation":"(Rossi and Nairn, 2025)"},"properties":{"noteIndex":0},"schema":"https://github.com/citation-style-language/schema/raw/master/csl-citation.json"}</w:instrText>
      </w:r>
      <w:r w:rsidRPr="002F036A" w:rsidR="00080F8A">
        <w:rPr>
          <w:rFonts w:ascii="Verdana" w:hAnsi="Verdana" w:cs="Segoe UI"/>
          <w:sz w:val="22"/>
          <w:szCs w:val="22"/>
        </w:rPr>
        <w:fldChar w:fldCharType="separate"/>
      </w:r>
      <w:r w:rsidRPr="002F036A" w:rsidR="00080F8A">
        <w:rPr>
          <w:rFonts w:ascii="Verdana" w:hAnsi="Verdana" w:cs="Segoe UI"/>
          <w:noProof/>
          <w:sz w:val="22"/>
          <w:szCs w:val="22"/>
        </w:rPr>
        <w:t>(Rossi and Nairn, 2025)</w:t>
      </w:r>
      <w:r w:rsidRPr="002F036A" w:rsidR="00080F8A">
        <w:rPr>
          <w:rFonts w:ascii="Verdana" w:hAnsi="Verdana" w:cs="Segoe UI"/>
          <w:sz w:val="22"/>
          <w:szCs w:val="22"/>
        </w:rPr>
        <w:fldChar w:fldCharType="end"/>
      </w:r>
      <w:r w:rsidRPr="002F036A" w:rsidR="00080F8A">
        <w:rPr>
          <w:rFonts w:ascii="Verdana" w:hAnsi="Verdana" w:cs="Segoe UI"/>
          <w:sz w:val="22"/>
          <w:szCs w:val="22"/>
        </w:rPr>
        <w:t>,</w:t>
      </w:r>
      <w:r w:rsidRPr="002F036A" w:rsidR="004B29D5">
        <w:rPr>
          <w:rFonts w:ascii="Verdana" w:hAnsi="Verdana" w:cs="Segoe UI"/>
          <w:sz w:val="22"/>
          <w:szCs w:val="22"/>
        </w:rPr>
        <w:t xml:space="preserve"> </w:t>
      </w:r>
      <w:r w:rsidRPr="002F036A">
        <w:rPr>
          <w:rFonts w:ascii="Verdana" w:hAnsi="Verdana" w:cs="Segoe UI"/>
          <w:sz w:val="22"/>
          <w:szCs w:val="22"/>
        </w:rPr>
        <w:t xml:space="preserve">should content marketing </w:t>
      </w:r>
      <w:r w:rsidRPr="002F036A" w:rsidR="004B29D5">
        <w:rPr>
          <w:rFonts w:ascii="Verdana" w:hAnsi="Verdana" w:cs="Segoe UI"/>
          <w:sz w:val="22"/>
          <w:szCs w:val="22"/>
        </w:rPr>
        <w:t>continue to be permitted, t</w:t>
      </w:r>
      <w:r w:rsidRPr="002F036A">
        <w:rPr>
          <w:rFonts w:ascii="Verdana" w:hAnsi="Verdana" w:cs="Segoe UI"/>
          <w:sz w:val="22"/>
          <w:szCs w:val="22"/>
        </w:rPr>
        <w:t xml:space="preserve">hey recommend that </w:t>
      </w:r>
      <w:r w:rsidRPr="002F036A">
        <w:rPr>
          <w:rFonts w:ascii="Verdana" w:hAnsi="Verdana" w:cs="Segoe UI"/>
          <w:sz w:val="22"/>
          <w:szCs w:val="22"/>
        </w:rPr>
        <w:t>it should include</w:t>
      </w:r>
      <w:r w:rsidRPr="002F036A">
        <w:rPr>
          <w:rFonts w:ascii="Verdana" w:hAnsi="Verdana" w:cs="Segoe UI"/>
          <w:sz w:val="22"/>
          <w:szCs w:val="22"/>
        </w:rPr>
        <w:t xml:space="preserve">: </w:t>
      </w:r>
    </w:p>
    <w:p w:rsidR="00320CD8" w:rsidRPr="002F036A" w:rsidP="002F036A">
      <w:pPr>
        <w:pStyle w:val="ListParagraph"/>
        <w:numPr>
          <w:ilvl w:val="0"/>
          <w:numId w:val="32"/>
        </w:numPr>
        <w:spacing w:line="276" w:lineRule="auto"/>
        <w:rPr>
          <w:rFonts w:ascii="Verdana" w:hAnsi="Verdana" w:cs="Segoe UI"/>
          <w:sz w:val="22"/>
          <w:szCs w:val="22"/>
        </w:rPr>
      </w:pPr>
      <w:r w:rsidRPr="002F036A">
        <w:rPr>
          <w:rFonts w:ascii="Verdana" w:hAnsi="Verdana" w:cs="Segoe UI"/>
          <w:sz w:val="22"/>
          <w:szCs w:val="22"/>
        </w:rPr>
        <w:t>mandatory and prominent labelling as commercial content, and</w:t>
      </w:r>
    </w:p>
    <w:p w:rsidR="004B29D5" w:rsidRPr="002F036A" w:rsidP="002F036A">
      <w:pPr>
        <w:pStyle w:val="ListParagraph"/>
        <w:numPr>
          <w:ilvl w:val="0"/>
          <w:numId w:val="32"/>
        </w:numPr>
        <w:spacing w:line="276" w:lineRule="auto"/>
        <w:rPr>
          <w:rFonts w:ascii="Verdana" w:hAnsi="Verdana" w:cs="Segoe UI"/>
          <w:sz w:val="22"/>
          <w:szCs w:val="22"/>
        </w:rPr>
      </w:pPr>
      <w:r w:rsidRPr="002F036A">
        <w:rPr>
          <w:rFonts w:ascii="Verdana" w:hAnsi="Verdana" w:cs="Segoe UI"/>
          <w:sz w:val="22"/>
          <w:szCs w:val="22"/>
        </w:rPr>
        <w:t>via</w:t>
      </w:r>
      <w:r w:rsidRPr="002F036A" w:rsidR="00E759B6">
        <w:rPr>
          <w:rFonts w:ascii="Verdana" w:hAnsi="Verdana" w:cs="Segoe UI"/>
          <w:sz w:val="22"/>
          <w:szCs w:val="22"/>
        </w:rPr>
        <w:t xml:space="preserve"> </w:t>
      </w:r>
      <w:r w:rsidRPr="002F036A" w:rsidR="00114F43">
        <w:rPr>
          <w:rFonts w:ascii="Verdana" w:hAnsi="Verdana" w:cs="Segoe UI"/>
          <w:sz w:val="22"/>
          <w:szCs w:val="22"/>
        </w:rPr>
        <w:t>permitted only through</w:t>
      </w:r>
      <w:r w:rsidRPr="002F036A" w:rsidR="00E759B6">
        <w:rPr>
          <w:rFonts w:ascii="Verdana" w:hAnsi="Verdana" w:cs="Segoe UI"/>
          <w:sz w:val="22"/>
          <w:szCs w:val="22"/>
        </w:rPr>
        <w:t xml:space="preserve"> opt-in model for gambling advertising on social media</w:t>
      </w:r>
      <w:r w:rsidRPr="002F036A" w:rsidR="0096569B">
        <w:rPr>
          <w:rFonts w:ascii="Verdana" w:hAnsi="Verdana" w:cs="Segoe UI"/>
          <w:sz w:val="22"/>
          <w:szCs w:val="22"/>
        </w:rPr>
        <w:t xml:space="preserve"> </w:t>
      </w:r>
      <w:r w:rsidRPr="002F036A" w:rsidR="0096569B">
        <w:rPr>
          <w:rFonts w:ascii="Verdana" w:hAnsi="Verdana" w:cs="Segoe UI"/>
          <w:sz w:val="22"/>
          <w:szCs w:val="22"/>
        </w:rPr>
        <w:fldChar w:fldCharType="begin" w:fldLock="1"/>
      </w:r>
      <w:r w:rsidRPr="002F036A" w:rsidR="0018409F">
        <w:rPr>
          <w:rFonts w:ascii="Verdana" w:hAnsi="Verdana" w:cs="Segoe UI"/>
          <w:sz w:val="22"/>
          <w:szCs w:val="22"/>
        </w:rPr>
        <w:instrText>ADDIN CSL_CITATION {"citationItems":[{"id":"ITEM-1","itemData":{"author":[{"dropping-particle":"","family":"Rossi","given":"Raffaello","non-dropping-particle":"","parse-names":false,"suffix":""},{"dropping-particle":"","family":"Nairn","given":"Agnes","non-dropping-particle":"","parse-names":false,"suffix":""}],"id":"ITEM-1","issue":"October","issued":{"date-parts":[["2021"]]},"publisher-place":"Bristol","title":"What are the odds? The appeal of gambling adverts to children and young persons on Twitter","type":"report"},"uris":["http://www.mendeley.com/documents/?uuid=d9ba4453-4307-41a0-a387-940e22ff3cee"]}],"mendeley":{"formattedCitation":"(Rossi and Nairn, 2021)","plainTextFormattedCitation":"(Rossi and Nairn, 2021)","previouslyFormattedCitation":"(Rossi and Nairn, 2021)"},"properties":{"noteIndex":0},"schema":"https://github.com/citation-style-language/schema/raw/master/csl-citation.json"}</w:instrText>
      </w:r>
      <w:r w:rsidRPr="002F036A" w:rsidR="0096569B">
        <w:rPr>
          <w:rFonts w:ascii="Verdana" w:hAnsi="Verdana" w:cs="Segoe UI"/>
          <w:sz w:val="22"/>
          <w:szCs w:val="22"/>
        </w:rPr>
        <w:fldChar w:fldCharType="separate"/>
      </w:r>
      <w:r w:rsidRPr="002F036A" w:rsidR="0096569B">
        <w:rPr>
          <w:rFonts w:ascii="Verdana" w:hAnsi="Verdana" w:cs="Segoe UI"/>
          <w:noProof/>
          <w:sz w:val="22"/>
          <w:szCs w:val="22"/>
        </w:rPr>
        <w:t>(Rossi and Nairn, 2021)</w:t>
      </w:r>
      <w:r w:rsidRPr="002F036A" w:rsidR="0096569B">
        <w:rPr>
          <w:rFonts w:ascii="Verdana" w:hAnsi="Verdana" w:cs="Segoe UI"/>
          <w:sz w:val="22"/>
          <w:szCs w:val="22"/>
        </w:rPr>
        <w:fldChar w:fldCharType="end"/>
      </w:r>
      <w:r w:rsidRPr="002F036A" w:rsidR="00E759B6">
        <w:rPr>
          <w:rFonts w:ascii="Verdana" w:hAnsi="Verdana" w:cs="Segoe UI"/>
          <w:sz w:val="22"/>
          <w:szCs w:val="22"/>
        </w:rPr>
        <w:t xml:space="preserve">. </w:t>
      </w:r>
    </w:p>
    <w:p w:rsidR="00E759B6" w:rsidRPr="002F036A" w:rsidP="002F036A">
      <w:pPr>
        <w:spacing w:line="276" w:lineRule="auto"/>
        <w:rPr>
          <w:rFonts w:ascii="Verdana" w:hAnsi="Verdana" w:cs="Segoe UI"/>
          <w:sz w:val="22"/>
          <w:szCs w:val="22"/>
        </w:rPr>
      </w:pPr>
      <w:r w:rsidRPr="002F036A">
        <w:rPr>
          <w:rFonts w:ascii="Verdana" w:hAnsi="Verdana" w:cs="Segoe UI"/>
          <w:sz w:val="22"/>
          <w:szCs w:val="22"/>
          <w:lang w:val="en-US"/>
        </w:rPr>
        <w:t xml:space="preserve">The EU Digital Fairness Act will introduce </w:t>
      </w:r>
      <w:r w:rsidRPr="002F036A" w:rsidR="00114F43">
        <w:rPr>
          <w:rFonts w:ascii="Verdana" w:hAnsi="Verdana" w:cs="Segoe UI"/>
          <w:sz w:val="22"/>
          <w:szCs w:val="22"/>
          <w:lang w:val="en-US"/>
        </w:rPr>
        <w:t xml:space="preserve">additional </w:t>
      </w:r>
      <w:r w:rsidRPr="002F036A">
        <w:rPr>
          <w:rFonts w:ascii="Verdana" w:hAnsi="Verdana" w:cs="Segoe UI"/>
          <w:sz w:val="22"/>
          <w:szCs w:val="22"/>
          <w:lang w:val="en-US"/>
        </w:rPr>
        <w:t>regulations on digital marketing by influencers</w:t>
      </w:r>
      <w:r w:rsidRPr="002F036A" w:rsidR="004B29D5">
        <w:rPr>
          <w:rFonts w:ascii="Verdana" w:hAnsi="Verdana" w:cs="Segoe UI"/>
          <w:sz w:val="22"/>
          <w:szCs w:val="22"/>
          <w:lang w:val="en-US"/>
        </w:rPr>
        <w:t xml:space="preserve"> operating within European internal market</w:t>
      </w:r>
      <w:r w:rsidRPr="002F036A" w:rsidR="00114F43">
        <w:rPr>
          <w:rFonts w:ascii="Verdana" w:hAnsi="Verdana" w:cs="Segoe UI"/>
          <w:sz w:val="22"/>
          <w:szCs w:val="22"/>
          <w:lang w:val="en-US"/>
        </w:rPr>
        <w:t xml:space="preserve">. </w:t>
      </w:r>
      <w:r w:rsidRPr="002F036A">
        <w:rPr>
          <w:rFonts w:ascii="Verdana" w:hAnsi="Verdana" w:cs="Segoe UI"/>
          <w:sz w:val="22"/>
          <w:szCs w:val="22"/>
          <w:lang w:val="en-US"/>
        </w:rPr>
        <w:t xml:space="preserve">One </w:t>
      </w:r>
      <w:r w:rsidRPr="002F036A">
        <w:rPr>
          <w:rFonts w:ascii="Verdana" w:hAnsi="Verdana" w:cs="Segoe UI"/>
          <w:sz w:val="22"/>
          <w:szCs w:val="22"/>
          <w:lang w:val="en-US"/>
        </w:rPr>
        <w:t>expected requirement is for influencers to clearly indicate when they are advertising a product. This restriction is expected to reduce the uncertainties involved in identifying content marketing</w:t>
      </w:r>
      <w:r w:rsidRPr="002F036A" w:rsidR="004B29D5">
        <w:rPr>
          <w:rFonts w:ascii="Verdana" w:hAnsi="Verdana" w:cs="Segoe UI"/>
          <w:sz w:val="22"/>
          <w:szCs w:val="22"/>
          <w:lang w:val="en-US"/>
        </w:rPr>
        <w:t>.</w:t>
      </w:r>
      <w:r w:rsidRPr="002F036A" w:rsidR="00114F43">
        <w:rPr>
          <w:rFonts w:ascii="Verdana" w:hAnsi="Verdana" w:cs="Segoe UI"/>
          <w:sz w:val="22"/>
          <w:szCs w:val="22"/>
          <w:lang w:val="en-US"/>
        </w:rPr>
        <w:t xml:space="preserve"> </w:t>
      </w:r>
    </w:p>
    <w:p w:rsidR="00114F43" w:rsidRPr="002F036A" w:rsidP="002F036A">
      <w:pPr>
        <w:spacing w:line="276" w:lineRule="auto"/>
        <w:rPr>
          <w:rFonts w:ascii="Verdana" w:hAnsi="Verdana" w:cs="Segoe UI"/>
          <w:i/>
          <w:iCs/>
          <w:sz w:val="22"/>
          <w:szCs w:val="22"/>
        </w:rPr>
      </w:pPr>
    </w:p>
    <w:p w:rsidR="00E759B6" w:rsidRPr="002F036A" w:rsidP="002F036A">
      <w:pPr>
        <w:spacing w:line="276" w:lineRule="auto"/>
        <w:rPr>
          <w:rFonts w:ascii="Verdana" w:hAnsi="Verdana" w:cs="Segoe UI"/>
          <w:b/>
          <w:bCs/>
          <w:i/>
          <w:iCs/>
          <w:sz w:val="22"/>
          <w:szCs w:val="22"/>
        </w:rPr>
      </w:pPr>
      <w:r w:rsidRPr="002F036A">
        <w:rPr>
          <w:rFonts w:ascii="Verdana" w:hAnsi="Verdana" w:cs="Segoe UI"/>
          <w:b/>
          <w:bCs/>
          <w:i/>
          <w:iCs/>
          <w:sz w:val="22"/>
          <w:szCs w:val="22"/>
        </w:rPr>
        <w:t>Children and young people</w:t>
      </w:r>
    </w:p>
    <w:p w:rsidR="00E759B6"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Should social media companies do more to prevent the exposure of under-18s to gambling advertising, and how might this be achieved?</w:t>
      </w:r>
    </w:p>
    <w:p w:rsidR="004B29D5"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Evidence suggests that under-18 exposure is concentrated on platforms that already possess age-gating, targeting, and detection tools that could help reduce exposure. However, systems that rely primarily on self-declared age and complaints may limit the effectiveness of these protections, with studies indicating that substantial numbers of minors continue to engage with gambling-related accounts on platforms such as Twitter</w:t>
      </w:r>
      <w:r w:rsidRPr="002F036A" w:rsidR="0018409F">
        <w:rPr>
          <w:rFonts w:ascii="Verdana" w:hAnsi="Verdana" w:cs="Segoe UI"/>
          <w:sz w:val="22"/>
          <w:szCs w:val="22"/>
        </w:rPr>
        <w:t xml:space="preserve"> </w:t>
      </w:r>
      <w:r w:rsidRPr="002F036A" w:rsidR="0018409F">
        <w:rPr>
          <w:rFonts w:ascii="Verdana" w:hAnsi="Verdana" w:cs="Segoe UI"/>
          <w:sz w:val="22"/>
          <w:szCs w:val="22"/>
        </w:rPr>
        <w:fldChar w:fldCharType="begin" w:fldLock="1"/>
      </w:r>
      <w:r w:rsidRPr="002F036A" w:rsidR="004E6362">
        <w:rPr>
          <w:rFonts w:ascii="Verdana" w:hAnsi="Verdana" w:cs="Segoe UI"/>
          <w:sz w:val="22"/>
          <w:szCs w:val="22"/>
        </w:rPr>
        <w:instrText>ADDIN CSL_CITATION {"citationItems":[{"id":"ITEM-1","itemData":{"DOI":"10.1177/0743915621999674","ISSN":"15477207","abstract":"The internet raises substantial challenges for policy makers in regulating gambling harm. The proliferation of gambling advertising on Twitter is one such challenge. However, the sheer scale renders it extremely difficult to investigate using conventional techniques. In this article, the authors present three U.K. Twitter gambling advertising studies using both big data analytics and manual content analysis to explore the volume and content of gambling ads, the age and engagement of followers, and compliance with U.K. advertising regulations. They analyze 890,000 organic ads from 417 accounts along with data on 620,000 followers and 457,000 engagements (replies and retweets). They find that approximately 41,000 U.K. children follow Twitter gambling accounts, and that two-thirds of gambling advertising tweets fail to fully comply with regulations. Ads for e-sports gambling are markedly different from those for traditional gambling (such as on soccer, casinos, and lotteries) and appear to have strong appeal for children, with 28% of engagements with e-sports gambling ads coming from users under 16 years old. The authors make six policy recommendations: spotlight e-sports gambling advertising, create new social media–specific regulations, revise regulation on content appealing to children, use technology to block users under 18 years from seeing gambling ads, require ad labeling of organic gambling tweets, and deploy better enforcement.","author":[{"dropping-particle":"","family":"Rossi","given":"Raffaello","non-dropping-particle":"","parse-names":false,"suffix":""},{"dropping-particle":"","family":"Nairn","given":"Agnes","non-dropping-particle":"","parse-names":false,"suffix":""},{"dropping-particle":"","family":"Smith","given":"Josh","non-dropping-particle":"","parse-names":false,"suffix":""},{"dropping-particle":"","family":"Inskip","given":"Christopher","non-dropping-particle":"","parse-names":false,"suffix":""}],"container-title":"Journal of Public Policy and Marketing","id":"ITEM-1","issue":"4","issued":{"date-parts":[["2021"]]},"page":"487-504","title":"“Get a £10 Free Bet Every Week!”—Gambling Advertising on Twitter: Volume, Content, Followers, Engagement, and Regulatory Compliance","type":"article-journal","volume":"40"},"uris":["http://www.mendeley.com/documents/?uuid=78faa802-bf60-4d75-978d-a8483a4844f4"]}],"mendeley":{"formattedCitation":"(Rossi &lt;i&gt;et al.&lt;/i&gt;, 2021)","plainTextFormattedCitation":"(Rossi et al., 2021)","previouslyFormattedCitation":"(Rossi &lt;i&gt;et al.&lt;/i&gt;, 2021)"},"properties":{"noteIndex":0},"schema":"https://github.com/citation-style-language/schema/raw/master/csl-citation.json"}</w:instrText>
      </w:r>
      <w:r w:rsidRPr="002F036A" w:rsidR="0018409F">
        <w:rPr>
          <w:rFonts w:ascii="Verdana" w:hAnsi="Verdana" w:cs="Segoe UI"/>
          <w:sz w:val="22"/>
          <w:szCs w:val="22"/>
        </w:rPr>
        <w:fldChar w:fldCharType="separate"/>
      </w:r>
      <w:r w:rsidRPr="002F036A" w:rsidR="0018409F">
        <w:rPr>
          <w:rFonts w:ascii="Verdana" w:hAnsi="Verdana" w:cs="Segoe UI"/>
          <w:noProof/>
          <w:sz w:val="22"/>
          <w:szCs w:val="22"/>
        </w:rPr>
        <w:t xml:space="preserve">(Rossi </w:t>
      </w:r>
      <w:r w:rsidRPr="002F036A" w:rsidR="0018409F">
        <w:rPr>
          <w:rFonts w:ascii="Verdana" w:hAnsi="Verdana" w:cs="Segoe UI"/>
          <w:i/>
          <w:noProof/>
          <w:sz w:val="22"/>
          <w:szCs w:val="22"/>
        </w:rPr>
        <w:t>et al.</w:t>
      </w:r>
      <w:r w:rsidRPr="002F036A" w:rsidR="0018409F">
        <w:rPr>
          <w:rFonts w:ascii="Verdana" w:hAnsi="Verdana" w:cs="Segoe UI"/>
          <w:noProof/>
          <w:sz w:val="22"/>
          <w:szCs w:val="22"/>
        </w:rPr>
        <w:t>, 2021)</w:t>
      </w:r>
      <w:r w:rsidRPr="002F036A" w:rsidR="0018409F">
        <w:rPr>
          <w:rFonts w:ascii="Verdana" w:hAnsi="Verdana" w:cs="Segoe UI"/>
          <w:sz w:val="22"/>
          <w:szCs w:val="22"/>
        </w:rPr>
        <w:fldChar w:fldCharType="end"/>
      </w:r>
      <w:r w:rsidRPr="002F036A">
        <w:rPr>
          <w:rFonts w:ascii="Verdana" w:hAnsi="Verdana" w:cs="Segoe UI"/>
          <w:sz w:val="22"/>
          <w:szCs w:val="22"/>
        </w:rPr>
        <w:t>.</w:t>
      </w:r>
    </w:p>
    <w:p w:rsidR="004B29D5" w:rsidRPr="002F036A" w:rsidP="002F036A">
      <w:pPr>
        <w:spacing w:line="276" w:lineRule="auto"/>
        <w:rPr>
          <w:rFonts w:ascii="Verdana" w:hAnsi="Verdana" w:cs="Segoe UI"/>
          <w:sz w:val="22"/>
          <w:szCs w:val="22"/>
        </w:rPr>
      </w:pPr>
      <w:r w:rsidRPr="002F036A">
        <w:rPr>
          <w:rFonts w:ascii="Verdana" w:hAnsi="Verdana" w:cs="Segoe UI"/>
          <w:sz w:val="22"/>
          <w:szCs w:val="22"/>
        </w:rPr>
        <w:t xml:space="preserve">Potential improvements could include moving toward an opt-in model, where gambling advertising is shown only to users who actively choose to receive it and whose adult status has been verified. This could be complemented by stronger age-verification processes, more proactive detection and removal mechanisms, and the inclusion of influencer and content marketing within existing standards. </w:t>
      </w:r>
    </w:p>
    <w:p w:rsidR="004B29D5" w:rsidRPr="002F036A" w:rsidP="002F036A">
      <w:pPr>
        <w:spacing w:line="276" w:lineRule="auto"/>
        <w:rPr>
          <w:rFonts w:ascii="Verdana" w:hAnsi="Verdana" w:cs="Segoe UI"/>
          <w:sz w:val="22"/>
          <w:szCs w:val="22"/>
        </w:rPr>
      </w:pPr>
      <w:r w:rsidRPr="002F036A">
        <w:rPr>
          <w:rFonts w:ascii="Verdana" w:hAnsi="Verdana" w:cs="Segoe UI"/>
          <w:sz w:val="22"/>
          <w:szCs w:val="22"/>
        </w:rPr>
        <w:t>There is some evidence that platform-level interventions can have an impact. For example, Twitch’s removal of unlicensed gambling streams was associated with a notable reduction in such content on the platform</w:t>
      </w:r>
      <w:r w:rsidRPr="002F036A" w:rsidR="004E6362">
        <w:rPr>
          <w:rFonts w:ascii="Verdana" w:hAnsi="Verdana" w:cs="Segoe UI"/>
          <w:sz w:val="22"/>
          <w:szCs w:val="22"/>
        </w:rPr>
        <w:t xml:space="preserve"> </w:t>
      </w:r>
      <w:r w:rsidRPr="002F036A" w:rsidR="004E6362">
        <w:rPr>
          <w:rFonts w:ascii="Verdana" w:hAnsi="Verdana" w:cs="Segoe UI"/>
          <w:sz w:val="22"/>
          <w:szCs w:val="22"/>
        </w:rPr>
        <w:fldChar w:fldCharType="begin" w:fldLock="1"/>
      </w:r>
      <w:r w:rsidRPr="002F036A" w:rsidR="0092696F">
        <w:rPr>
          <w:rFonts w:ascii="Verdana" w:hAnsi="Verdana" w:cs="Segoe UI"/>
          <w:sz w:val="22"/>
          <w:szCs w:val="22"/>
        </w:rPr>
        <w:instrText xml:space="preserve">ADDIN CSL_CITATION {"citationItems":[{"id":"ITEM-1","itemData":{"author":[{"dropping-particle":"","family":"Han","given":"Qifan","non-dropping-particle":"","parse-names":false,"suffix":""},{"dropping-particle":"","family":"Yang","given":"Jasmine","non-dropping-particle":"","parse-names":false,"suffix":""},{"dropping-particle":"","family":"Simonov","given":"Andrey","non-dropping-particle":"","parse-names":false,"suffix":""}],"id":"ITEM-1","issued":{"date-parts":[["2025"]]},"number":"No. 5298054","publisher-place":"New York","title":"The Impact of Banning Online Gambling Livestreams: Evidence from Twitch. tv </w:instrText>
      </w:r>
      <w:r w:rsidRPr="002F036A" w:rsidR="0092696F">
        <w:rPr>
          <w:rFonts w:ascii="Cambria Math" w:hAnsi="Cambria Math" w:cs="Cambria Math"/>
          <w:sz w:val="22"/>
          <w:szCs w:val="22"/>
        </w:rPr>
        <w:instrText>∗</w:instrText>
      </w:r>
      <w:r w:rsidRPr="002F036A" w:rsidR="0092696F">
        <w:rPr>
          <w:rFonts w:ascii="Verdana" w:hAnsi="Verdana" w:cs="Segoe UI"/>
          <w:sz w:val="22"/>
          <w:szCs w:val="22"/>
        </w:rPr>
        <w:instrText>","type":"report"},"uris":["http://www.mendeley.com/documents/?uuid=d21fcc74-b55b-4622-b3ca-727ace17cae3"]}],"mendeley":{"formattedCitation":"(Han, Yang and Simonov, 2025)","plainTextFormattedCitation":"(Han, Yang and Simonov, 2025)","previouslyFormattedCitation":"(Han, Yang and Simonov, 2025)"},"properties":{"noteIndex":0},"schema":"https://github.com/citation-style-language/schema/raw/master/csl-citation.json"}</w:instrText>
      </w:r>
      <w:r w:rsidRPr="002F036A" w:rsidR="004E6362">
        <w:rPr>
          <w:rFonts w:ascii="Verdana" w:hAnsi="Verdana" w:cs="Segoe UI"/>
          <w:sz w:val="22"/>
          <w:szCs w:val="22"/>
        </w:rPr>
        <w:fldChar w:fldCharType="separate"/>
      </w:r>
      <w:r w:rsidRPr="002F036A" w:rsidR="004E6362">
        <w:rPr>
          <w:rFonts w:ascii="Verdana" w:hAnsi="Verdana" w:cs="Segoe UI"/>
          <w:noProof/>
          <w:sz w:val="22"/>
          <w:szCs w:val="22"/>
        </w:rPr>
        <w:t>(Han, Yang and Simonov, 2025)</w:t>
      </w:r>
      <w:r w:rsidRPr="002F036A" w:rsidR="004E6362">
        <w:rPr>
          <w:rFonts w:ascii="Verdana" w:hAnsi="Verdana" w:cs="Segoe UI"/>
          <w:sz w:val="22"/>
          <w:szCs w:val="22"/>
        </w:rPr>
        <w:fldChar w:fldCharType="end"/>
      </w:r>
      <w:r w:rsidRPr="002F036A">
        <w:rPr>
          <w:rFonts w:ascii="Verdana" w:hAnsi="Verdana" w:cs="Segoe UI"/>
          <w:sz w:val="22"/>
          <w:szCs w:val="22"/>
        </w:rPr>
        <w:t>. At the same time, the possibility that exposure may shift to other spaces suggests that platform measures may be most effective when combined with broader regulatory support and independent oversight.</w:t>
      </w:r>
    </w:p>
    <w:p w:rsidR="004B29D5" w:rsidRPr="002F036A" w:rsidP="002F036A">
      <w:pPr>
        <w:spacing w:line="276" w:lineRule="auto"/>
        <w:rPr>
          <w:rFonts w:ascii="Verdana" w:hAnsi="Verdana" w:cs="Segoe UI"/>
          <w:sz w:val="22"/>
          <w:szCs w:val="22"/>
        </w:rPr>
      </w:pPr>
      <w:r w:rsidRPr="002F036A">
        <w:rPr>
          <w:rFonts w:ascii="Verdana" w:hAnsi="Verdana" w:cs="Segoe UI"/>
          <w:sz w:val="22"/>
          <w:szCs w:val="22"/>
        </w:rPr>
        <w:t xml:space="preserve">International approaches also point to alternative models. </w:t>
      </w:r>
      <w:r w:rsidRPr="002F036A" w:rsidR="00114F43">
        <w:rPr>
          <w:rFonts w:ascii="Verdana" w:hAnsi="Verdana" w:cs="Segoe UI"/>
          <w:sz w:val="22"/>
          <w:szCs w:val="22"/>
        </w:rPr>
        <w:t>In Spain, gambling advertising regulations introduced under Royal Decree 958/2020 extended to online and audiovisual media, including video</w:t>
      </w:r>
      <w:r w:rsidRPr="002F036A" w:rsidR="00114F43">
        <w:rPr>
          <w:rFonts w:ascii="Verdana" w:hAnsi="Verdana" w:cs="Segoe UI"/>
          <w:sz w:val="22"/>
          <w:szCs w:val="22"/>
        </w:rPr>
        <w:noBreakHyphen/>
        <w:t xml:space="preserve">sharing platforms such as YouTube, by restricting advertising to a 1am–5am watershed. </w:t>
      </w:r>
      <w:r w:rsidRPr="002F036A">
        <w:rPr>
          <w:rFonts w:ascii="Verdana" w:hAnsi="Verdana" w:cs="Segoe UI"/>
          <w:sz w:val="22"/>
          <w:szCs w:val="22"/>
        </w:rPr>
        <w:t>This</w:t>
      </w:r>
      <w:r w:rsidRPr="002F036A" w:rsidR="00114F43">
        <w:rPr>
          <w:rFonts w:ascii="Verdana" w:hAnsi="Verdana" w:cs="Segoe UI"/>
          <w:sz w:val="22"/>
          <w:szCs w:val="22"/>
        </w:rPr>
        <w:t xml:space="preserve"> example</w:t>
      </w:r>
      <w:r w:rsidRPr="002F036A">
        <w:rPr>
          <w:rFonts w:ascii="Verdana" w:hAnsi="Verdana" w:cs="Segoe UI"/>
          <w:sz w:val="22"/>
          <w:szCs w:val="22"/>
        </w:rPr>
        <w:t xml:space="preserve"> demonstrates that online and social media environments can be incorporated into statutory advertising frameworks, rather than treated as entirely separate from more traditional broadcast regulation.</w:t>
      </w:r>
    </w:p>
    <w:p w:rsidR="00E759B6" w:rsidRPr="002F036A" w:rsidP="002F036A">
      <w:pPr>
        <w:pStyle w:val="ListParagraph"/>
        <w:numPr>
          <w:ilvl w:val="0"/>
          <w:numId w:val="28"/>
        </w:numPr>
        <w:spacing w:line="276" w:lineRule="auto"/>
        <w:contextualSpacing w:val="0"/>
        <w:rPr>
          <w:rFonts w:ascii="Verdana" w:hAnsi="Verdana" w:cs="Segoe UI"/>
          <w:sz w:val="22"/>
          <w:szCs w:val="22"/>
        </w:rPr>
      </w:pPr>
      <w:r w:rsidRPr="002F036A">
        <w:rPr>
          <w:rFonts w:ascii="Verdana" w:hAnsi="Verdana" w:cs="Segoe UI"/>
          <w:sz w:val="22"/>
          <w:szCs w:val="22"/>
        </w:rPr>
        <w:t>Should gambling advertisements in video games with a PEGI rating below 18 be permitted?</w:t>
      </w:r>
    </w:p>
    <w:p w:rsidR="004B29D5" w:rsidRPr="002F036A" w:rsidP="002F036A">
      <w:pPr>
        <w:spacing w:line="276" w:lineRule="auto"/>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sidR="00F5560E">
        <w:rPr>
          <w:rFonts w:ascii="Verdana" w:hAnsi="Verdana" w:cs="Segoe UI"/>
          <w:sz w:val="22"/>
          <w:szCs w:val="22"/>
        </w:rPr>
        <w:t>The</w:t>
      </w:r>
      <w:r w:rsidRPr="002F036A">
        <w:rPr>
          <w:rFonts w:ascii="Verdana" w:hAnsi="Verdana" w:cs="Segoe UI"/>
          <w:sz w:val="22"/>
          <w:szCs w:val="22"/>
        </w:rPr>
        <w:t xml:space="preserve"> CAP Code (specifically Rule 16.3.12)</w:t>
      </w:r>
      <w:r w:rsidRPr="002F036A" w:rsidR="00F5560E">
        <w:rPr>
          <w:rFonts w:ascii="Verdana" w:hAnsi="Verdana" w:cs="Segoe UI"/>
          <w:sz w:val="22"/>
          <w:szCs w:val="22"/>
        </w:rPr>
        <w:t xml:space="preserve"> specifies that</w:t>
      </w:r>
      <w:r w:rsidRPr="002F036A">
        <w:rPr>
          <w:rFonts w:ascii="Verdana" w:hAnsi="Verdana" w:cs="Segoe UI"/>
          <w:sz w:val="22"/>
          <w:szCs w:val="22"/>
        </w:rPr>
        <w:t xml:space="preserve"> gambling advertisements are strictly prohibited from being of "strong appeal" to children or young persons under 18, particularly by associating the content with youth culture, cartoon characters, or high-profile celebrities</w:t>
      </w:r>
      <w:r w:rsidRPr="002F036A" w:rsidR="00F5560E">
        <w:rPr>
          <w:rFonts w:ascii="Verdana" w:hAnsi="Verdana" w:cs="Segoe UI"/>
          <w:sz w:val="22"/>
          <w:szCs w:val="22"/>
        </w:rPr>
        <w:t xml:space="preserve">. Locating adverts within games designed to be appropriate to those under the age of 18, as specified by PEGI, would appear to be a violation of this code and should not be permitted. </w:t>
      </w:r>
    </w:p>
    <w:p w:rsidR="006A13BB" w:rsidRPr="002F036A" w:rsidP="002F036A">
      <w:pPr>
        <w:spacing w:line="276" w:lineRule="auto"/>
        <w:rPr>
          <w:rFonts w:ascii="Verdana" w:hAnsi="Verdana" w:cs="Segoe UI"/>
          <w:b/>
          <w:bCs/>
          <w:i/>
          <w:iCs/>
          <w:sz w:val="22"/>
          <w:szCs w:val="22"/>
        </w:rPr>
      </w:pPr>
    </w:p>
    <w:p w:rsidR="00E759B6" w:rsidRPr="002F036A" w:rsidP="002F036A">
      <w:pPr>
        <w:spacing w:line="276" w:lineRule="auto"/>
        <w:rPr>
          <w:rFonts w:ascii="Verdana" w:hAnsi="Verdana" w:cs="Segoe UI"/>
          <w:b/>
          <w:bCs/>
          <w:i/>
          <w:iCs/>
          <w:sz w:val="22"/>
          <w:szCs w:val="22"/>
        </w:rPr>
      </w:pPr>
      <w:r w:rsidRPr="002F036A">
        <w:rPr>
          <w:rFonts w:ascii="Verdana" w:hAnsi="Verdana" w:cs="Segoe UI"/>
          <w:b/>
          <w:bCs/>
          <w:i/>
          <w:iCs/>
          <w:sz w:val="22"/>
          <w:szCs w:val="22"/>
        </w:rPr>
        <w:t>Unlicensed operators</w:t>
      </w:r>
    </w:p>
    <w:p w:rsidR="00E759B6"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How significant are the gambling-related harms associated with the unlicensed sector in comparison with those linked to the licensed sector?</w:t>
      </w:r>
    </w:p>
    <w:p w:rsidR="00E759B6"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Individuals engaging in unlicensed gambling have higher problem gambling severity scores and gamble more frequently than those gambling within the system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author":[{"dropping-particle":"","family":"Hagfors","given":"Heli","non-dropping-particle":"","parse-names":false,"suffix":""},{"dropping-particle":"","family":"Oksanen","given":"Atte","non-dropping-particle":"","parse-names":false,"suffix":""},{"dropping-particle":"","family":"Salonen","given":"Anne H.","non-dropping-particle":"","parse-names":false,"suffix":""}],"container-title":"Journal of Gambling Studies","id":"ITEM-1","issued":{"date-parts":[["2024"]]},"page":"825-840","title":"Gambling Motives and Offshore Gambling : A Finnish Population Study","type":"article-journal","volume":"40"},"uris":["http://www.mendeley.com/documents/?uuid=5067bacb-f0e8-46f9-a232-bbd3276a7f80"]},{"id":"ITEM-2","itemData":{"DOI":"10.1177/1461444817738783","ISSN":"14617315","abstract":"Many jurisdictions have legalized and licensed online gambling sites. Nonetheless, a notable proportion of the online gambling market operates offshore. Offshore sites pose risks for consumers in terms of unsafe and disreputable practices, compete with domestically licensed sites and do not participate in the economies in which they operate. This study aimed to explore the extent to which Australian online gamblers use offshore as compared to domestic gambling sites, consumer attitudes and gambling-related harms. Participants (N = 3199) completed an online survey assessing gambling behaviour, reasons for choosing sites, awareness of and impact of online gambling legislation, and problem gambling. Results show that 25.8% of online gamblers used offshore sites, and that these were more involved gamblers overall than domestic gamblers, and had greater problem gambling severity. Most online gamblers preferred domestic sites, indicating that regulation of online gambling with associated consumer protection measures may benefit those who wish to gamble online.","author":[{"dropping-particle":"","family":"Gainsbury","given":"Sally M.","non-dropping-particle":"","parse-names":false,"suffix":""},{"dropping-particle":"","family":"Russell","given":"Alex M.T.","non-dropping-particle":"","parse-names":false,"suffix":""},{"dropping-particle":"","family":"Hing","given":"Nerilee","non-dropping-particle":"","parse-names":false,"suffix":""},{"dropping-particle":"","family":"Blaszczynski","given":"Alex","non-dropping-particle":"","parse-names":false,"suffix":""}],"container-title":"New Media and Society","id":"ITEM-2","issue":"8","issued":{"date-parts":[["2018"]]},"page":"2990-3010","title":"Consumer engagement with and perceptions of offshore online gambling sites","type":"article-journal","volume":"20"},"uris":["http://www.mendeley.com/documents/?uuid=20e5600f-8a8c-4870-b148-cf8e78ccdbac"]}],"mendeley":{"formattedCitation":"(Gainsbury &lt;i&gt;et al.&lt;/i&gt;, 2018; Hagfors, Oksanen and Salonen, 2024)","plainTextFormattedCitation":"(Gainsbury et al., 2018; Hagfors, Oksanen and Salonen, 2024)","previouslyFormattedCitation":"(Gainsbury &lt;i&gt;et al.&lt;/i&gt;, 2018; Hagfors, Oksanen and Salonen, 2024)"},"properties":{"noteIndex":0},"schema":"https://github.com/citation-style-language/schema/raw/master/csl-citation.json"}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 xml:space="preserve">(Gainsbury </w:t>
      </w:r>
      <w:r w:rsidRPr="002F036A">
        <w:rPr>
          <w:rFonts w:ascii="Verdana" w:hAnsi="Verdana" w:cs="Segoe UI"/>
          <w:i/>
          <w:noProof/>
          <w:sz w:val="22"/>
          <w:szCs w:val="22"/>
        </w:rPr>
        <w:t>et al.</w:t>
      </w:r>
      <w:r w:rsidRPr="002F036A">
        <w:rPr>
          <w:rFonts w:ascii="Verdana" w:hAnsi="Verdana" w:cs="Segoe UI"/>
          <w:noProof/>
          <w:sz w:val="22"/>
          <w:szCs w:val="22"/>
        </w:rPr>
        <w:t>, 2018; Hagfors, Oksanen and Salonen, 2024)</w:t>
      </w:r>
      <w:r w:rsidRPr="002F036A">
        <w:rPr>
          <w:rFonts w:ascii="Verdana" w:hAnsi="Verdana" w:cs="Segoe UI"/>
          <w:sz w:val="22"/>
          <w:szCs w:val="22"/>
        </w:rPr>
        <w:fldChar w:fldCharType="end"/>
      </w:r>
      <w:r w:rsidRPr="002F036A">
        <w:rPr>
          <w:rFonts w:ascii="Verdana" w:hAnsi="Verdana" w:cs="Segoe UI"/>
          <w:sz w:val="22"/>
          <w:szCs w:val="22"/>
        </w:rPr>
        <w:t xml:space="preserve">. Unlicensed gambling is particularly prevalent among those who have self-excluded from licensed provision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{"citationItems":[{"id":"ITEM-1","itemData":{"DOI":"10.1016/j.abrep.2019.100182","ISSN":"23528532","abstract":"Background: In problem gambling, recent years have seen an expansion of online gambling in treatment-seeking patients. Television advertising may promote risky gambling, and this study aimed to assess gambling-related advertisements, with respect to potentially risky messages, in a country with high rates of online gambling among treatment seekers, for online casino particularly in treatment-seeking women. Methods: A total of 144 h in six commercial television channels were studied with respect to frequency, extent and content of gambling-related advertisements, which were analyzed with respect to potentially risky messages and specific target groups, and compared with respect to legal status of gambling companies and for online casino gambling vs other gambling types. Aspects to analyze were elected theoretically and based on acceptable inter-rater agreement between the authors. Results: Nineteen percent (11–28% across different channels) of advertisements promoted gambling, with online casino being by far the most common type of gambling exposed. Messages promoting ease to gamble (including bonuses and rapid cash-out messages) and a female focus were significantly more common in online casino gambling and in non-licensed companies, whereas sports-related messages were more common in licensed companies. Gambling-related advertisements were also common in relation to family movies, and appeared even during children's programs. Conclusions: Online casino was by far the most common type of televised gambling advertisements. Several risky messages were identified, and female gender, as well as messages promoting the rapidity and facility of gambling, were more commonly addressed by online casino companies. Public health aspects are discussed.","author":[{"dropping-particle":"","family":"Håkansson","given":"A.","non-dropping-particle":"","parse-names":false,"suffix":""},{"dropping-particle":"","family":"Widinghoff","given":"C.","non-dropping-particle":"","parse-names":false,"suffix":""}],"container-title":"Addictive Behaviors Reports","id":"ITEM-1","issue":"March","issued":{"date-parts":[["2019"]]},"title":"Television gambling advertisements: Extent and content of gambling advertisements with a focus on potential high-risk commercial messages","type":"article-journal","volume":"9"},"uris":["http://www.mendeley.com/documents/?uuid=b6784c8f-69ba-4fd7-aabd-2712af67f6fb"]},{"id":"ITEM-2","itemData":{"DOI":"https://doi.org/10.1024/0939-5911/a000978","author":[{"dropping-particle":"","family":"Wardle","given":"Heather","non-dropping-particle":"","parse-names":false,"suffix":""},{"dropping-particle":"","family":"Marionneau","given":"Virve","non-dropping-particle":"","parse-names":false,"suffix":""}],"container-title":"Sucht","id":"ITEM-2","issue":"3","issued":{"date-parts":[["2026"]]},"title":"Unlicensed Gambling in Great Britain: Findings from a National Representative Survey of People who Regularly Gamble","type":"article-journal","volume":"72"},"uris":["http://www.mendeley.com/documents/?uuid=75e70343-edf6-4a71-b100-12e4e64a7324"]}],"mendeley":{"formattedCitation":"(Håkansson and Widinghoff, 2019; Wardle and Marionneau, 2026)","plainTextFormattedCitation":"(Håkansson and Widinghoff, 2019; Wardle and Marionneau, 2026)","previouslyFormattedCitation":"(Håkansson and Widinghoff, 2019; Wardle and Marionneau,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(Håkansson and Widinghoff, 2019; Wardle and Marionneau, 2026)</w:t>
      </w:r>
      <w:r w:rsidRPr="002F036A">
        <w:rPr>
          <w:rFonts w:ascii="Verdana" w:hAnsi="Verdana" w:cs="Segoe UI"/>
          <w:sz w:val="22"/>
          <w:szCs w:val="22"/>
        </w:rPr>
        <w:fldChar w:fldCharType="end"/>
      </w:r>
      <w:r w:rsidRPr="002F036A">
        <w:rPr>
          <w:rFonts w:ascii="Verdana" w:hAnsi="Verdana" w:cs="Segoe UI"/>
          <w:sz w:val="22"/>
          <w:szCs w:val="22"/>
        </w:rPr>
        <w:t xml:space="preserve">. Harms associated with unlicensed gambling are mainly driven by a) high levels of engagement in unlicensed gambling by those who have already been harmed by gambling (e.g., </w:t>
      </w:r>
      <w:r w:rsidRPr="002F036A">
        <w:rPr>
          <w:rFonts w:ascii="Verdana" w:hAnsi="Verdana" w:cs="Segoe UI"/>
          <w:sz w:val="22"/>
          <w:szCs w:val="22"/>
        </w:rPr>
        <w:t xml:space="preserve">the </w:t>
      </w:r>
      <w:r w:rsidRPr="002F036A">
        <w:rPr>
          <w:rFonts w:ascii="Verdana" w:hAnsi="Verdana" w:cs="Segoe UI"/>
          <w:sz w:val="22"/>
          <w:szCs w:val="22"/>
        </w:rPr>
        <w:t xml:space="preserve">self-excluded), b) higher overall engagement with gambling, c) </w:t>
      </w:r>
      <w:r w:rsidRPr="002F036A" w:rsidR="00CC070F">
        <w:rPr>
          <w:rFonts w:ascii="Verdana" w:hAnsi="Verdana" w:cs="Segoe UI"/>
          <w:sz w:val="22"/>
          <w:szCs w:val="22"/>
        </w:rPr>
        <w:t>a lack of</w:t>
      </w:r>
      <w:r w:rsidRPr="002F036A">
        <w:rPr>
          <w:rFonts w:ascii="Verdana" w:hAnsi="Verdana" w:cs="Segoe UI"/>
          <w:sz w:val="22"/>
          <w:szCs w:val="22"/>
        </w:rPr>
        <w:t xml:space="preserve"> protections and exploitative business practices</w:t>
      </w:r>
      <w:r w:rsidRPr="002F036A">
        <w:rPr>
          <w:rFonts w:ascii="Verdana" w:hAnsi="Verdana" w:cs="Segoe UI"/>
          <w:sz w:val="22"/>
          <w:szCs w:val="22"/>
        </w:rPr>
        <w:t xml:space="preserve"> within the unlicensed market</w:t>
      </w:r>
      <w:r w:rsidRPr="002F036A">
        <w:rPr>
          <w:rFonts w:ascii="Verdana" w:hAnsi="Verdana" w:cs="Segoe UI"/>
          <w:sz w:val="22"/>
          <w:szCs w:val="22"/>
        </w:rPr>
        <w:t>.</w:t>
      </w:r>
    </w:p>
    <w:p w:rsidR="00E759B6" w:rsidRPr="002F036A" w:rsidP="002F036A">
      <w:pPr>
        <w:rPr>
          <w:rFonts w:ascii="Verdana" w:hAnsi="Verdana" w:cs="Segoe UI"/>
          <w:sz w:val="22"/>
          <w:szCs w:val="22"/>
        </w:rPr>
      </w:pPr>
      <w:r w:rsidRPr="002F036A">
        <w:rPr>
          <w:rFonts w:ascii="Verdana" w:hAnsi="Verdana" w:cs="Segoe UI"/>
          <w:sz w:val="22"/>
          <w:szCs w:val="22"/>
        </w:rPr>
        <w:t xml:space="preserve">In a recent study conducted in Great Britain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https://doi.org/10.1024/0939-5911/a000978","author":[{"dropping-particle":"","family":"Wardle","given":"Heather","non-dropping-particle":"","parse-names":false,"suffix":""},{"dropping-particle":"","family":"Marionneau","given":"Virve","non-dropping-particle":"","parse-names":false,"suffix":""}],"container-title":"Sucht","id":"ITEM-1","issue":"3","issued":{"date-parts":[["2026"]]},"title":"Unlicensed Gambling in Great Britain: Findings from a National Representative Survey of People who Regularly Gamble","type":"article-journal","volume":"72"},"uris":["http://www.mendeley.com/documents/?uuid=75e70343-edf6-4a71-b100-12e4e64a7324"]}],"mendeley":{"formattedCitation":"(Wardle and Marionneau, 2026)","plainTextFormattedCitation":"(Wardle and Marionneau, 2026)","previouslyFormattedCitation":"(Wardle and Marionneau,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(Wardle and Marionneau, 2026)</w:t>
      </w:r>
      <w:r w:rsidRPr="002F036A">
        <w:rPr>
          <w:rFonts w:ascii="Verdana" w:hAnsi="Verdana" w:cs="Segoe UI"/>
          <w:sz w:val="22"/>
          <w:szCs w:val="22"/>
        </w:rPr>
        <w:fldChar w:fldCharType="end"/>
      </w:r>
      <w:r w:rsidRPr="002F036A">
        <w:rPr>
          <w:rFonts w:ascii="Verdana" w:hAnsi="Verdana" w:cs="Segoe UI"/>
          <w:sz w:val="22"/>
          <w:szCs w:val="22"/>
        </w:rPr>
        <w:t>, 5.7</w:t>
      </w:r>
      <w:r w:rsidRPr="002F036A">
        <w:rPr>
          <w:rFonts w:ascii="Arial" w:hAnsi="Arial" w:cs="Arial"/>
          <w:sz w:val="22"/>
          <w:szCs w:val="22"/>
        </w:rPr>
        <w:t> </w:t>
      </w:r>
      <w:r w:rsidRPr="002F036A">
        <w:rPr>
          <w:rFonts w:ascii="Verdana" w:hAnsi="Verdana" w:cs="Segoe UI"/>
          <w:sz w:val="22"/>
          <w:szCs w:val="22"/>
        </w:rPr>
        <w:t xml:space="preserve">% of </w:t>
      </w:r>
      <w:r w:rsidRPr="002F036A" w:rsidR="00F5560E">
        <w:rPr>
          <w:rFonts w:ascii="Verdana" w:hAnsi="Verdana" w:cs="Segoe UI"/>
          <w:sz w:val="22"/>
          <w:szCs w:val="22"/>
        </w:rPr>
        <w:t>regular gamblers</w:t>
      </w:r>
      <w:r w:rsidRPr="002F036A">
        <w:rPr>
          <w:rFonts w:ascii="Verdana" w:hAnsi="Verdana" w:cs="Segoe UI"/>
          <w:sz w:val="22"/>
          <w:szCs w:val="22"/>
        </w:rPr>
        <w:t xml:space="preserve"> reported any unlicensed gambling. Unlicensed gambling was associated with higher overall gambling involvement. The odds of engaging in unlicensed gambling were significantly higher among those who regularly gambled at land-based casinos or on gambling machines. Cryptocurrency gambling was the most common reason for unlicensed gambling use (54.7</w:t>
      </w:r>
      <w:r w:rsidRPr="002F036A">
        <w:rPr>
          <w:rFonts w:ascii="Arial" w:hAnsi="Arial" w:cs="Arial"/>
          <w:sz w:val="22"/>
          <w:szCs w:val="22"/>
        </w:rPr>
        <w:t> </w:t>
      </w:r>
      <w:r w:rsidRPr="002F036A">
        <w:rPr>
          <w:rFonts w:ascii="Verdana" w:hAnsi="Verdana" w:cs="Segoe UI"/>
          <w:sz w:val="22"/>
          <w:szCs w:val="22"/>
        </w:rPr>
        <w:t>%), followed by self-exclusion (50.7</w:t>
      </w:r>
      <w:r w:rsidRPr="002F036A">
        <w:rPr>
          <w:rFonts w:ascii="Arial" w:hAnsi="Arial" w:cs="Arial"/>
          <w:sz w:val="22"/>
          <w:szCs w:val="22"/>
        </w:rPr>
        <w:t> </w:t>
      </w:r>
      <w:r w:rsidRPr="002F036A">
        <w:rPr>
          <w:rFonts w:ascii="Verdana" w:hAnsi="Verdana" w:cs="Segoe UI"/>
          <w:sz w:val="22"/>
          <w:szCs w:val="22"/>
        </w:rPr>
        <w:t xml:space="preserve">%). The results show that people gamble with unlicensed websites for many reasons. </w:t>
      </w:r>
      <w:r w:rsidRPr="002F036A" w:rsidR="00F5560E">
        <w:rPr>
          <w:rFonts w:ascii="Verdana" w:hAnsi="Verdana" w:cs="Segoe UI"/>
          <w:sz w:val="22"/>
          <w:szCs w:val="22"/>
        </w:rPr>
        <w:t>The authors concluded that i</w:t>
      </w:r>
      <w:r w:rsidRPr="002F036A">
        <w:rPr>
          <w:rFonts w:ascii="Verdana" w:hAnsi="Verdana" w:cs="Segoe UI"/>
          <w:sz w:val="22"/>
          <w:szCs w:val="22"/>
        </w:rPr>
        <w:t>n many cases, harms and gambling involvement generated within the regulated market can create demand for unlicensed gambling.</w:t>
      </w:r>
    </w:p>
    <w:p w:rsidR="00E759B6" w:rsidRPr="002F036A" w:rsidP="002F036A">
      <w:pPr>
        <w:pStyle w:val="ListParagraph"/>
        <w:numPr>
          <w:ilvl w:val="0"/>
          <w:numId w:val="28"/>
        </w:numPr>
        <w:contextualSpacing w:val="0"/>
        <w:rPr>
          <w:rFonts w:ascii="Verdana" w:hAnsi="Verdana" w:cs="Segoe UI"/>
          <w:sz w:val="22"/>
          <w:szCs w:val="22"/>
        </w:rPr>
      </w:pPr>
      <w:r w:rsidRPr="002F036A">
        <w:rPr>
          <w:rFonts w:ascii="Verdana" w:hAnsi="Verdana" w:cs="Segoe UI"/>
          <w:sz w:val="22"/>
          <w:szCs w:val="22"/>
        </w:rPr>
        <w:t>To what extent is there a risk that further restrictions on the visibility of advertising by licensed operators will increase the relative prominence of the illegal market and contribute to increased gambling harm?</w:t>
      </w:r>
    </w:p>
    <w:p w:rsidR="00E759B6"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Pr>
          <w:rFonts w:ascii="Verdana" w:hAnsi="Verdana" w:cs="Segoe UI"/>
          <w:sz w:val="22"/>
          <w:szCs w:val="22"/>
        </w:rPr>
        <w:t xml:space="preserve">There is currently little evidence that restricting advertising by licensed operators would materially increase use of the </w:t>
      </w:r>
      <w:r w:rsidRPr="002F036A">
        <w:rPr>
          <w:rFonts w:ascii="Verdana" w:hAnsi="Verdana" w:cs="Segoe UI"/>
          <w:sz w:val="22"/>
          <w:szCs w:val="22"/>
        </w:rPr>
        <w:t>unlicensed</w:t>
      </w:r>
      <w:r w:rsidRPr="002F036A">
        <w:rPr>
          <w:rFonts w:ascii="Verdana" w:hAnsi="Verdana" w:cs="Segoe UI"/>
          <w:sz w:val="22"/>
          <w:szCs w:val="22"/>
        </w:rPr>
        <w:t xml:space="preserve"> market. The claim that advertising restrictions will drive consumers towards unlicensed operators is frequently made by the licensed industry, but it is not strongly supported by the available evidence.</w:t>
      </w:r>
    </w:p>
    <w:p w:rsidR="00F5560E" w:rsidRPr="002F036A" w:rsidP="002F036A">
      <w:pPr>
        <w:rPr>
          <w:rFonts w:ascii="Verdana" w:hAnsi="Verdana" w:cs="Segoe UI"/>
          <w:sz w:val="22"/>
          <w:szCs w:val="22"/>
        </w:rPr>
      </w:pPr>
      <w:r w:rsidRPr="002F036A">
        <w:rPr>
          <w:rFonts w:ascii="Verdana" w:hAnsi="Verdana" w:cs="Segoe UI"/>
          <w:sz w:val="22"/>
          <w:szCs w:val="22"/>
        </w:rPr>
        <w:t>The</w:t>
      </w:r>
      <w:r w:rsidRPr="002F036A" w:rsidR="006A13BB">
        <w:rPr>
          <w:rFonts w:ascii="Verdana" w:hAnsi="Verdana" w:cs="Segoe UI"/>
          <w:sz w:val="22"/>
          <w:szCs w:val="22"/>
        </w:rPr>
        <w:t xml:space="preserve"> available</w:t>
      </w:r>
      <w:r w:rsidRPr="002F036A">
        <w:rPr>
          <w:rFonts w:ascii="Verdana" w:hAnsi="Verdana" w:cs="Segoe UI"/>
          <w:sz w:val="22"/>
          <w:szCs w:val="22"/>
        </w:rPr>
        <w:t xml:space="preserve"> evidence points to a different set of drivers of unlicensed gambling</w:t>
      </w:r>
      <w:r w:rsidRPr="002F036A" w:rsidR="006A13BB">
        <w:rPr>
          <w:rFonts w:ascii="Verdana" w:hAnsi="Verdana" w:cs="Segoe UI"/>
          <w:sz w:val="22"/>
          <w:szCs w:val="22"/>
        </w:rPr>
        <w:t xml:space="preserve"> (Gambling Commission, 2025)</w:t>
      </w:r>
      <w:r w:rsidRPr="002F036A">
        <w:rPr>
          <w:rFonts w:ascii="Verdana" w:hAnsi="Verdana" w:cs="Segoe UI"/>
          <w:sz w:val="22"/>
          <w:szCs w:val="22"/>
        </w:rPr>
        <w:t xml:space="preserve">. Recent research in Great Britain found that 5.7% of </w:t>
      </w:r>
      <w:r w:rsidRPr="002F036A">
        <w:rPr>
          <w:rFonts w:ascii="Verdana" w:hAnsi="Verdana" w:cs="Segoe UI"/>
          <w:sz w:val="22"/>
          <w:szCs w:val="22"/>
        </w:rPr>
        <w:t>regular gamblers</w:t>
      </w:r>
      <w:r w:rsidRPr="002F036A">
        <w:rPr>
          <w:rFonts w:ascii="Verdana" w:hAnsi="Verdana" w:cs="Segoe UI"/>
          <w:sz w:val="22"/>
          <w:szCs w:val="22"/>
        </w:rPr>
        <w:t xml:space="preserve"> reported some unlicensed gambling, and that unlicensed gambling was associated with higher overall gambling involvement </w:t>
      </w:r>
      <w:r w:rsidRPr="002F036A">
        <w:rPr>
          <w:rFonts w:ascii="Verdana" w:hAnsi="Verdana" w:cs="Segoe UI"/>
          <w:sz w:val="22"/>
          <w:szCs w:val="22"/>
        </w:rPr>
        <w:fldChar w:fldCharType="begin" w:fldLock="1"/>
      </w:r>
      <w:r w:rsidRPr="002F036A">
        <w:rPr>
          <w:rFonts w:ascii="Verdana" w:hAnsi="Verdana" w:cs="Segoe UI"/>
          <w:sz w:val="22"/>
          <w:szCs w:val="22"/>
        </w:rPr>
        <w:instrText>ADDIN CSL_CITATION {"citationItems":[{"id":"ITEM-1","itemData":{"DOI":"https://doi.org/10.1024/0939-5911/a000978","author":[{"dropping-particle":"","family":"Wardle","given":"Heather","non-dropping-particle":"","parse-names":false,"suffix":""},{"dropping-particle":"","family":"Marionneau","given":"Virve","non-dropping-particle":"","parse-names":false,"suffix":""}],"container-title":"Sucht","id":"ITEM-1","issue":"3","issued":{"date-parts":[["2026"]]},"title":"Unlicensed Gambling in Great Britain: Findings from a National Representative Survey of People who Regularly Gamble","type":"article-journal","volume":"72"},"uris":["http://www.mendeley.com/documents/?uuid=75e70343-edf6-4a71-b100-12e4e64a7324"]}],"mendeley":{"formattedCitation":"(Wardle and Marionneau, 2026)","plainTextFormattedCitation":"(Wardle and Marionneau, 2026)","previouslyFormattedCitation":"(Wardle and Marionneau, 2026)"},"properties":{"noteIndex":0},"schema":"https://github.com/citation-style-language/schema/raw/master/csl-citation.json"}</w:instrText>
      </w:r>
      <w:r w:rsidRPr="002F036A">
        <w:rPr>
          <w:rFonts w:ascii="Verdana" w:hAnsi="Verdana" w:cs="Segoe UI"/>
          <w:sz w:val="22"/>
          <w:szCs w:val="22"/>
        </w:rPr>
        <w:fldChar w:fldCharType="separate"/>
      </w:r>
      <w:r w:rsidRPr="002F036A">
        <w:rPr>
          <w:rFonts w:ascii="Verdana" w:hAnsi="Verdana" w:cs="Segoe UI"/>
          <w:noProof/>
          <w:sz w:val="22"/>
          <w:szCs w:val="22"/>
        </w:rPr>
        <w:t>(Wardle and Marionneau, 2026)</w:t>
      </w:r>
      <w:r w:rsidRPr="002F036A">
        <w:rPr>
          <w:rFonts w:ascii="Verdana" w:hAnsi="Verdana" w:cs="Segoe UI"/>
          <w:sz w:val="22"/>
          <w:szCs w:val="22"/>
        </w:rPr>
        <w:fldChar w:fldCharType="end"/>
      </w:r>
      <w:r w:rsidRPr="002F036A">
        <w:rPr>
          <w:rFonts w:ascii="Verdana" w:hAnsi="Verdana" w:cs="Segoe UI"/>
          <w:sz w:val="22"/>
          <w:szCs w:val="22"/>
        </w:rPr>
        <w:t xml:space="preserve">. The odds of engaging in unlicensed gambling were significantly higher among people who regularly gambled at land-based casinos or on gambling machines. Cryptocurrency gambling and self-exclusion were also important reasons for unlicensed gambling use (Wardle and </w:t>
      </w:r>
      <w:r w:rsidRPr="002F036A">
        <w:rPr>
          <w:rFonts w:ascii="Verdana" w:hAnsi="Verdana" w:cs="Segoe UI"/>
          <w:sz w:val="22"/>
          <w:szCs w:val="22"/>
        </w:rPr>
        <w:t>Marionneau</w:t>
      </w:r>
      <w:r w:rsidRPr="002F036A">
        <w:rPr>
          <w:rFonts w:ascii="Verdana" w:hAnsi="Verdana" w:cs="Segoe UI"/>
          <w:sz w:val="22"/>
          <w:szCs w:val="22"/>
        </w:rPr>
        <w:t xml:space="preserve">, 2026). </w:t>
      </w:r>
      <w:r w:rsidRPr="002F036A">
        <w:rPr>
          <w:rFonts w:ascii="Verdana" w:hAnsi="Verdana" w:cs="Segoe UI"/>
          <w:sz w:val="22"/>
          <w:szCs w:val="22"/>
        </w:rPr>
        <w:t xml:space="preserve">This suggests that demand for unlicensed gambling is shaped by factors such as intensive prior gambling involvement, the search for products or payment methods unavailable in the regulated </w:t>
      </w:r>
      <w:r w:rsidRPr="002F036A">
        <w:rPr>
          <w:rFonts w:ascii="Verdana" w:hAnsi="Verdana" w:cs="Segoe UI"/>
          <w:sz w:val="22"/>
          <w:szCs w:val="22"/>
        </w:rPr>
        <w:t>market, and</w:t>
      </w:r>
      <w:r w:rsidRPr="002F036A">
        <w:rPr>
          <w:rFonts w:ascii="Verdana" w:hAnsi="Verdana" w:cs="Segoe UI"/>
          <w:sz w:val="22"/>
          <w:szCs w:val="22"/>
        </w:rPr>
        <w:t xml:space="preserve"> attempts to circumvent consumer-protection tools such as self-exclusion. </w:t>
      </w:r>
      <w:r w:rsidRPr="002F036A" w:rsidR="006A13BB">
        <w:rPr>
          <w:rFonts w:ascii="Verdana" w:hAnsi="Verdana" w:cs="Segoe UI"/>
          <w:sz w:val="22"/>
          <w:szCs w:val="22"/>
        </w:rPr>
        <w:t>The Gambling Commission work did identify a group they called “accidental tourists”, that is those who stumbled unwittingly onto unlicensed websites.</w:t>
      </w:r>
      <w:r w:rsidRPr="002F036A" w:rsidR="00545608">
        <w:rPr>
          <w:rFonts w:ascii="Verdana" w:hAnsi="Verdana" w:cs="Segoe UI"/>
          <w:sz w:val="22"/>
          <w:szCs w:val="22"/>
        </w:rPr>
        <w:t xml:space="preserve"> Evidence shows that licensed gambling operators state that</w:t>
      </w:r>
      <w:r w:rsidRPr="002F036A" w:rsidR="006A13BB">
        <w:rPr>
          <w:rFonts w:ascii="Verdana" w:hAnsi="Verdana" w:cs="Segoe UI"/>
          <w:sz w:val="22"/>
          <w:szCs w:val="22"/>
        </w:rPr>
        <w:t xml:space="preserve"> </w:t>
      </w:r>
      <w:r w:rsidRPr="002F036A" w:rsidR="00545608">
        <w:rPr>
          <w:rFonts w:ascii="Verdana" w:hAnsi="Verdana" w:cs="Segoe UI"/>
          <w:sz w:val="22"/>
          <w:szCs w:val="22"/>
        </w:rPr>
        <w:t xml:space="preserve">sponsorship and advertising are vital ways for consumers to distinguish between the legal and unlicensed market </w:t>
      </w:r>
      <w:r w:rsidRPr="002F036A" w:rsidR="006A13BB">
        <w:rPr>
          <w:rFonts w:ascii="Verdana" w:hAnsi="Verdana" w:cs="Segoe UI"/>
          <w:sz w:val="22"/>
          <w:szCs w:val="22"/>
        </w:rPr>
        <w:t>(Wardle et al, 202</w:t>
      </w:r>
      <w:r w:rsidRPr="002F036A" w:rsidR="00545608">
        <w:rPr>
          <w:rFonts w:ascii="Verdana" w:hAnsi="Verdana" w:cs="Segoe UI"/>
          <w:sz w:val="22"/>
          <w:szCs w:val="22"/>
        </w:rPr>
        <w:t>1</w:t>
      </w:r>
      <w:r w:rsidRPr="002F036A" w:rsidR="006A13BB">
        <w:rPr>
          <w:rFonts w:ascii="Verdana" w:hAnsi="Verdana" w:cs="Segoe UI"/>
          <w:sz w:val="22"/>
          <w:szCs w:val="22"/>
        </w:rPr>
        <w:t>)</w:t>
      </w:r>
      <w:r w:rsidRPr="002F036A" w:rsidR="00545608">
        <w:rPr>
          <w:rFonts w:ascii="Verdana" w:hAnsi="Verdana" w:cs="Segoe UI"/>
          <w:sz w:val="22"/>
          <w:szCs w:val="22"/>
        </w:rPr>
        <w:t>. However,</w:t>
      </w:r>
      <w:r w:rsidRPr="002F036A" w:rsidR="006A13BB">
        <w:rPr>
          <w:rFonts w:ascii="Verdana" w:hAnsi="Verdana" w:cs="Segoe UI"/>
          <w:sz w:val="22"/>
          <w:szCs w:val="22"/>
        </w:rPr>
        <w:t xml:space="preserve"> a clear, mandatory, stamp mark showing that each operator is legitimately licensed</w:t>
      </w:r>
      <w:r w:rsidRPr="002F036A" w:rsidR="00545608">
        <w:rPr>
          <w:rFonts w:ascii="Verdana" w:hAnsi="Verdana" w:cs="Segoe UI"/>
          <w:sz w:val="22"/>
          <w:szCs w:val="22"/>
        </w:rPr>
        <w:t xml:space="preserve"> could perform the same function</w:t>
      </w:r>
      <w:r w:rsidRPr="002F036A" w:rsidR="006A13BB">
        <w:rPr>
          <w:rFonts w:ascii="Verdana" w:hAnsi="Verdana" w:cs="Segoe UI"/>
          <w:sz w:val="22"/>
          <w:szCs w:val="22"/>
        </w:rPr>
        <w:t xml:space="preserve">. Thus, for </w:t>
      </w:r>
      <w:r w:rsidRPr="002F036A" w:rsidR="00545608">
        <w:rPr>
          <w:rFonts w:ascii="Verdana" w:hAnsi="Verdana" w:cs="Segoe UI"/>
          <w:sz w:val="22"/>
          <w:szCs w:val="22"/>
        </w:rPr>
        <w:t>most unlicensed users,</w:t>
      </w:r>
      <w:r w:rsidRPr="002F036A">
        <w:rPr>
          <w:rFonts w:ascii="Verdana" w:hAnsi="Verdana" w:cs="Segoe UI"/>
          <w:sz w:val="22"/>
          <w:szCs w:val="22"/>
        </w:rPr>
        <w:t xml:space="preserve"> </w:t>
      </w:r>
      <w:r w:rsidRPr="002F036A" w:rsidR="006A13BB">
        <w:rPr>
          <w:rFonts w:ascii="Verdana" w:hAnsi="Verdana" w:cs="Segoe UI"/>
          <w:sz w:val="22"/>
          <w:szCs w:val="22"/>
        </w:rPr>
        <w:t>few people are</w:t>
      </w:r>
      <w:r w:rsidRPr="002F036A">
        <w:rPr>
          <w:rFonts w:ascii="Verdana" w:hAnsi="Verdana" w:cs="Segoe UI"/>
          <w:sz w:val="22"/>
          <w:szCs w:val="22"/>
        </w:rPr>
        <w:t xml:space="preserve"> retained or recovered by the visibility of licensed advertising</w:t>
      </w:r>
      <w:r w:rsidRPr="002F036A" w:rsidR="006A13BB">
        <w:rPr>
          <w:rFonts w:ascii="Verdana" w:hAnsi="Verdana" w:cs="Segoe UI"/>
          <w:sz w:val="22"/>
          <w:szCs w:val="22"/>
        </w:rPr>
        <w:t>.</w:t>
      </w:r>
    </w:p>
    <w:p w:rsidR="00545608" w:rsidRPr="002F036A" w:rsidP="002F036A">
      <w:pPr>
        <w:rPr>
          <w:rFonts w:ascii="Verdana" w:hAnsi="Verdana" w:cs="Segoe UI"/>
          <w:sz w:val="22"/>
          <w:szCs w:val="22"/>
        </w:rPr>
      </w:pPr>
      <w:r w:rsidRPr="002F036A">
        <w:rPr>
          <w:rFonts w:ascii="Verdana" w:hAnsi="Verdana" w:cs="Segoe UI"/>
          <w:sz w:val="22"/>
          <w:szCs w:val="22"/>
        </w:rPr>
        <w:t>Furthermore, interviews by Newall, Whybrow and Torrance (2026) with representatives of state monopoly operators across European jurisdictions consistently suggested that advertising restrictions did not lead to consumer migration towards illegal operators.</w:t>
      </w:r>
    </w:p>
    <w:p w:rsidR="008D2F6C" w:rsidRPr="002F036A" w:rsidP="002F036A">
      <w:pPr>
        <w:rPr>
          <w:rFonts w:ascii="Verdana" w:hAnsi="Verdana" w:cs="Segoe UI"/>
          <w:sz w:val="22"/>
          <w:szCs w:val="22"/>
        </w:rPr>
      </w:pPr>
    </w:p>
    <w:p w:rsidR="00E759B6" w:rsidRPr="002F036A" w:rsidP="002F036A">
      <w:pPr>
        <w:pStyle w:val="ListParagraph"/>
        <w:numPr>
          <w:ilvl w:val="0"/>
          <w:numId w:val="28"/>
        </w:numPr>
        <w:rPr>
          <w:rFonts w:ascii="Verdana" w:hAnsi="Verdana" w:cs="Segoe UI"/>
          <w:sz w:val="22"/>
          <w:szCs w:val="22"/>
        </w:rPr>
      </w:pPr>
      <w:r w:rsidRPr="002F036A">
        <w:rPr>
          <w:rFonts w:ascii="Verdana" w:hAnsi="Verdana" w:cs="Segoe UI"/>
          <w:sz w:val="22"/>
          <w:szCs w:val="22"/>
        </w:rPr>
        <w:t>Is the Gambling Commission adequately resourced to tackle illegal advertising by unlicensed operators, and does it have sufficient powers in relation to the dissemination of such advertising by social media companies?</w:t>
      </w:r>
    </w:p>
    <w:p w:rsidR="00E759B6"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w:t>
      </w:r>
      <w:r w:rsidRPr="002F036A" w:rsidR="000B762C">
        <w:rPr>
          <w:rFonts w:ascii="Verdana" w:hAnsi="Verdana" w:cs="Segoe UI"/>
          <w:sz w:val="22"/>
          <w:szCs w:val="22"/>
        </w:rPr>
        <w:t xml:space="preserve">Data collected across Europe for the Global Gambling Control Scorecard allows us to compare regulatory resourcing by examining declared regulatory budgets as a percentage of Gross Gambling Yield for each nation </w:t>
      </w:r>
      <w:r w:rsidRPr="002F036A" w:rsidR="000B762C">
        <w:rPr>
          <w:rFonts w:ascii="Verdana" w:hAnsi="Verdana" w:cs="Segoe UI"/>
          <w:sz w:val="22"/>
          <w:szCs w:val="22"/>
        </w:rPr>
        <w:fldChar w:fldCharType="begin" w:fldLock="1"/>
      </w:r>
      <w:r w:rsidRPr="002F036A" w:rsidR="000B762C">
        <w:rPr>
          <w:rFonts w:ascii="Verdana" w:hAnsi="Verdana" w:cs="Segoe UI"/>
          <w:sz w:val="22"/>
          <w:szCs w:val="22"/>
        </w:rPr>
        <w:instrText>ADDIN CSL_CITATION {"citationItems":[{"id":"ITEM-1","itemData":{"DOI":"10.5525/gla.researchdata.2089","author":[{"dropping-particle":"","family":"Ukhova","given":"D.","non-dropping-particle":"","parse-names":false,"suffix":""},{"dropping-particle":"","family":"Marionneau","given":"V.","non-dropping-particle":"","parse-names":false,"suffix":""},{"dropping-particle":"","family":"Batchelor","given":"S.","non-dropping-particle":"","parse-names":false,"suffix":""},{"dropping-particle":"","family":"Bunn","given":"C.","non-dropping-particle":"","parse-names":false,"suffix":""},{"dropping-particle":"","family":"McIntosh","given":"E.","non-dropping-particle":"","parse-names":false,"suffix":""},{"dropping-particle":"","family":"O'Connor","given":"R.","non-dropping-particle":"","parse-names":false,"suffix":""},{"dropping-particle":"","family":"Reith","given":"G.","non-dropping-particle":"","parse-names":false,"suffix":""},{"dropping-particle":"","family":"Wardle","given":"H.","non-dropping-particle":"","parse-names":false,"suffix":""}],"id":"ITEM-1","issued":{"date-parts":[["2025"]]},"publisher":"University of Glasgow","publisher-place":"Glasgow","title":"Global Gambling Control Scorecard (GGCS): Dataset. Version 1: November 2025","type":"article"},"uris":["http://www.mendeley.com/documents/?uuid=3ca64c1a-15bb-4043-add3-0ee20d5a25db"]}],"mendeley":{"formattedCitation":"(Ukhova &lt;i&gt;et al.&lt;/i&gt;, 2025)","plainTextFormattedCitation":"(Ukhova et al., 2025)","previouslyFormattedCitation":"(Ukhova &lt;i&gt;et al.&lt;/i&gt;, 2025)"},"properties":{"noteIndex":0},"schema":"https://github.com/citation-style-language/schema/raw/master/csl-citation.json"}</w:instrText>
      </w:r>
      <w:r w:rsidRPr="002F036A" w:rsidR="000B762C">
        <w:rPr>
          <w:rFonts w:ascii="Verdana" w:hAnsi="Verdana" w:cs="Segoe UI"/>
          <w:sz w:val="22"/>
          <w:szCs w:val="22"/>
        </w:rPr>
        <w:fldChar w:fldCharType="separate"/>
      </w:r>
      <w:r w:rsidRPr="002F036A" w:rsidR="000B762C">
        <w:rPr>
          <w:rFonts w:ascii="Verdana" w:hAnsi="Verdana" w:cs="Segoe UI"/>
          <w:noProof/>
          <w:sz w:val="22"/>
          <w:szCs w:val="22"/>
        </w:rPr>
        <w:t xml:space="preserve">(Ukhova </w:t>
      </w:r>
      <w:r w:rsidRPr="002F036A" w:rsidR="000B762C">
        <w:rPr>
          <w:rFonts w:ascii="Verdana" w:hAnsi="Verdana" w:cs="Segoe UI"/>
          <w:i/>
          <w:noProof/>
          <w:sz w:val="22"/>
          <w:szCs w:val="22"/>
        </w:rPr>
        <w:t>et al.</w:t>
      </w:r>
      <w:r w:rsidRPr="002F036A" w:rsidR="000B762C">
        <w:rPr>
          <w:rFonts w:ascii="Verdana" w:hAnsi="Verdana" w:cs="Segoe UI"/>
          <w:noProof/>
          <w:sz w:val="22"/>
          <w:szCs w:val="22"/>
        </w:rPr>
        <w:t>, 2025)</w:t>
      </w:r>
      <w:r w:rsidRPr="002F036A" w:rsidR="000B762C">
        <w:rPr>
          <w:rFonts w:ascii="Verdana" w:hAnsi="Verdana" w:cs="Segoe UI"/>
          <w:sz w:val="22"/>
          <w:szCs w:val="22"/>
        </w:rPr>
        <w:fldChar w:fldCharType="end"/>
      </w:r>
      <w:r w:rsidRPr="002F036A" w:rsidR="000B762C">
        <w:rPr>
          <w:rFonts w:ascii="Verdana" w:hAnsi="Verdana" w:cs="Segoe UI"/>
          <w:sz w:val="22"/>
          <w:szCs w:val="22"/>
        </w:rPr>
        <w:t xml:space="preserve">. </w:t>
      </w:r>
      <w:r w:rsidRPr="002F036A" w:rsidR="00935CC8">
        <w:rPr>
          <w:rFonts w:ascii="Verdana" w:hAnsi="Verdana" w:cs="Segoe UI"/>
          <w:sz w:val="22"/>
          <w:szCs w:val="22"/>
        </w:rPr>
        <w:t xml:space="preserve">Drawing on data collected in </w:t>
      </w:r>
      <w:r w:rsidRPr="002F036A" w:rsidR="00935CC8">
        <w:rPr>
          <w:rFonts w:ascii="Verdana" w:hAnsi="Verdana" w:cs="Segoe UI"/>
          <w:sz w:val="22"/>
          <w:szCs w:val="22"/>
        </w:rPr>
        <w:t>2024/5,</w:t>
      </w:r>
      <w:r w:rsidRPr="002F036A" w:rsidR="00935CC8">
        <w:rPr>
          <w:rFonts w:ascii="Verdana" w:hAnsi="Verdana" w:cs="Segoe UI"/>
          <w:sz w:val="22"/>
          <w:szCs w:val="22"/>
        </w:rPr>
        <w:t xml:space="preserve"> t</w:t>
      </w:r>
      <w:r w:rsidRPr="002F036A" w:rsidR="000B762C">
        <w:rPr>
          <w:rFonts w:ascii="Verdana" w:hAnsi="Verdana" w:cs="Segoe UI"/>
          <w:sz w:val="22"/>
          <w:szCs w:val="22"/>
        </w:rPr>
        <w:t>his provide</w:t>
      </w:r>
      <w:r w:rsidRPr="002F036A" w:rsidR="00935CC8">
        <w:rPr>
          <w:rFonts w:ascii="Verdana" w:hAnsi="Verdana" w:cs="Segoe UI"/>
          <w:sz w:val="22"/>
          <w:szCs w:val="22"/>
        </w:rPr>
        <w:t>s</w:t>
      </w:r>
      <w:r w:rsidRPr="002F036A" w:rsidR="000B762C">
        <w:rPr>
          <w:rFonts w:ascii="Verdana" w:hAnsi="Verdana" w:cs="Segoe UI"/>
          <w:sz w:val="22"/>
          <w:szCs w:val="22"/>
        </w:rPr>
        <w:t xml:space="preserve"> an indication of which </w:t>
      </w:r>
      <w:r w:rsidRPr="002F036A" w:rsidR="00935CC8">
        <w:rPr>
          <w:rFonts w:ascii="Verdana" w:hAnsi="Verdana" w:cs="Segoe UI"/>
          <w:sz w:val="22"/>
          <w:szCs w:val="22"/>
        </w:rPr>
        <w:t>regulators</w:t>
      </w:r>
      <w:r w:rsidRPr="002F036A" w:rsidR="000B762C">
        <w:rPr>
          <w:rFonts w:ascii="Verdana" w:hAnsi="Verdana" w:cs="Segoe UI"/>
          <w:sz w:val="22"/>
          <w:szCs w:val="22"/>
        </w:rPr>
        <w:t xml:space="preserve"> have greater or lesser </w:t>
      </w:r>
      <w:r w:rsidRPr="002F036A">
        <w:rPr>
          <w:rFonts w:ascii="Verdana" w:hAnsi="Verdana" w:cs="Segoe UI"/>
          <w:sz w:val="22"/>
          <w:szCs w:val="22"/>
        </w:rPr>
        <w:t xml:space="preserve">budgetary </w:t>
      </w:r>
      <w:r w:rsidRPr="002F036A" w:rsidR="000B762C">
        <w:rPr>
          <w:rFonts w:ascii="Verdana" w:hAnsi="Verdana" w:cs="Segoe UI"/>
          <w:sz w:val="22"/>
          <w:szCs w:val="22"/>
        </w:rPr>
        <w:t>resource relative to the size of their markets (see Figure 2). Based on this metric, Norway has the highest level of</w:t>
      </w:r>
      <w:r w:rsidRPr="002F036A" w:rsidR="00935CC8">
        <w:rPr>
          <w:rFonts w:ascii="Verdana" w:hAnsi="Verdana" w:cs="Segoe UI"/>
          <w:sz w:val="22"/>
          <w:szCs w:val="22"/>
        </w:rPr>
        <w:t xml:space="preserve"> relative</w:t>
      </w:r>
      <w:r w:rsidRPr="002F036A" w:rsidR="000B762C">
        <w:rPr>
          <w:rFonts w:ascii="Verdana" w:hAnsi="Verdana" w:cs="Segoe UI"/>
          <w:sz w:val="22"/>
          <w:szCs w:val="22"/>
        </w:rPr>
        <w:t xml:space="preserve"> </w:t>
      </w:r>
      <w:r w:rsidRPr="002F036A" w:rsidR="00935CC8">
        <w:rPr>
          <w:rFonts w:ascii="Verdana" w:hAnsi="Verdana" w:cs="Segoe UI"/>
          <w:sz w:val="22"/>
          <w:szCs w:val="22"/>
        </w:rPr>
        <w:t>budgetary</w:t>
      </w:r>
      <w:r w:rsidRPr="002F036A" w:rsidR="000B762C">
        <w:rPr>
          <w:rFonts w:ascii="Verdana" w:hAnsi="Verdana" w:cs="Segoe UI"/>
          <w:sz w:val="22"/>
          <w:szCs w:val="22"/>
        </w:rPr>
        <w:t xml:space="preserve"> resource with Great Britain </w:t>
      </w:r>
      <w:r w:rsidRPr="002F036A" w:rsidR="00935CC8">
        <w:rPr>
          <w:rFonts w:ascii="Verdana" w:hAnsi="Verdana" w:cs="Segoe UI"/>
          <w:sz w:val="22"/>
          <w:szCs w:val="22"/>
        </w:rPr>
        <w:t xml:space="preserve">being </w:t>
      </w:r>
      <w:r w:rsidRPr="002F036A" w:rsidR="000B762C">
        <w:rPr>
          <w:rFonts w:ascii="Verdana" w:hAnsi="Verdana" w:cs="Segoe UI"/>
          <w:sz w:val="22"/>
          <w:szCs w:val="22"/>
        </w:rPr>
        <w:t xml:space="preserve">towards the lower end of the scale. </w:t>
      </w:r>
      <w:r w:rsidRPr="002F036A" w:rsidR="00935CC8">
        <w:rPr>
          <w:rFonts w:ascii="Verdana" w:hAnsi="Verdana" w:cs="Segoe UI"/>
          <w:sz w:val="22"/>
          <w:szCs w:val="22"/>
        </w:rPr>
        <w:t>Whilst relative budgetary</w:t>
      </w:r>
      <w:r w:rsidRPr="002F036A" w:rsidR="000B762C">
        <w:rPr>
          <w:rFonts w:ascii="Verdana" w:hAnsi="Verdana" w:cs="Segoe UI"/>
          <w:sz w:val="22"/>
          <w:szCs w:val="22"/>
        </w:rPr>
        <w:t xml:space="preserve"> resource does not necessarily translate fully into efficacy, it provides a useful comparator.</w:t>
      </w:r>
    </w:p>
    <w:p w:rsidR="00935CC8" w:rsidRPr="002F036A" w:rsidP="002F036A">
      <w:pPr>
        <w:rPr>
          <w:rFonts w:ascii="Verdana" w:hAnsi="Verdana" w:cs="Segoe UI"/>
          <w:sz w:val="22"/>
          <w:szCs w:val="22"/>
        </w:rPr>
      </w:pPr>
    </w:p>
    <w:p w:rsidR="00545608" w:rsidRPr="002F036A" w:rsidP="002F036A">
      <w:pPr>
        <w:rPr>
          <w:rFonts w:ascii="Verdana" w:hAnsi="Verdana" w:cs="Segoe UI"/>
          <w:sz w:val="22"/>
          <w:szCs w:val="22"/>
        </w:rPr>
      </w:pPr>
      <w:r w:rsidRPr="002F036A">
        <w:rPr>
          <w:rFonts w:ascii="Verdana" w:hAnsi="Verdana" w:cs="Segoe UI"/>
          <w:noProof/>
          <w:sz w:val="22"/>
          <w:szCs w:val="22"/>
        </w:rPr>
        <w:drawing>
          <wp:inline distT="0" distB="0" distL="0" distR="0">
            <wp:extent cx="5731510" cy="1974215"/>
            <wp:effectExtent l="0" t="0" r="2540" b="6985"/>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1EAD73D7-1809-205F-F117-BD4DE9F05426}"/>
                        </a:ext>
                      </a:extLst>
                    </pic:cNvPr>
                    <pic:cNvPicPr>
                      <a:picLocks noChangeAspect="1"/>
                    </pic:cNvPicPr>
                  </pic:nvPicPr>
                  <pic:blipFill>
                    <a:blip xmlns:r="http://schemas.openxmlformats.org/officeDocument/2006/relationships" r:embed="rId7"/>
                    <a:stretch>
                      <a:fillRect/>
                    </a:stretch>
                  </pic:blipFill>
                  <pic:spPr>
                    <a:xfrm>
                      <a:off x="0" y="0"/>
                      <a:ext cx="5731510" cy="1974215"/>
                    </a:xfrm>
                    <a:prstGeom prst="rect">
                      <a:avLst/>
                    </a:prstGeom>
                  </pic:spPr>
                </pic:pic>
              </a:graphicData>
            </a:graphic>
          </wp:inline>
        </w:drawing>
      </w:r>
    </w:p>
    <w:p w:rsidR="00E759B6" w:rsidRPr="002F036A" w:rsidP="002F036A">
      <w:pPr>
        <w:rPr>
          <w:rFonts w:ascii="Verdana" w:hAnsi="Verdana" w:cs="Segoe UI"/>
          <w:sz w:val="22"/>
          <w:szCs w:val="22"/>
        </w:rPr>
      </w:pPr>
    </w:p>
    <w:p w:rsidR="00935CC8" w:rsidRPr="002F036A" w:rsidP="002F036A">
      <w:pPr>
        <w:rPr>
          <w:rFonts w:ascii="Verdana" w:hAnsi="Verdana" w:cs="Segoe UI"/>
          <w:sz w:val="22"/>
          <w:szCs w:val="22"/>
        </w:rPr>
      </w:pPr>
      <w:r w:rsidRPr="002F036A">
        <w:rPr>
          <w:rFonts w:ascii="Verdana" w:hAnsi="Verdana" w:cs="Segoe UI"/>
          <w:sz w:val="22"/>
          <w:szCs w:val="22"/>
        </w:rPr>
        <w:t>The Commission’s resourcing has improved. The government has allocated an additional £26 million over three years, enabling the appointment of a dedicated Head of Illegal Markets and the establishment of the Illegal Gambling Taskforce in January 2026, with tackling online advertising by illegal operators as one of its three core priorities.</w:t>
      </w:r>
    </w:p>
    <w:p w:rsidR="00E759B6" w:rsidRPr="002F036A" w:rsidP="002F036A">
      <w:pPr>
        <w:rPr>
          <w:rFonts w:ascii="Verdana" w:hAnsi="Verdana" w:cs="Segoe UI"/>
          <w:sz w:val="22"/>
          <w:szCs w:val="22"/>
        </w:rPr>
      </w:pPr>
      <w:r w:rsidRPr="002F036A">
        <w:rPr>
          <w:rFonts w:ascii="Verdana" w:hAnsi="Verdana" w:cs="Segoe UI"/>
          <w:sz w:val="22"/>
          <w:szCs w:val="22"/>
        </w:rPr>
        <w:t xml:space="preserve">There are </w:t>
      </w:r>
      <w:r w:rsidRPr="002F036A" w:rsidR="00C31F65">
        <w:rPr>
          <w:rFonts w:ascii="Verdana" w:hAnsi="Verdana" w:cs="Segoe UI"/>
          <w:sz w:val="22"/>
          <w:szCs w:val="22"/>
        </w:rPr>
        <w:t>several</w:t>
      </w:r>
      <w:r w:rsidRPr="002F036A">
        <w:rPr>
          <w:rFonts w:ascii="Verdana" w:hAnsi="Verdana" w:cs="Segoe UI"/>
          <w:sz w:val="22"/>
          <w:szCs w:val="22"/>
        </w:rPr>
        <w:t xml:space="preserve"> challenges facing this taskforce, including gaining engagement from social media operators and platforms</w:t>
      </w:r>
      <w:r w:rsidRPr="002F036A" w:rsidR="00980ED6">
        <w:rPr>
          <w:rFonts w:ascii="Verdana" w:hAnsi="Verdana" w:cs="Segoe UI"/>
          <w:sz w:val="22"/>
          <w:szCs w:val="22"/>
        </w:rPr>
        <w:t xml:space="preserve"> to implement solutions to major issues. This includes unlicensed companies deliberating advertising themselves as </w:t>
      </w:r>
      <w:r w:rsidRPr="002F036A" w:rsidR="00935CC8">
        <w:rPr>
          <w:rFonts w:ascii="Verdana" w:hAnsi="Verdana" w:cs="Segoe UI"/>
          <w:sz w:val="22"/>
          <w:szCs w:val="22"/>
        </w:rPr>
        <w:t>“</w:t>
      </w:r>
      <w:r w:rsidRPr="002F036A" w:rsidR="00980ED6">
        <w:rPr>
          <w:rFonts w:ascii="Verdana" w:hAnsi="Verdana" w:cs="Segoe UI"/>
          <w:sz w:val="22"/>
          <w:szCs w:val="22"/>
        </w:rPr>
        <w:t xml:space="preserve">not on </w:t>
      </w:r>
      <w:r w:rsidRPr="002F036A" w:rsidR="00980ED6">
        <w:rPr>
          <w:rFonts w:ascii="Verdana" w:hAnsi="Verdana" w:cs="Segoe UI"/>
          <w:sz w:val="22"/>
          <w:szCs w:val="22"/>
        </w:rPr>
        <w:t>GamStop</w:t>
      </w:r>
      <w:r w:rsidRPr="002F036A" w:rsidR="00935CC8">
        <w:rPr>
          <w:rFonts w:ascii="Verdana" w:hAnsi="Verdana" w:cs="Segoe UI"/>
          <w:sz w:val="22"/>
          <w:szCs w:val="22"/>
        </w:rPr>
        <w:t>”</w:t>
      </w:r>
      <w:r w:rsidRPr="002F036A" w:rsidR="00980ED6">
        <w:rPr>
          <w:rFonts w:ascii="Verdana" w:hAnsi="Verdana" w:cs="Segoe UI"/>
          <w:sz w:val="22"/>
          <w:szCs w:val="22"/>
        </w:rPr>
        <w:t xml:space="preserve">, which explicitly targets people who have self-excluded through Britain's national scheme. Tim Miller, Executive Director for Policy Development at the Gambling Commission has highlighted this, </w:t>
      </w:r>
      <w:r w:rsidRPr="002F036A">
        <w:rPr>
          <w:rFonts w:ascii="Verdana" w:hAnsi="Verdana" w:cs="Segoe UI"/>
          <w:sz w:val="22"/>
          <w:szCs w:val="22"/>
        </w:rPr>
        <w:t>noting that such adverts can be surfaced in seconds through Meta's own searchable ad library while platforms continue to act only once notified</w:t>
      </w:r>
      <w:r w:rsidRPr="002F036A" w:rsidR="0092696F">
        <w:rPr>
          <w:rFonts w:ascii="Verdana" w:hAnsi="Verdana" w:cs="Segoe UI"/>
          <w:sz w:val="22"/>
          <w:szCs w:val="22"/>
        </w:rPr>
        <w:t xml:space="preserve"> </w:t>
      </w:r>
      <w:r w:rsidRPr="002F036A" w:rsidR="0092696F">
        <w:rPr>
          <w:rFonts w:ascii="Verdana" w:hAnsi="Verdana" w:cs="Segoe UI"/>
          <w:sz w:val="22"/>
          <w:szCs w:val="22"/>
        </w:rPr>
        <w:fldChar w:fldCharType="begin" w:fldLock="1"/>
      </w:r>
      <w:r w:rsidRPr="002F036A" w:rsidR="00D96019">
        <w:rPr>
          <w:rFonts w:ascii="Verdana" w:hAnsi="Verdana" w:cs="Segoe UI"/>
          <w:sz w:val="22"/>
          <w:szCs w:val="22"/>
        </w:rPr>
        <w:instrText>ADDIN CSL_CITATION {"citationItems":[{"id":"ITEM-1","itemData":{"URL":"https://www.gamblingcommission.gov.uk/news/article/ice-barcelona-2026-tim-miller-speech","author":[{"dropping-particle":"","family":"Gambling Commission","given":"","non-dropping-particle":"","parse-names":false,"suffix":""}],"container-title":"https://www.gamblingcommission.gov.uk/news/","id":"ITEM-1","issued":{"date-parts":[["2026","1","19"]]},"title":"ICE Barcelona 2026 - Tim Miller Speech","type":"webpage"},"uris":["http://www.mendeley.com/documents/?uuid=9df5b272-48b6-4a54-a2c2-b8ce270900f5"]}],"mendeley":{"formattedCitation":"(Gambling Commission, 2026)","plainTextFormattedCitation":"(Gambling Commission, 2026)","previouslyFormattedCitation":"(Gambling Commission, 2026)"},"properties":{"noteIndex":0},"schema":"https://github.com/citation-style-language/schema/raw/master/csl-citation.json"}</w:instrText>
      </w:r>
      <w:r w:rsidRPr="002F036A" w:rsidR="0092696F">
        <w:rPr>
          <w:rFonts w:ascii="Verdana" w:hAnsi="Verdana" w:cs="Segoe UI"/>
          <w:sz w:val="22"/>
          <w:szCs w:val="22"/>
        </w:rPr>
        <w:fldChar w:fldCharType="separate"/>
      </w:r>
      <w:r w:rsidRPr="002F036A" w:rsidR="0092696F">
        <w:rPr>
          <w:rFonts w:ascii="Verdana" w:hAnsi="Verdana" w:cs="Segoe UI"/>
          <w:noProof/>
          <w:sz w:val="22"/>
          <w:szCs w:val="22"/>
        </w:rPr>
        <w:t>(Gambling Commission, 2026)</w:t>
      </w:r>
      <w:r w:rsidRPr="002F036A" w:rsidR="0092696F">
        <w:rPr>
          <w:rFonts w:ascii="Verdana" w:hAnsi="Verdana" w:cs="Segoe UI"/>
          <w:sz w:val="22"/>
          <w:szCs w:val="22"/>
        </w:rPr>
        <w:fldChar w:fldCharType="end"/>
      </w:r>
      <w:r w:rsidRPr="002F036A">
        <w:rPr>
          <w:rFonts w:ascii="Verdana" w:hAnsi="Verdana" w:cs="Segoe UI"/>
          <w:sz w:val="22"/>
          <w:szCs w:val="22"/>
        </w:rPr>
        <w:t xml:space="preserve">. This exposes </w:t>
      </w:r>
      <w:r w:rsidRPr="002F036A" w:rsidR="00980ED6">
        <w:rPr>
          <w:rFonts w:ascii="Verdana" w:hAnsi="Verdana" w:cs="Segoe UI"/>
          <w:sz w:val="22"/>
          <w:szCs w:val="22"/>
        </w:rPr>
        <w:t>a</w:t>
      </w:r>
      <w:r w:rsidRPr="002F036A">
        <w:rPr>
          <w:rFonts w:ascii="Verdana" w:hAnsi="Verdana" w:cs="Segoe UI"/>
          <w:sz w:val="22"/>
          <w:szCs w:val="22"/>
        </w:rPr>
        <w:t xml:space="preserve"> core </w:t>
      </w:r>
      <w:r w:rsidRPr="002F036A" w:rsidR="00980ED6">
        <w:rPr>
          <w:rFonts w:ascii="Verdana" w:hAnsi="Verdana" w:cs="Segoe UI"/>
          <w:sz w:val="22"/>
          <w:szCs w:val="22"/>
        </w:rPr>
        <w:t>issue</w:t>
      </w:r>
      <w:r w:rsidRPr="002F036A">
        <w:rPr>
          <w:rFonts w:ascii="Verdana" w:hAnsi="Verdana" w:cs="Segoe UI"/>
          <w:sz w:val="22"/>
          <w:szCs w:val="22"/>
        </w:rPr>
        <w:t xml:space="preserve">, which is that the Commission cannot compel platforms to detect and remove illegal gambling advertising proactively and must instead rely on voluntary cooperation. That the forthcoming Crime and Policing Bill </w:t>
      </w:r>
      <w:r w:rsidRPr="002F036A">
        <w:rPr>
          <w:rFonts w:ascii="Verdana" w:hAnsi="Verdana" w:cs="Segoe UI"/>
          <w:sz w:val="22"/>
          <w:szCs w:val="22"/>
        </w:rPr>
        <w:t>is</w:t>
      </w:r>
      <w:r w:rsidRPr="002F036A">
        <w:rPr>
          <w:rFonts w:ascii="Verdana" w:hAnsi="Verdana" w:cs="Segoe UI"/>
          <w:sz w:val="22"/>
          <w:szCs w:val="22"/>
        </w:rPr>
        <w:t xml:space="preserve"> expected to grant it stronger powers to take down illegal domains is itself an acknowledgement that current powers fall short.</w:t>
      </w:r>
    </w:p>
    <w:p w:rsidR="008D2F6C" w:rsidRPr="002F036A" w:rsidP="002F036A">
      <w:pPr>
        <w:rPr>
          <w:rFonts w:ascii="Verdana" w:hAnsi="Verdana" w:cs="Segoe UI"/>
          <w:b/>
          <w:bCs/>
          <w:i/>
          <w:iCs/>
          <w:sz w:val="22"/>
          <w:szCs w:val="22"/>
        </w:rPr>
      </w:pPr>
    </w:p>
    <w:p w:rsidR="00E759B6" w:rsidRPr="002F036A" w:rsidP="002F036A">
      <w:pPr>
        <w:rPr>
          <w:rFonts w:ascii="Verdana" w:hAnsi="Verdana" w:cs="Segoe UI"/>
          <w:b/>
          <w:bCs/>
          <w:i/>
          <w:iCs/>
          <w:sz w:val="22"/>
          <w:szCs w:val="22"/>
        </w:rPr>
      </w:pPr>
      <w:r w:rsidRPr="002F036A">
        <w:rPr>
          <w:rFonts w:ascii="Verdana" w:hAnsi="Verdana" w:cs="Segoe UI"/>
          <w:b/>
          <w:bCs/>
          <w:i/>
          <w:iCs/>
          <w:sz w:val="22"/>
          <w:szCs w:val="22"/>
        </w:rPr>
        <w:t>Economic impacts</w:t>
      </w:r>
    </w:p>
    <w:p w:rsidR="00E759B6" w:rsidRPr="002F036A" w:rsidP="002F036A">
      <w:pPr>
        <w:pStyle w:val="ListParagraph"/>
        <w:numPr>
          <w:ilvl w:val="0"/>
          <w:numId w:val="28"/>
        </w:numPr>
        <w:spacing w:line="276" w:lineRule="auto"/>
        <w:rPr>
          <w:rFonts w:ascii="Verdana" w:hAnsi="Verdana" w:cs="Segoe UI"/>
          <w:sz w:val="22"/>
          <w:szCs w:val="22"/>
        </w:rPr>
      </w:pPr>
      <w:r w:rsidRPr="002F036A">
        <w:rPr>
          <w:rFonts w:ascii="Verdana" w:hAnsi="Verdana" w:cs="Segoe UI"/>
          <w:sz w:val="22"/>
          <w:szCs w:val="22"/>
        </w:rPr>
        <w:t>What would be the economic disbenefits of further restrictions on gambling advertising by licensed operators, and could these be effectively mitigated?</w:t>
      </w:r>
    </w:p>
    <w:p w:rsidR="00935CC8" w:rsidRPr="002F036A" w:rsidP="002F036A">
      <w:pPr>
        <w:rPr>
          <w:rFonts w:ascii="Verdana" w:hAnsi="Verdana" w:cs="Segoe UI"/>
          <w:sz w:val="22"/>
          <w:szCs w:val="22"/>
        </w:rPr>
      </w:pPr>
      <w:r w:rsidRPr="002F036A">
        <w:rPr>
          <w:rFonts w:ascii="Verdana" w:hAnsi="Verdana" w:cs="Segoe UI"/>
          <w:b/>
          <w:bCs/>
          <w:sz w:val="22"/>
          <w:szCs w:val="22"/>
        </w:rPr>
        <w:t>Response:</w:t>
      </w:r>
      <w:r w:rsidRPr="002F036A">
        <w:rPr>
          <w:rFonts w:ascii="Verdana" w:hAnsi="Verdana" w:cs="Segoe UI"/>
          <w:sz w:val="22"/>
          <w:szCs w:val="22"/>
        </w:rPr>
        <w:t xml:space="preserve"> This </w:t>
      </w:r>
      <w:r w:rsidRPr="002F036A" w:rsidR="00980ED6">
        <w:rPr>
          <w:rFonts w:ascii="Verdana" w:hAnsi="Verdana" w:cs="Segoe UI"/>
          <w:sz w:val="22"/>
          <w:szCs w:val="22"/>
        </w:rPr>
        <w:t>question</w:t>
      </w:r>
      <w:r w:rsidRPr="002F036A">
        <w:rPr>
          <w:rFonts w:ascii="Verdana" w:hAnsi="Verdana" w:cs="Segoe UI"/>
          <w:sz w:val="22"/>
          <w:szCs w:val="22"/>
        </w:rPr>
        <w:t>, in part,</w:t>
      </w:r>
      <w:r w:rsidRPr="002F036A" w:rsidR="00980ED6">
        <w:rPr>
          <w:rFonts w:ascii="Verdana" w:hAnsi="Verdana" w:cs="Segoe UI"/>
          <w:sz w:val="22"/>
          <w:szCs w:val="22"/>
        </w:rPr>
        <w:t xml:space="preserve"> relates to</w:t>
      </w:r>
      <w:r w:rsidRPr="002F036A">
        <w:rPr>
          <w:rFonts w:ascii="Verdana" w:hAnsi="Verdana" w:cs="Segoe UI"/>
          <w:sz w:val="22"/>
          <w:szCs w:val="22"/>
        </w:rPr>
        <w:t xml:space="preserve"> understanding</w:t>
      </w:r>
      <w:r w:rsidRPr="002F036A" w:rsidR="00980ED6">
        <w:rPr>
          <w:rFonts w:ascii="Verdana" w:hAnsi="Verdana" w:cs="Segoe UI"/>
          <w:sz w:val="22"/>
          <w:szCs w:val="22"/>
        </w:rPr>
        <w:t xml:space="preserve"> the wider economic impact of implementing greater regulatory protections. Several studies have examined this, modelling the direct impacts of reducing gambling consumption (often measured by Gross Gambling Yield) upon the macro economy. A recent study by </w:t>
      </w:r>
      <w:r w:rsidRPr="002F036A" w:rsidR="00C54CF3">
        <w:rPr>
          <w:rFonts w:ascii="Verdana" w:hAnsi="Verdana" w:cs="Segoe UI"/>
          <w:sz w:val="22"/>
          <w:szCs w:val="22"/>
        </w:rPr>
        <w:t>Morris et al</w:t>
      </w:r>
      <w:r w:rsidRPr="002F036A">
        <w:rPr>
          <w:rFonts w:ascii="Verdana" w:hAnsi="Verdana" w:cs="Segoe UI"/>
          <w:sz w:val="22"/>
          <w:szCs w:val="22"/>
        </w:rPr>
        <w:t xml:space="preserve"> (2026)</w:t>
      </w:r>
      <w:r w:rsidRPr="002F036A" w:rsidR="00C54CF3">
        <w:rPr>
          <w:rFonts w:ascii="Verdana" w:hAnsi="Verdana" w:cs="Segoe UI"/>
          <w:sz w:val="22"/>
          <w:szCs w:val="22"/>
        </w:rPr>
        <w:t xml:space="preserve"> </w:t>
      </w:r>
      <w:r w:rsidRPr="002F036A" w:rsidR="00D96019">
        <w:rPr>
          <w:rFonts w:ascii="Verdana" w:hAnsi="Verdana" w:cs="Segoe UI"/>
          <w:sz w:val="22"/>
          <w:szCs w:val="22"/>
        </w:rPr>
        <w:fldChar w:fldCharType="begin" w:fldLock="1"/>
      </w:r>
      <w:r w:rsidRPr="002F036A" w:rsidR="003E1F2A">
        <w:rPr>
          <w:rFonts w:ascii="Verdana" w:hAnsi="Verdana" w:cs="Segoe UI"/>
          <w:sz w:val="22"/>
          <w:szCs w:val="22"/>
        </w:rPr>
        <w:instrText>ADDIN CSL_CITATION {"citationItems":[{"id":"ITEM-1","itemData":{"DOI":"10.1111/add.70336","author":[{"dropping-particle":"","family":"Morris","given":"Damon","non-dropping-particle":"","parse-names":false,"suffix":""},{"dropping-particle":"","family":"Brennan","given":"Alan","non-dropping-particle":"","parse-names":false,"suffix":""},{"dropping-particle":"","family":"Gillespie","given":"Duncan","non-dropping-particle":"","parse-names":false,"suffix":""},{"dropping-particle":"","family":"James","given":"Megan","non-dropping-particle":"","parse-names":false,"suffix":""},{"dropping-particle":"","family":"Breeze","given":"Penny","non-dropping-particle":"","parse-names":false,"suffix":""}],"container-title":"Addiction","id":"ITEM-1","issue":"April 2025","issued":{"date-parts":[["2026"]]},"page":"1398-1407","title":"Modelling the economic effects of reducing the consumption of unhealthy commodities: An inter-sectoral input – output approach","type":"article-journal"},"uris":["http://www.mendeley.com/documents/?uuid=24d7c6c8-47e6-429d-af38-07a4ed6c6981"]}],"mendeley":{"formattedCitation":"(Morris &lt;i&gt;et al.&lt;/i&gt;, 2026)","plainTextFormattedCitation":"(Morris et al., 2026)","previouslyFormattedCitation":"(Morris &lt;i&gt;et al.&lt;/i&gt;, 2026)"},"properties":{"noteIndex":0},"schema":"https://github.com/citation-style-language/schema/raw/master/csl-citation.json"}</w:instrText>
      </w:r>
      <w:r w:rsidRPr="002F036A" w:rsidR="00D96019">
        <w:rPr>
          <w:rFonts w:ascii="Verdana" w:hAnsi="Verdana" w:cs="Segoe UI"/>
          <w:sz w:val="22"/>
          <w:szCs w:val="22"/>
        </w:rPr>
        <w:fldChar w:fldCharType="separate"/>
      </w:r>
      <w:r w:rsidRPr="002F036A" w:rsidR="00D96019">
        <w:rPr>
          <w:rFonts w:ascii="Verdana" w:hAnsi="Verdana" w:cs="Segoe UI"/>
          <w:sz w:val="22"/>
          <w:szCs w:val="22"/>
        </w:rPr>
        <w:fldChar w:fldCharType="end"/>
      </w:r>
      <w:r w:rsidRPr="002F036A" w:rsidR="00C54CF3">
        <w:rPr>
          <w:rFonts w:ascii="Verdana" w:hAnsi="Verdana" w:cs="Segoe UI"/>
          <w:sz w:val="22"/>
          <w:szCs w:val="22"/>
        </w:rPr>
        <w:t>found that reduced gambling spending generate</w:t>
      </w:r>
      <w:r w:rsidRPr="002F036A">
        <w:rPr>
          <w:rFonts w:ascii="Verdana" w:hAnsi="Verdana" w:cs="Segoe UI"/>
          <w:sz w:val="22"/>
          <w:szCs w:val="22"/>
        </w:rPr>
        <w:t>s</w:t>
      </w:r>
      <w:r w:rsidRPr="002F036A" w:rsidR="00C54CF3">
        <w:rPr>
          <w:rFonts w:ascii="Verdana" w:hAnsi="Verdana" w:cs="Segoe UI"/>
          <w:sz w:val="22"/>
          <w:szCs w:val="22"/>
        </w:rPr>
        <w:t xml:space="preserve"> net positive effects across six economic outcomes,</w:t>
      </w:r>
      <w:r w:rsidRPr="002F036A">
        <w:rPr>
          <w:rFonts w:ascii="Verdana" w:hAnsi="Verdana" w:cs="Segoe UI"/>
          <w:sz w:val="22"/>
          <w:szCs w:val="22"/>
        </w:rPr>
        <w:t xml:space="preserve"> including</w:t>
      </w:r>
      <w:r w:rsidRPr="002F036A" w:rsidR="00C54CF3">
        <w:rPr>
          <w:rFonts w:ascii="Verdana" w:hAnsi="Verdana" w:cs="Segoe UI"/>
          <w:sz w:val="22"/>
          <w:szCs w:val="22"/>
        </w:rPr>
        <w:t xml:space="preserve"> tax receipts, employment, net earnings, </w:t>
      </w:r>
      <w:r w:rsidRPr="002F036A" w:rsidR="00C31F65">
        <w:rPr>
          <w:rFonts w:ascii="Verdana" w:hAnsi="Verdana" w:cs="Segoe UI"/>
          <w:sz w:val="22"/>
          <w:szCs w:val="22"/>
        </w:rPr>
        <w:t xml:space="preserve">output and Gross Value Added. The authors </w:t>
      </w:r>
      <w:r w:rsidRPr="002F036A" w:rsidR="00C54CF3">
        <w:rPr>
          <w:rFonts w:ascii="Verdana" w:hAnsi="Verdana" w:cs="Segoe UI"/>
          <w:sz w:val="22"/>
          <w:szCs w:val="22"/>
        </w:rPr>
        <w:t>concluded that the potential negative macroeconomic impacts of reducing spending on gambling could be more than mitigated when consumers reallocate money spent on these products to other consumption.</w:t>
      </w:r>
    </w:p>
    <w:p w:rsidR="00B40B20" w:rsidRPr="002F036A" w:rsidP="002F036A">
      <w:pPr>
        <w:rPr>
          <w:rFonts w:ascii="Verdana" w:hAnsi="Verdana" w:cs="Segoe UI"/>
          <w:sz w:val="22"/>
          <w:szCs w:val="22"/>
        </w:rPr>
      </w:pPr>
      <w:r w:rsidRPr="002F036A">
        <w:rPr>
          <w:rFonts w:ascii="Verdana" w:hAnsi="Verdana" w:cs="Segoe UI"/>
          <w:sz w:val="22"/>
          <w:szCs w:val="22"/>
        </w:rPr>
        <w:t>Simpson et al</w:t>
      </w:r>
      <w:r w:rsidRPr="002F036A">
        <w:rPr>
          <w:rFonts w:ascii="Verdana" w:hAnsi="Verdana" w:cs="Segoe UI"/>
          <w:sz w:val="22"/>
          <w:szCs w:val="22"/>
        </w:rPr>
        <w:t xml:space="preserve"> (2026)</w:t>
      </w:r>
      <w:r w:rsidRPr="002F036A" w:rsidR="003E1F2A">
        <w:rPr>
          <w:rFonts w:ascii="Verdana" w:hAnsi="Verdana" w:cs="Segoe UI"/>
          <w:sz w:val="22"/>
          <w:szCs w:val="22"/>
        </w:rPr>
        <w:t xml:space="preserve"> </w:t>
      </w:r>
      <w:r w:rsidRPr="002F036A">
        <w:rPr>
          <w:rFonts w:ascii="Verdana" w:hAnsi="Verdana" w:cs="Segoe UI"/>
          <w:sz w:val="22"/>
          <w:szCs w:val="22"/>
        </w:rPr>
        <w:t xml:space="preserve">focused specifically on the question of reallocation of money to other areas and </w:t>
      </w:r>
      <w:r w:rsidRPr="002F036A">
        <w:rPr>
          <w:rFonts w:ascii="Verdana" w:hAnsi="Verdana" w:cs="Segoe UI"/>
          <w:sz w:val="22"/>
          <w:szCs w:val="22"/>
        </w:rPr>
        <w:t xml:space="preserve">examined the likely impact of reduced gambling spend among </w:t>
      </w:r>
      <w:r w:rsidRPr="002F036A">
        <w:rPr>
          <w:rFonts w:ascii="Verdana" w:hAnsi="Verdana" w:cs="Segoe UI"/>
          <w:sz w:val="22"/>
          <w:szCs w:val="22"/>
        </w:rPr>
        <w:t>those gambl</w:t>
      </w:r>
      <w:r w:rsidRPr="002F036A">
        <w:rPr>
          <w:rFonts w:ascii="Verdana" w:hAnsi="Verdana" w:cs="Segoe UI"/>
          <w:sz w:val="22"/>
          <w:szCs w:val="22"/>
        </w:rPr>
        <w:t>e</w:t>
      </w:r>
      <w:r w:rsidRPr="002F036A">
        <w:rPr>
          <w:rFonts w:ascii="Verdana" w:hAnsi="Verdana" w:cs="Segoe UI"/>
          <w:sz w:val="22"/>
          <w:szCs w:val="22"/>
        </w:rPr>
        <w:t xml:space="preserve"> regularly</w:t>
      </w:r>
      <w:r w:rsidRPr="002F036A">
        <w:rPr>
          <w:rFonts w:ascii="Verdana" w:hAnsi="Verdana" w:cs="Segoe UI"/>
          <w:sz w:val="22"/>
          <w:szCs w:val="22"/>
        </w:rPr>
        <w:t>. They conducted empirical research with regular gamblers to examine consumption preferences and model the likely direct economic impacts of reduced gambling expenditure, using projected reductions in Gross Gambling Yield (GGY) under the Government’s White Paper as a case study.</w:t>
      </w:r>
    </w:p>
    <w:p w:rsidR="00E759B6" w:rsidRPr="002F036A" w:rsidP="002F036A">
      <w:pPr>
        <w:rPr>
          <w:rFonts w:ascii="Verdana" w:hAnsi="Verdana" w:cs="Segoe UI"/>
          <w:sz w:val="22"/>
          <w:szCs w:val="22"/>
        </w:rPr>
      </w:pPr>
      <w:r w:rsidRPr="002F036A">
        <w:rPr>
          <w:rFonts w:ascii="Verdana" w:hAnsi="Verdana" w:cs="Segoe UI"/>
          <w:sz w:val="22"/>
          <w:szCs w:val="22"/>
        </w:rPr>
        <w:t xml:space="preserve">Models showed that of the projected £812 million reduction in GGY anticipated from enhanced regulatory measures, the majority is likely to be retained within the wider economy, with only £134 million (approximately 16 per cent of the total reduction in GGY) expected to translate into a net negative impact on UK GDP. </w:t>
      </w:r>
      <w:r w:rsidRPr="002F036A" w:rsidR="00B40B20">
        <w:rPr>
          <w:rFonts w:ascii="Verdana" w:hAnsi="Verdana" w:cs="Segoe UI"/>
          <w:sz w:val="22"/>
          <w:szCs w:val="22"/>
        </w:rPr>
        <w:t>If money was consistently reallocated to the unlicensed market, then around 23% of the total reduction was anticipated to translated into a net negative impact on GDP.</w:t>
      </w:r>
      <w:r w:rsidRPr="002F036A">
        <w:rPr>
          <w:rFonts w:ascii="Verdana" w:hAnsi="Verdana" w:cs="Segoe UI"/>
          <w:sz w:val="22"/>
          <w:szCs w:val="22"/>
        </w:rPr>
        <w:t xml:space="preserve"> </w:t>
      </w:r>
      <w:r w:rsidRPr="002F036A" w:rsidR="00B40B20">
        <w:rPr>
          <w:rFonts w:ascii="Verdana" w:hAnsi="Verdana" w:cs="Segoe UI"/>
          <w:sz w:val="22"/>
          <w:szCs w:val="22"/>
        </w:rPr>
        <w:t xml:space="preserve">Only 8% of regular gamblers said they would consistently reallocate their spending to the unlicensed market if there were greater restrictions to licensed operators. Simpson et al (2026) </w:t>
      </w:r>
      <w:r w:rsidRPr="002F036A">
        <w:rPr>
          <w:rFonts w:ascii="Verdana" w:hAnsi="Verdana" w:cs="Segoe UI"/>
          <w:sz w:val="22"/>
          <w:szCs w:val="22"/>
        </w:rPr>
        <w:t xml:space="preserve">concluded that gambling reform delivers a substantial reduction in gambling expenditure with only a limited net economic cost. </w:t>
      </w:r>
      <w:r w:rsidRPr="002F036A">
        <w:rPr>
          <w:rFonts w:ascii="Verdana" w:hAnsi="Verdana" w:cs="Segoe UI"/>
          <w:sz w:val="22"/>
          <w:szCs w:val="22"/>
        </w:rPr>
        <w:t>The majority of</w:t>
      </w:r>
      <w:r w:rsidRPr="002F036A">
        <w:rPr>
          <w:rFonts w:ascii="Verdana" w:hAnsi="Verdana" w:cs="Segoe UI"/>
          <w:sz w:val="22"/>
          <w:szCs w:val="22"/>
        </w:rPr>
        <w:t xml:space="preserve"> consumer spending is redirected into the legitimate economy, meaning the macroeconomic impact is significantly smaller than any headline reduction in gross gambling yield suggests.  </w:t>
      </w:r>
    </w:p>
    <w:p w:rsidR="00E759B6" w:rsidRPr="002F036A" w:rsidP="002F036A">
      <w:pPr>
        <w:rPr>
          <w:rFonts w:ascii="Verdana" w:hAnsi="Verdana" w:cs="Segoe UI"/>
          <w:sz w:val="22"/>
          <w:szCs w:val="22"/>
        </w:rPr>
      </w:pPr>
    </w:p>
    <w:p w:rsidR="003773C0" w:rsidRPr="002F036A" w:rsidP="002F036A">
      <w:pPr>
        <w:widowControl w:val="0"/>
        <w:autoSpaceDE w:val="0"/>
        <w:autoSpaceDN w:val="0"/>
        <w:adjustRightInd w:val="0"/>
        <w:spacing w:line="240" w:lineRule="auto"/>
        <w:rPr>
          <w:rFonts w:ascii="Verdana" w:hAnsi="Verdana" w:cs="Segoe UI"/>
          <w:b/>
          <w:bCs/>
          <w:sz w:val="22"/>
          <w:szCs w:val="22"/>
        </w:rPr>
      </w:pPr>
      <w:r w:rsidRPr="002F036A">
        <w:rPr>
          <w:rFonts w:ascii="Verdana" w:hAnsi="Verdana" w:cs="Segoe UI"/>
          <w:b/>
          <w:bCs/>
          <w:sz w:val="22"/>
          <w:szCs w:val="22"/>
        </w:rPr>
        <w:t>References:</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sz w:val="22"/>
          <w:szCs w:val="22"/>
        </w:rPr>
        <w:fldChar w:fldCharType="begin" w:fldLock="1"/>
      </w:r>
      <w:r w:rsidRPr="002F036A">
        <w:rPr>
          <w:rFonts w:ascii="Verdana" w:hAnsi="Verdana" w:cs="Segoe UI"/>
          <w:sz w:val="22"/>
          <w:szCs w:val="22"/>
        </w:rPr>
        <w:instrText xml:space="preserve">ADDIN Mendeley Bibliography CSL_BIBLIOGRAPHY </w:instrText>
      </w:r>
      <w:r w:rsidRPr="002F036A">
        <w:rPr>
          <w:rFonts w:ascii="Verdana" w:hAnsi="Verdana" w:cs="Segoe UI"/>
          <w:sz w:val="22"/>
          <w:szCs w:val="22"/>
        </w:rPr>
        <w:fldChar w:fldCharType="separate"/>
      </w:r>
      <w:r w:rsidRPr="002F036A">
        <w:rPr>
          <w:rFonts w:ascii="Verdana" w:hAnsi="Verdana" w:cs="Segoe UI"/>
          <w:noProof/>
          <w:kern w:val="0"/>
          <w:sz w:val="22"/>
          <w:szCs w:val="22"/>
        </w:rPr>
        <w:t xml:space="preserve">Anderson, P.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(2009) ‘Impact of Alcohol Advertising and Media Exposure on Adolescent Alcohol Use : A Systematic Review of Longitudinal Studies’, </w:t>
      </w:r>
      <w:r w:rsidRPr="002F036A">
        <w:rPr>
          <w:rFonts w:ascii="Verdana" w:hAnsi="Verdana" w:cs="Segoe UI"/>
          <w:i/>
          <w:iCs/>
          <w:noProof/>
          <w:kern w:val="0"/>
          <w:sz w:val="22"/>
          <w:szCs w:val="22"/>
        </w:rPr>
        <w:t>Alcohol &amp; Alcoholism</w:t>
      </w:r>
      <w:r w:rsidRPr="002F036A">
        <w:rPr>
          <w:rFonts w:ascii="Verdana" w:hAnsi="Verdana" w:cs="Segoe UI"/>
          <w:noProof/>
          <w:kern w:val="0"/>
          <w:sz w:val="22"/>
          <w:szCs w:val="22"/>
        </w:rPr>
        <w:t>, 44(3), pp. 229–243. doi: 10.1093/alcalc/agn115.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Aonso-Diego, G., García-pérez, Á. and Krotter, A. (2025) ‘Impact of Spanish gambling regulations on online gambling behavior and marketing strategies’, </w:t>
      </w:r>
      <w:r w:rsidRPr="002F036A">
        <w:rPr>
          <w:rFonts w:ascii="Verdana" w:hAnsi="Verdana" w:cs="Segoe UI"/>
          <w:i/>
          <w:iCs/>
          <w:noProof/>
          <w:kern w:val="0"/>
          <w:sz w:val="22"/>
          <w:szCs w:val="22"/>
        </w:rPr>
        <w:t>Harm Reduction Journal</w:t>
      </w:r>
      <w:r w:rsidRPr="002F036A">
        <w:rPr>
          <w:rFonts w:ascii="Verdana" w:hAnsi="Verdana" w:cs="Segoe UI"/>
          <w:noProof/>
          <w:kern w:val="0"/>
          <w:sz w:val="22"/>
          <w:szCs w:val="22"/>
        </w:rPr>
        <w:t>, 22, p. 107.</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Balem, M.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(2022) ‘Impact of wagering inducements on the gambling behaviors of on-line gamblers : A longitudinal study based on gambling tracking data’, </w:t>
      </w:r>
      <w:r w:rsidRPr="002F036A">
        <w:rPr>
          <w:rFonts w:ascii="Verdana" w:hAnsi="Verdana" w:cs="Segoe UI"/>
          <w:i/>
          <w:iCs/>
          <w:noProof/>
          <w:kern w:val="0"/>
          <w:sz w:val="22"/>
          <w:szCs w:val="22"/>
        </w:rPr>
        <w:t>Addiction</w:t>
      </w:r>
      <w:r w:rsidRPr="002F036A">
        <w:rPr>
          <w:rFonts w:ascii="Verdana" w:hAnsi="Verdana" w:cs="Segoe UI"/>
          <w:noProof/>
          <w:kern w:val="0"/>
          <w:sz w:val="22"/>
          <w:szCs w:val="22"/>
        </w:rPr>
        <w:t>, 117, pp. 1020–1034. doi: 10.1111/add.15665.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Bouguettaya, A.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(2020) ‘The relationship between gambling advertising and gambling attitudes , intentions and behaviours : a critical and meta-analytic review’, </w:t>
      </w:r>
      <w:r w:rsidRPr="002F036A">
        <w:rPr>
          <w:rFonts w:ascii="Verdana" w:hAnsi="Verdana" w:cs="Segoe UI"/>
          <w:i/>
          <w:iCs/>
          <w:noProof/>
          <w:kern w:val="0"/>
          <w:sz w:val="22"/>
          <w:szCs w:val="22"/>
        </w:rPr>
        <w:t>Behavioral Sciences</w:t>
      </w:r>
      <w:r w:rsidRPr="002F036A">
        <w:rPr>
          <w:rFonts w:ascii="Verdana" w:hAnsi="Verdana" w:cs="Segoe UI"/>
          <w:noProof/>
          <w:kern w:val="0"/>
          <w:sz w:val="22"/>
          <w:szCs w:val="22"/>
        </w:rPr>
        <w:t>, 31, pp. 89–101. doi: 10.1016/j.cobeha.2020.02.010.</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Browne, M.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(2019) ‘The impact of exposure to wagering advertisements and inducements on intended and actual betting expenditure : An ecological momentary assessment study’, </w:t>
      </w:r>
      <w:r w:rsidRPr="002F036A">
        <w:rPr>
          <w:rFonts w:ascii="Verdana" w:hAnsi="Verdana" w:cs="Segoe UI"/>
          <w:i/>
          <w:iCs/>
          <w:noProof/>
          <w:kern w:val="0"/>
          <w:sz w:val="22"/>
          <w:szCs w:val="22"/>
        </w:rPr>
        <w:t>Journal of Behavioral Addictions</w:t>
      </w:r>
      <w:r w:rsidRPr="002F036A">
        <w:rPr>
          <w:rFonts w:ascii="Verdana" w:hAnsi="Verdana" w:cs="Segoe UI"/>
          <w:noProof/>
          <w:kern w:val="0"/>
          <w:sz w:val="22"/>
          <w:szCs w:val="22"/>
        </w:rPr>
        <w:t>, 8(1), pp. 146–156. doi: 10.1556/2006.8.2019.10.</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Challet-Bouju, G.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(2020) ‘Impact of Wagering Inducements on the Gambling Behaviors , Cognitions , and Emotions of Online Gamblers : A Randomized Controlled Study’, </w:t>
      </w:r>
      <w:r w:rsidRPr="002F036A">
        <w:rPr>
          <w:rFonts w:ascii="Verdana" w:hAnsi="Verdana" w:cs="Segoe UI"/>
          <w:i/>
          <w:iCs/>
          <w:noProof/>
          <w:kern w:val="0"/>
          <w:sz w:val="22"/>
          <w:szCs w:val="22"/>
        </w:rPr>
        <w:t>Frontiers in Psychiatry</w:t>
      </w:r>
      <w:r w:rsidRPr="002F036A">
        <w:rPr>
          <w:rFonts w:ascii="Verdana" w:hAnsi="Verdana" w:cs="Segoe UI"/>
          <w:noProof/>
          <w:kern w:val="0"/>
          <w:sz w:val="22"/>
          <w:szCs w:val="22"/>
        </w:rPr>
        <w:t>, 11(November), pp. 1–12. doi: 10.3389/fpsyt.2020.593789.</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Clay, J. M.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‘International Journal of Drug Policy The impact of alcohol minimum pricing policies on vulnerable populations and health equity : A rapid review’, </w:t>
      </w:r>
      <w:r w:rsidRPr="002F036A">
        <w:rPr>
          <w:rFonts w:ascii="Verdana" w:hAnsi="Verdana" w:cs="Segoe UI"/>
          <w:i/>
          <w:iCs/>
          <w:noProof/>
          <w:kern w:val="0"/>
          <w:sz w:val="22"/>
          <w:szCs w:val="22"/>
        </w:rPr>
        <w:t>International Journal of Drug Policy</w:t>
      </w:r>
      <w:r w:rsidRPr="002F036A">
        <w:rPr>
          <w:rFonts w:ascii="Verdana" w:hAnsi="Verdana" w:cs="Segoe UI"/>
          <w:noProof/>
          <w:kern w:val="0"/>
          <w:sz w:val="22"/>
          <w:szCs w:val="22"/>
        </w:rPr>
        <w:t>. Elsevier B.V., 145(September), p. 105014. doi: 10.1016/j.drugpo.2025.105014.</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Committee of Advertising Practice (2012) </w:t>
      </w:r>
      <w:r w:rsidRPr="002F036A">
        <w:rPr>
          <w:rFonts w:ascii="Verdana" w:hAnsi="Verdana" w:cs="Segoe UI"/>
          <w:i/>
          <w:iCs/>
          <w:noProof/>
          <w:kern w:val="0"/>
          <w:sz w:val="22"/>
          <w:szCs w:val="22"/>
        </w:rPr>
        <w:t>Advertising in video-on-demand services: Advertising guidnace (non-broadcast)</w:t>
      </w:r>
      <w:r w:rsidRPr="002F036A">
        <w:rPr>
          <w:rFonts w:ascii="Verdana" w:hAnsi="Verdana" w:cs="Segoe UI"/>
          <w:noProof/>
          <w:kern w:val="0"/>
          <w:sz w:val="22"/>
          <w:szCs w:val="22"/>
        </w:rPr>
        <w:t>. London.</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Constandt, B. and De Jans, S. (2024) ‘Insights into the Belgian gambling advertising ban: the need for a comprehensive public policy approach’, </w:t>
      </w:r>
      <w:r w:rsidRPr="002F036A">
        <w:rPr>
          <w:rFonts w:ascii="Verdana" w:hAnsi="Verdana" w:cs="Segoe UI"/>
          <w:i/>
          <w:iCs/>
          <w:noProof/>
          <w:kern w:val="0"/>
          <w:sz w:val="22"/>
          <w:szCs w:val="22"/>
        </w:rPr>
        <w:t>Health Promotion International</w:t>
      </w:r>
      <w:r w:rsidRPr="002F036A">
        <w:rPr>
          <w:rFonts w:ascii="Verdana" w:hAnsi="Verdana" w:cs="Segoe UI"/>
          <w:noProof/>
          <w:kern w:val="0"/>
          <w:sz w:val="22"/>
          <w:szCs w:val="22"/>
        </w:rPr>
        <w:t>.</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Craig, P.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‘Using natural experiments to evaluate population health and health system interventions : new framework for producers and users of evidence’, </w:t>
      </w:r>
      <w:r w:rsidRPr="002F036A">
        <w:rPr>
          <w:rFonts w:ascii="Verdana" w:hAnsi="Verdana" w:cs="Segoe UI"/>
          <w:i/>
          <w:iCs/>
          <w:noProof/>
          <w:kern w:val="0"/>
          <w:sz w:val="22"/>
          <w:szCs w:val="22"/>
        </w:rPr>
        <w:t>BMJ</w:t>
      </w:r>
      <w:r w:rsidRPr="002F036A">
        <w:rPr>
          <w:rFonts w:ascii="Verdana" w:hAnsi="Verdana" w:cs="Segoe UI"/>
          <w:noProof/>
          <w:kern w:val="0"/>
          <w:sz w:val="22"/>
          <w:szCs w:val="22"/>
        </w:rPr>
        <w:t>, pp. 1–11. doi: 10.1136/bmj-2024-080505.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Department for Culture Media &amp; Sport (2023) </w:t>
      </w:r>
      <w:r w:rsidRPr="002F036A">
        <w:rPr>
          <w:rFonts w:ascii="Verdana" w:hAnsi="Verdana" w:cs="Segoe UI"/>
          <w:i/>
          <w:iCs/>
          <w:noProof/>
          <w:kern w:val="0"/>
          <w:sz w:val="22"/>
          <w:szCs w:val="22"/>
        </w:rPr>
        <w:t>High Stakes: Gambling Reform for the Digital Age</w:t>
      </w:r>
      <w:r w:rsidRPr="002F036A">
        <w:rPr>
          <w:rFonts w:ascii="Verdana" w:hAnsi="Verdana" w:cs="Segoe UI"/>
          <w:noProof/>
          <w:kern w:val="0"/>
          <w:sz w:val="22"/>
          <w:szCs w:val="22"/>
        </w:rPr>
        <w:t>. Available at: https://assets.publishing.service.gov.uk/government/uploads/system/uploads/attachment_data/file/1153228/1286-HH-E02769112-Gambling_White_Paper_Book_Accessible1.pdf.</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Department of Health &amp; Social Care (2025) </w:t>
      </w:r>
      <w:r w:rsidRPr="002F036A">
        <w:rPr>
          <w:rFonts w:ascii="Verdana" w:hAnsi="Verdana" w:cs="Segoe UI"/>
          <w:i/>
          <w:iCs/>
          <w:noProof/>
          <w:kern w:val="0"/>
          <w:sz w:val="22"/>
          <w:szCs w:val="22"/>
        </w:rPr>
        <w:t>Restricting advertising of less healthy food or drink on TV and online: products in scope</w:t>
      </w:r>
      <w:r w:rsidRPr="002F036A">
        <w:rPr>
          <w:rFonts w:ascii="Verdana" w:hAnsi="Verdana" w:cs="Segoe UI"/>
          <w:noProof/>
          <w:kern w:val="0"/>
          <w:sz w:val="22"/>
          <w:szCs w:val="22"/>
        </w:rPr>
        <w:t>. London.</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Department of Social Services (2022) </w:t>
      </w:r>
      <w:r w:rsidRPr="002F036A">
        <w:rPr>
          <w:rFonts w:ascii="Verdana" w:hAnsi="Verdana" w:cs="Segoe UI"/>
          <w:i/>
          <w:iCs/>
          <w:noProof/>
          <w:kern w:val="0"/>
          <w:sz w:val="22"/>
          <w:szCs w:val="22"/>
        </w:rPr>
        <w:t>National Consumer Protection Framework for Online Wagering in Australia – National Policy Statement</w:t>
      </w:r>
      <w:r w:rsidRPr="002F036A">
        <w:rPr>
          <w:rFonts w:ascii="Verdana" w:hAnsi="Verdana" w:cs="Segoe UI"/>
          <w:noProof/>
          <w:kern w:val="0"/>
          <w:sz w:val="22"/>
          <w:szCs w:val="22"/>
        </w:rPr>
        <w:t>. Canberra. Available at: https://www.dss.gov.au/system/files/resources/national-policy-statement-updated-3-may-2022.pdf.</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Gainsbury, S. M.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(2018) ‘Consumer engagement with and perceptions of offshore online gambling sites’, </w:t>
      </w:r>
      <w:r w:rsidRPr="002F036A">
        <w:rPr>
          <w:rFonts w:ascii="Verdana" w:hAnsi="Verdana" w:cs="Segoe UI"/>
          <w:i/>
          <w:iCs/>
          <w:noProof/>
          <w:kern w:val="0"/>
          <w:sz w:val="22"/>
          <w:szCs w:val="22"/>
        </w:rPr>
        <w:t>New Media and Society</w:t>
      </w:r>
      <w:r w:rsidRPr="002F036A">
        <w:rPr>
          <w:rFonts w:ascii="Verdana" w:hAnsi="Verdana" w:cs="Segoe UI"/>
          <w:noProof/>
          <w:kern w:val="0"/>
          <w:sz w:val="22"/>
          <w:szCs w:val="22"/>
        </w:rPr>
        <w:t>, 20(8), pp. 2990–3010. doi: 10.1177/1461444817738783.</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Gambling Commission (2023) </w:t>
      </w:r>
      <w:r w:rsidRPr="002F036A">
        <w:rPr>
          <w:rFonts w:ascii="Verdana" w:hAnsi="Verdana" w:cs="Segoe UI"/>
          <w:i/>
          <w:iCs/>
          <w:noProof/>
          <w:kern w:val="0"/>
          <w:sz w:val="22"/>
          <w:szCs w:val="22"/>
        </w:rPr>
        <w:t>Consumer experiences and attitudes to Free Bets &amp; Bonuses</w:t>
      </w:r>
      <w:r w:rsidRPr="002F036A">
        <w:rPr>
          <w:rFonts w:ascii="Verdana" w:hAnsi="Verdana" w:cs="Segoe UI"/>
          <w:noProof/>
          <w:kern w:val="0"/>
          <w:sz w:val="22"/>
          <w:szCs w:val="22"/>
        </w:rPr>
        <w:t>. Birmingham, UK. Available at: https://www.gamblingcommission.gov.uk/about-us/print/consumer-experiences-and-attitudes-to-free-bets-and-bonuses.</w:t>
      </w:r>
    </w:p>
    <w:p w:rsidR="008D2F6C" w:rsidRPr="002F036A" w:rsidP="002F036A">
      <w:pPr>
        <w:widowControl w:val="0"/>
        <w:autoSpaceDE w:val="0"/>
        <w:autoSpaceDN w:val="0"/>
        <w:adjustRightInd w:val="0"/>
        <w:spacing w:line="240" w:lineRule="auto"/>
        <w:rPr>
          <w:rFonts w:ascii="Verdana" w:hAnsi="Verdana" w:cs="Segoe UI"/>
          <w:b/>
          <w:bCs/>
          <w:noProof/>
          <w:kern w:val="0"/>
          <w:sz w:val="22"/>
          <w:szCs w:val="22"/>
        </w:rPr>
      </w:pPr>
      <w:r w:rsidRPr="002F036A">
        <w:rPr>
          <w:rFonts w:ascii="Verdana" w:hAnsi="Verdana" w:cs="Segoe UI"/>
          <w:noProof/>
          <w:kern w:val="0"/>
          <w:sz w:val="22"/>
          <w:szCs w:val="22"/>
        </w:rPr>
        <w:t>Gambling Commission (2025) Illegal online gambling: Consumer awareness, drivers and motivations. Available at:</w:t>
      </w:r>
      <w:r w:rsidRPr="002F036A">
        <w:rPr>
          <w:rFonts w:ascii="Verdana" w:hAnsi="Verdana"/>
          <w:sz w:val="22"/>
          <w:szCs w:val="22"/>
        </w:rPr>
        <w:t xml:space="preserve"> </w:t>
      </w:r>
      <w:r w:rsidRPr="002F036A">
        <w:rPr>
          <w:rFonts w:ascii="Verdana" w:hAnsi="Verdana" w:cs="Segoe UI"/>
          <w:noProof/>
          <w:kern w:val="0"/>
          <w:sz w:val="22"/>
          <w:szCs w:val="22"/>
        </w:rPr>
        <w:t>https://www.gamblingcommission.gov.uk/report/illegal-online-gambling-consumer-awareness-drivers-and-motivations/illegal-online-gambling-consumer-awareness-drivers-and-motivations-overview</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Gambling Commission (2026) </w:t>
      </w:r>
      <w:r w:rsidRPr="002F036A">
        <w:rPr>
          <w:rFonts w:ascii="Verdana" w:hAnsi="Verdana" w:cs="Segoe UI"/>
          <w:i/>
          <w:iCs/>
          <w:noProof/>
          <w:kern w:val="0"/>
          <w:sz w:val="22"/>
          <w:szCs w:val="22"/>
        </w:rPr>
        <w:t>ICE Barcelona 2026 - Tim Miller Speech</w:t>
      </w:r>
      <w:r w:rsidRPr="002F036A">
        <w:rPr>
          <w:rFonts w:ascii="Verdana" w:hAnsi="Verdana" w:cs="Segoe UI"/>
          <w:noProof/>
          <w:kern w:val="0"/>
          <w:sz w:val="22"/>
          <w:szCs w:val="22"/>
        </w:rPr>
        <w:t xml:space="preserve">, </w:t>
      </w:r>
      <w:r w:rsidRPr="002F036A">
        <w:rPr>
          <w:rFonts w:ascii="Verdana" w:hAnsi="Verdana" w:cs="Segoe UI"/>
          <w:i/>
          <w:iCs/>
          <w:noProof/>
          <w:kern w:val="0"/>
          <w:sz w:val="22"/>
          <w:szCs w:val="22"/>
        </w:rPr>
        <w:t>https://www.gamblingcommission.gov.uk/news/</w:t>
      </w:r>
      <w:r w:rsidRPr="002F036A">
        <w:rPr>
          <w:rFonts w:ascii="Verdana" w:hAnsi="Verdana" w:cs="Segoe UI"/>
          <w:noProof/>
          <w:kern w:val="0"/>
          <w:sz w:val="22"/>
          <w:szCs w:val="22"/>
        </w:rPr>
        <w:t>. Available at: https://www.gamblingcommission.gov.uk/news/article/ice-barcelona-2026-tim-miller-speech.</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Garcia-Perez, A., Krotter, A. and Aonso-Diego, G. (2024) ‘The impact of gambling advertising and marketing on online gambling behavior : an analysis based on Spanish data’, </w:t>
      </w:r>
      <w:r w:rsidRPr="002F036A">
        <w:rPr>
          <w:rFonts w:ascii="Verdana" w:hAnsi="Verdana" w:cs="Segoe UI"/>
          <w:i/>
          <w:iCs/>
          <w:noProof/>
          <w:kern w:val="0"/>
          <w:sz w:val="22"/>
          <w:szCs w:val="22"/>
        </w:rPr>
        <w:t>Public Health</w:t>
      </w:r>
      <w:r w:rsidRPr="002F036A">
        <w:rPr>
          <w:rFonts w:ascii="Verdana" w:hAnsi="Verdana" w:cs="Segoe UI"/>
          <w:noProof/>
          <w:kern w:val="0"/>
          <w:sz w:val="22"/>
          <w:szCs w:val="22"/>
        </w:rPr>
        <w:t>, 234, pp. 170–177. doi: 10.1016/j.puhe.2024.06.025.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Gordon, R., Mackintosh, A. M. and Moodie, C. (2010) ‘The Impact of Alcohol Marketing on Youth Drinking Behaviour : A Two-stage Cohort Study’, </w:t>
      </w:r>
      <w:r w:rsidRPr="002F036A">
        <w:rPr>
          <w:rFonts w:ascii="Verdana" w:hAnsi="Verdana" w:cs="Segoe UI"/>
          <w:i/>
          <w:iCs/>
          <w:noProof/>
          <w:kern w:val="0"/>
          <w:sz w:val="22"/>
          <w:szCs w:val="22"/>
        </w:rPr>
        <w:t>Alcohol &amp; Alcoholism</w:t>
      </w:r>
      <w:r w:rsidRPr="002F036A">
        <w:rPr>
          <w:rFonts w:ascii="Verdana" w:hAnsi="Verdana" w:cs="Segoe UI"/>
          <w:noProof/>
          <w:kern w:val="0"/>
          <w:sz w:val="22"/>
          <w:szCs w:val="22"/>
        </w:rPr>
        <w:t>, 45(5), pp. 470–480. doi: 10.1093/alcalc/agq047.</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Hagfors, H., Oksanen, A. and Salonen, A. H. (2024) ‘Gambling Motives and Offshore Gambling : A Finnish Population Study’, </w:t>
      </w:r>
      <w:r w:rsidRPr="002F036A">
        <w:rPr>
          <w:rFonts w:ascii="Verdana" w:hAnsi="Verdana" w:cs="Segoe UI"/>
          <w:i/>
          <w:iCs/>
          <w:noProof/>
          <w:kern w:val="0"/>
          <w:sz w:val="22"/>
          <w:szCs w:val="22"/>
        </w:rPr>
        <w:t>Journal of Gambling Studies</w:t>
      </w:r>
      <w:r w:rsidRPr="002F036A">
        <w:rPr>
          <w:rFonts w:ascii="Verdana" w:hAnsi="Verdana" w:cs="Segoe UI"/>
          <w:noProof/>
          <w:kern w:val="0"/>
          <w:sz w:val="22"/>
          <w:szCs w:val="22"/>
        </w:rPr>
        <w:t>, 40, pp. 825–840.</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Håkansson, A. and Widinghoff, C. (2019) ‘Television gambling advertisements: Extent and content of gambling advertisements with a focus on potential high-</w:t>
      </w:r>
      <w:r w:rsidRPr="002F036A">
        <w:rPr>
          <w:rFonts w:ascii="Verdana" w:hAnsi="Verdana" w:cs="Segoe UI"/>
          <w:noProof/>
          <w:kern w:val="0"/>
          <w:sz w:val="22"/>
          <w:szCs w:val="22"/>
        </w:rPr>
        <w:t xml:space="preserve">risk commercial messages’, </w:t>
      </w:r>
      <w:r w:rsidRPr="002F036A">
        <w:rPr>
          <w:rFonts w:ascii="Verdana" w:hAnsi="Verdana" w:cs="Segoe UI"/>
          <w:i/>
          <w:iCs/>
          <w:noProof/>
          <w:kern w:val="0"/>
          <w:sz w:val="22"/>
          <w:szCs w:val="22"/>
        </w:rPr>
        <w:t>Addictive Behaviors Reports</w:t>
      </w:r>
      <w:r w:rsidRPr="002F036A">
        <w:rPr>
          <w:rFonts w:ascii="Verdana" w:hAnsi="Verdana" w:cs="Segoe UI"/>
          <w:noProof/>
          <w:kern w:val="0"/>
          <w:sz w:val="22"/>
          <w:szCs w:val="22"/>
        </w:rPr>
        <w:t>, 9(March). doi: 10.1016/j.abrep.2019.100182.</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Han, Q., Yang, J. and Simonov, A. (2025) </w:t>
      </w:r>
      <w:r w:rsidRPr="002F036A">
        <w:rPr>
          <w:rFonts w:ascii="Verdana" w:hAnsi="Verdana" w:cs="Segoe UI"/>
          <w:i/>
          <w:iCs/>
          <w:noProof/>
          <w:kern w:val="0"/>
          <w:sz w:val="22"/>
          <w:szCs w:val="22"/>
        </w:rPr>
        <w:t xml:space="preserve">The Impact of Banning Online Gambling Livestreams: Evidence from Twitch. tv </w:t>
      </w:r>
      <w:r w:rsidRPr="002F036A">
        <w:rPr>
          <w:rFonts w:ascii="Cambria Math" w:hAnsi="Cambria Math" w:cs="Cambria Math"/>
          <w:i/>
          <w:iCs/>
          <w:noProof/>
          <w:kern w:val="0"/>
          <w:sz w:val="22"/>
          <w:szCs w:val="22"/>
        </w:rPr>
        <w:t>∗</w:t>
      </w:r>
      <w:r w:rsidRPr="002F036A">
        <w:rPr>
          <w:rFonts w:ascii="Verdana" w:hAnsi="Verdana" w:cs="Segoe UI"/>
          <w:noProof/>
          <w:kern w:val="0"/>
          <w:sz w:val="22"/>
          <w:szCs w:val="22"/>
        </w:rPr>
        <w:t>. No. 5298054. New York.</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Harris, F.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(2006) ‘Effects of the 2003 advertising/promotion ban in the United Kingdom on awareness of tobacco marketing: findings from the International Tobacco Control (ITC) Four Country Survey’, </w:t>
      </w:r>
      <w:r w:rsidRPr="002F036A">
        <w:rPr>
          <w:rFonts w:ascii="Verdana" w:hAnsi="Verdana" w:cs="Segoe UI"/>
          <w:i/>
          <w:iCs/>
          <w:noProof/>
          <w:kern w:val="0"/>
          <w:sz w:val="22"/>
          <w:szCs w:val="22"/>
        </w:rPr>
        <w:t>Tobacco Control</w:t>
      </w:r>
      <w:r w:rsidRPr="002F036A">
        <w:rPr>
          <w:rFonts w:ascii="Verdana" w:hAnsi="Verdana" w:cs="Segoe UI"/>
          <w:noProof/>
          <w:kern w:val="0"/>
          <w:sz w:val="22"/>
          <w:szCs w:val="22"/>
        </w:rPr>
        <w:t>, Suppl III, pp. iii26–iii33. doi: 10.1136/tc.2005.013110.</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Heath, C.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‘Loopholes and logos: How “decoy brands ” perpetuate gambling advertising in Italian football’, </w:t>
      </w:r>
      <w:r w:rsidRPr="002F036A">
        <w:rPr>
          <w:rFonts w:ascii="Verdana" w:hAnsi="Verdana" w:cs="Segoe UI"/>
          <w:i/>
          <w:iCs/>
          <w:noProof/>
          <w:kern w:val="0"/>
          <w:sz w:val="22"/>
          <w:szCs w:val="22"/>
        </w:rPr>
        <w:t>Journal of Gambling Issues</w:t>
      </w:r>
      <w:r w:rsidRPr="002F036A">
        <w:rPr>
          <w:rFonts w:ascii="Verdana" w:hAnsi="Verdana" w:cs="Segoe UI"/>
          <w:noProof/>
          <w:kern w:val="0"/>
          <w:sz w:val="22"/>
          <w:szCs w:val="22"/>
        </w:rPr>
        <w:t>, pp. 2–7.</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Hill, A. B. (1965) ‘The environment and disease: Association or causation?’, </w:t>
      </w:r>
      <w:r w:rsidRPr="002F036A">
        <w:rPr>
          <w:rFonts w:ascii="Verdana" w:hAnsi="Verdana" w:cs="Segoe UI"/>
          <w:i/>
          <w:iCs/>
          <w:noProof/>
          <w:kern w:val="0"/>
          <w:sz w:val="22"/>
          <w:szCs w:val="22"/>
        </w:rPr>
        <w:t>Proceedings of the Royal Society of Medicine</w:t>
      </w:r>
      <w:r w:rsidRPr="002F036A">
        <w:rPr>
          <w:rFonts w:ascii="Verdana" w:hAnsi="Verdana" w:cs="Segoe UI"/>
          <w:noProof/>
          <w:kern w:val="0"/>
          <w:sz w:val="22"/>
          <w:szCs w:val="22"/>
        </w:rPr>
        <w:t>, 58(5), pp. 295–300. doi: 10.1177/003591576505800503.</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Hodgins, D. C.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‘Lower-risk gambling limits : linked analyses across eight countries’, </w:t>
      </w:r>
      <w:r w:rsidRPr="002F036A">
        <w:rPr>
          <w:rFonts w:ascii="Verdana" w:hAnsi="Verdana" w:cs="Segoe UI"/>
          <w:i/>
          <w:iCs/>
          <w:noProof/>
          <w:kern w:val="0"/>
          <w:sz w:val="22"/>
          <w:szCs w:val="22"/>
        </w:rPr>
        <w:t>International Gambling Studies</w:t>
      </w:r>
      <w:r w:rsidRPr="002F036A">
        <w:rPr>
          <w:rFonts w:ascii="Verdana" w:hAnsi="Verdana" w:cs="Segoe UI"/>
          <w:noProof/>
          <w:kern w:val="0"/>
          <w:sz w:val="22"/>
          <w:szCs w:val="22"/>
        </w:rPr>
        <w:t>. Routledge, 23(2), pp. 328–344. doi: 10.1080/14459795.2022.2143546.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Hörnle, J. and Carran, M. A. (2018) ‘A sieve that does hold a little water – gambling advertising and protection of the vulnerable in the UK’, </w:t>
      </w:r>
      <w:r w:rsidRPr="002F036A">
        <w:rPr>
          <w:rFonts w:ascii="Verdana" w:hAnsi="Verdana" w:cs="Segoe UI"/>
          <w:i/>
          <w:iCs/>
          <w:noProof/>
          <w:kern w:val="0"/>
          <w:sz w:val="22"/>
          <w:szCs w:val="22"/>
        </w:rPr>
        <w:t>Legal Studies</w:t>
      </w:r>
      <w:r w:rsidRPr="002F036A">
        <w:rPr>
          <w:rFonts w:ascii="Verdana" w:hAnsi="Verdana" w:cs="Segoe UI"/>
          <w:noProof/>
          <w:kern w:val="0"/>
          <w:sz w:val="22"/>
          <w:szCs w:val="22"/>
        </w:rPr>
        <w:t>, 38, pp. 529–548. doi: 10.1017/lst.2018.5.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House of Representatives Standing Committee on Social Policy and Legal Affiars (2023) </w:t>
      </w:r>
      <w:r w:rsidRPr="002F036A">
        <w:rPr>
          <w:rFonts w:ascii="Verdana" w:hAnsi="Verdana" w:cs="Segoe UI"/>
          <w:i/>
          <w:iCs/>
          <w:noProof/>
          <w:kern w:val="0"/>
          <w:sz w:val="22"/>
          <w:szCs w:val="22"/>
        </w:rPr>
        <w:t>You win some, you lose more: Online gambling and its impacts on those expeiencing gambling harm</w:t>
      </w:r>
      <w:r w:rsidRPr="002F036A">
        <w:rPr>
          <w:rFonts w:ascii="Verdana" w:hAnsi="Verdana" w:cs="Segoe UI"/>
          <w:noProof/>
          <w:kern w:val="0"/>
          <w:sz w:val="22"/>
          <w:szCs w:val="22"/>
        </w:rPr>
        <w:t>. Canberra: Commonwealth of Australia.</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Hughes, C.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‘The experiences and engagement patterns of young adults who regularly view gambling livestreams : a qualitative interview study’, </w:t>
      </w:r>
      <w:r w:rsidRPr="002F036A">
        <w:rPr>
          <w:rFonts w:ascii="Verdana" w:hAnsi="Verdana" w:cs="Segoe UI"/>
          <w:i/>
          <w:iCs/>
          <w:noProof/>
          <w:kern w:val="0"/>
          <w:sz w:val="22"/>
          <w:szCs w:val="22"/>
        </w:rPr>
        <w:t>Addiction Research &amp; Theory</w:t>
      </w:r>
      <w:r w:rsidRPr="002F036A">
        <w:rPr>
          <w:rFonts w:ascii="Verdana" w:hAnsi="Verdana" w:cs="Segoe UI"/>
          <w:noProof/>
          <w:kern w:val="0"/>
          <w:sz w:val="22"/>
          <w:szCs w:val="22"/>
        </w:rPr>
        <w:t>. Taylor &amp; Francis, 34(3), pp. 327–339. doi: 10.1080/16066359.2025.2567270.</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Itv.com (2025a) </w:t>
      </w:r>
      <w:r w:rsidRPr="002F036A">
        <w:rPr>
          <w:rFonts w:ascii="Verdana" w:hAnsi="Verdana" w:cs="Segoe UI"/>
          <w:i/>
          <w:iCs/>
          <w:noProof/>
          <w:kern w:val="0"/>
          <w:sz w:val="22"/>
          <w:szCs w:val="22"/>
        </w:rPr>
        <w:t>I’m A Celebrity … Get Me Out Of Here! Returns With Biggest Entertainment Launch On Any Channel in</w:t>
      </w:r>
      <w:r w:rsidRPr="002F036A">
        <w:rPr>
          <w:rFonts w:ascii="Verdana" w:hAnsi="Verdana" w:cs="Segoe UI"/>
          <w:noProof/>
          <w:kern w:val="0"/>
          <w:sz w:val="22"/>
          <w:szCs w:val="22"/>
        </w:rPr>
        <w:t xml:space="preserve">, </w:t>
      </w:r>
      <w:r w:rsidRPr="002F036A">
        <w:rPr>
          <w:rFonts w:ascii="Verdana" w:hAnsi="Verdana" w:cs="Segoe UI"/>
          <w:i/>
          <w:iCs/>
          <w:noProof/>
          <w:kern w:val="0"/>
          <w:sz w:val="22"/>
          <w:szCs w:val="22"/>
        </w:rPr>
        <w:t>itv.com</w:t>
      </w:r>
      <w:r w:rsidRPr="002F036A">
        <w:rPr>
          <w:rFonts w:ascii="Verdana" w:hAnsi="Verdana" w:cs="Segoe UI"/>
          <w:noProof/>
          <w:kern w:val="0"/>
          <w:sz w:val="22"/>
          <w:szCs w:val="22"/>
        </w:rPr>
        <w:t>. Available at: https://www.itv.com/presscentre/media-releases/im-celebrityget-me-out-here-returns-biggest-entertainment-launch-any-channel-2025.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Itv.com (2025b) </w:t>
      </w:r>
      <w:r w:rsidRPr="002F036A">
        <w:rPr>
          <w:rFonts w:ascii="Verdana" w:hAnsi="Verdana" w:cs="Segoe UI"/>
          <w:i/>
          <w:iCs/>
          <w:noProof/>
          <w:kern w:val="0"/>
          <w:sz w:val="22"/>
          <w:szCs w:val="22"/>
        </w:rPr>
        <w:t>I’m A Celebrity Launch Consolidates With 10. 8 Million</w:t>
      </w:r>
      <w:r w:rsidRPr="002F036A">
        <w:rPr>
          <w:rFonts w:ascii="Verdana" w:hAnsi="Verdana" w:cs="Segoe UI"/>
          <w:noProof/>
          <w:kern w:val="0"/>
          <w:sz w:val="22"/>
          <w:szCs w:val="22"/>
        </w:rPr>
        <w:t xml:space="preserve">, </w:t>
      </w:r>
      <w:r w:rsidRPr="002F036A">
        <w:rPr>
          <w:rFonts w:ascii="Verdana" w:hAnsi="Verdana" w:cs="Segoe UI"/>
          <w:i/>
          <w:iCs/>
          <w:noProof/>
          <w:kern w:val="0"/>
          <w:sz w:val="22"/>
          <w:szCs w:val="22"/>
        </w:rPr>
        <w:t>itv.com</w:t>
      </w:r>
      <w:r w:rsidRPr="002F036A">
        <w:rPr>
          <w:rFonts w:ascii="Verdana" w:hAnsi="Verdana" w:cs="Segoe UI"/>
          <w:noProof/>
          <w:kern w:val="0"/>
          <w:sz w:val="22"/>
          <w:szCs w:val="22"/>
        </w:rPr>
        <w:t>. Available at: https://www.itv.com/presscentre/media-releases/im-celebrity-launch-consolidates-108-million.</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Jääskeläinen, P., Kivistö, M. &amp; Marionneau, V. (forthcoming). U. review. (no date) ‘How does gambling marketing affect behaviours and attitudes? A systematic review of qualitative studies (forthcoming)’.</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Jääskeläinen, P. P. and Marionneau, V. K. (2025) ‘Gambling marketing in Finland : Experiences of exposure and regulation among Finnish individuals who gamble regularly’, </w:t>
      </w:r>
      <w:r w:rsidRPr="002F036A">
        <w:rPr>
          <w:rFonts w:ascii="Verdana" w:hAnsi="Verdana" w:cs="Segoe UI"/>
          <w:i/>
          <w:iCs/>
          <w:noProof/>
          <w:kern w:val="0"/>
          <w:sz w:val="22"/>
          <w:szCs w:val="22"/>
        </w:rPr>
        <w:t>Scandinavian Journal of Public Health</w:t>
      </w:r>
      <w:r w:rsidRPr="002F036A">
        <w:rPr>
          <w:rFonts w:ascii="Verdana" w:hAnsi="Verdana" w:cs="Segoe UI"/>
          <w:noProof/>
          <w:kern w:val="0"/>
          <w:sz w:val="22"/>
          <w:szCs w:val="22"/>
        </w:rPr>
        <w:t>, (October), pp. 1–9. doi: 10.1177/14034948251394913.</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Kesaite, V., Wardle, H. and Rossow, I. (2023) ‘Gambling consumption and harm: a systematic review of the evidence’, </w:t>
      </w:r>
      <w:r w:rsidRPr="002F036A">
        <w:rPr>
          <w:rFonts w:ascii="Verdana" w:hAnsi="Verdana" w:cs="Segoe UI"/>
          <w:i/>
          <w:iCs/>
          <w:noProof/>
          <w:kern w:val="0"/>
          <w:sz w:val="22"/>
          <w:szCs w:val="22"/>
        </w:rPr>
        <w:t>Addiction Research and Theory</w:t>
      </w:r>
      <w:r w:rsidRPr="002F036A">
        <w:rPr>
          <w:rFonts w:ascii="Verdana" w:hAnsi="Verdana" w:cs="Segoe UI"/>
          <w:noProof/>
          <w:kern w:val="0"/>
          <w:sz w:val="22"/>
          <w:szCs w:val="22"/>
        </w:rPr>
        <w:t>. Taylor &amp; Francis, 0(0), pp. 1–10. doi: 10.1080/16066359.2023.2238608.</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Lovato, C., Watts, A. and Lf, S. (2011) ‘Impact of tobacco advertising and promotion on increasing adolescent smoking behaviours (Review)’, </w:t>
      </w:r>
      <w:r w:rsidRPr="002F036A">
        <w:rPr>
          <w:rFonts w:ascii="Verdana" w:hAnsi="Verdana" w:cs="Segoe UI"/>
          <w:i/>
          <w:iCs/>
          <w:noProof/>
          <w:kern w:val="0"/>
          <w:sz w:val="22"/>
          <w:szCs w:val="22"/>
        </w:rPr>
        <w:t>Cochrane Database of Systematic Reviews</w:t>
      </w:r>
      <w:r w:rsidRPr="002F036A">
        <w:rPr>
          <w:rFonts w:ascii="Verdana" w:hAnsi="Verdana" w:cs="Segoe UI"/>
          <w:noProof/>
          <w:kern w:val="0"/>
          <w:sz w:val="22"/>
          <w:szCs w:val="22"/>
        </w:rPr>
        <w:t>, (10), p. CD003439. doi: 10.1002/14651858.CD003439.pub2.www.cochranelibrary.com.</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Luke, E. (2023) </w:t>
      </w:r>
      <w:r w:rsidRPr="002F036A">
        <w:rPr>
          <w:rFonts w:ascii="Verdana" w:hAnsi="Verdana" w:cs="Segoe UI"/>
          <w:i/>
          <w:iCs/>
          <w:noProof/>
          <w:kern w:val="0"/>
          <w:sz w:val="22"/>
          <w:szCs w:val="22"/>
        </w:rPr>
        <w:t>tombola announces I’m A Celebrity … Get Me Out of Here! sponsorship for 7th year</w:t>
      </w:r>
      <w:r w:rsidRPr="002F036A">
        <w:rPr>
          <w:rFonts w:ascii="Verdana" w:hAnsi="Verdana" w:cs="Segoe UI"/>
          <w:noProof/>
          <w:kern w:val="0"/>
          <w:sz w:val="22"/>
          <w:szCs w:val="22"/>
        </w:rPr>
        <w:t xml:space="preserve">, </w:t>
      </w:r>
      <w:r w:rsidRPr="002F036A">
        <w:rPr>
          <w:rFonts w:ascii="Verdana" w:hAnsi="Verdana" w:cs="Segoe UI"/>
          <w:i/>
          <w:iCs/>
          <w:noProof/>
          <w:kern w:val="0"/>
          <w:sz w:val="22"/>
          <w:szCs w:val="22"/>
        </w:rPr>
        <w:t>tombola.careers</w:t>
      </w:r>
      <w:r w:rsidRPr="002F036A">
        <w:rPr>
          <w:rFonts w:ascii="Verdana" w:hAnsi="Verdana" w:cs="Segoe UI"/>
          <w:noProof/>
          <w:kern w:val="0"/>
          <w:sz w:val="22"/>
          <w:szCs w:val="22"/>
        </w:rPr>
        <w:t>. Available at: https://www.tombola.careers/posts/tombola-announces-i-m-a-celebrity-get-me-out-of-here-sponsorship-for-7th-year.</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Marionneau, V.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‘Regulations on gambling advertising in Europe : a comparative policy review Regulations on gambling advertising in Europe : a comparative policy review ABSTRACT’, </w:t>
      </w:r>
      <w:r w:rsidRPr="002F036A">
        <w:rPr>
          <w:rFonts w:ascii="Verdana" w:hAnsi="Verdana" w:cs="Segoe UI"/>
          <w:i/>
          <w:iCs/>
          <w:noProof/>
          <w:kern w:val="0"/>
          <w:sz w:val="22"/>
          <w:szCs w:val="22"/>
        </w:rPr>
        <w:t>International Gambling Studies</w:t>
      </w:r>
      <w:r w:rsidRPr="002F036A">
        <w:rPr>
          <w:rFonts w:ascii="Verdana" w:hAnsi="Verdana" w:cs="Segoe UI"/>
          <w:noProof/>
          <w:kern w:val="0"/>
          <w:sz w:val="22"/>
          <w:szCs w:val="22"/>
        </w:rPr>
        <w:t>. Routledge, 00(00), pp. 1–27. doi: 10.1080/14459795.2026.2682456.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Mcgrane, E., Pryce, R., Wilson, L.,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‘How did the “ whistle-to-whistle ” ban affect gambling advertising on TV ? A live football matching study’, </w:t>
      </w:r>
      <w:r w:rsidRPr="002F036A">
        <w:rPr>
          <w:rFonts w:ascii="Verdana" w:hAnsi="Verdana" w:cs="Segoe UI"/>
          <w:i/>
          <w:iCs/>
          <w:noProof/>
          <w:kern w:val="0"/>
          <w:sz w:val="22"/>
          <w:szCs w:val="22"/>
        </w:rPr>
        <w:t>Addiction Research &amp; Theory</w:t>
      </w:r>
      <w:r w:rsidRPr="002F036A">
        <w:rPr>
          <w:rFonts w:ascii="Verdana" w:hAnsi="Verdana" w:cs="Segoe UI"/>
          <w:noProof/>
          <w:kern w:val="0"/>
          <w:sz w:val="22"/>
          <w:szCs w:val="22"/>
        </w:rPr>
        <w:t>. Taylor &amp; Francis, 33(2), pp. 134–142. doi: 10.1080/16066359.2024.2355183.</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Mcgrane, E., Pryce, R., Field, M.,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‘The association between the “whistle-to-whistle” ban and the presence of gambling advertising on UK television’, </w:t>
      </w:r>
      <w:r w:rsidRPr="002F036A">
        <w:rPr>
          <w:rFonts w:ascii="Verdana" w:hAnsi="Verdana" w:cs="Segoe UI"/>
          <w:i/>
          <w:iCs/>
          <w:noProof/>
          <w:kern w:val="0"/>
          <w:sz w:val="22"/>
          <w:szCs w:val="22"/>
        </w:rPr>
        <w:t>Addiction Research &amp; Theory</w:t>
      </w:r>
      <w:r w:rsidRPr="002F036A">
        <w:rPr>
          <w:rFonts w:ascii="Verdana" w:hAnsi="Verdana" w:cs="Segoe UI"/>
          <w:noProof/>
          <w:kern w:val="0"/>
          <w:sz w:val="22"/>
          <w:szCs w:val="22"/>
        </w:rPr>
        <w:t>. Taylor &amp; Francis, 33(4), pp. 302–311. doi: 10.1080/16066359.2024.2444224.</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Mcgrane, E., Pryce, R., Moore, E. C.,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‘What is the impact of sports-related gambling advertising on gambling behaviour ? A systematic review Search strategy’, </w:t>
      </w:r>
      <w:r w:rsidRPr="002F036A">
        <w:rPr>
          <w:rFonts w:ascii="Verdana" w:hAnsi="Verdana" w:cs="Segoe UI"/>
          <w:i/>
          <w:iCs/>
          <w:noProof/>
          <w:kern w:val="0"/>
          <w:sz w:val="22"/>
          <w:szCs w:val="22"/>
        </w:rPr>
        <w:t>Addiction</w:t>
      </w:r>
      <w:r w:rsidRPr="002F036A">
        <w:rPr>
          <w:rFonts w:ascii="Verdana" w:hAnsi="Verdana" w:cs="Segoe UI"/>
          <w:noProof/>
          <w:kern w:val="0"/>
          <w:sz w:val="22"/>
          <w:szCs w:val="22"/>
        </w:rPr>
        <w:t>, (July 2024), pp. 589–607. doi: 10.1111/add.16761.</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Mcgrane, E.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‘The effect of television advertising on gambling behaviour : a quasi-experimental study during the 2022 Qatar FIFA World Cup’, </w:t>
      </w:r>
      <w:r w:rsidRPr="002F036A">
        <w:rPr>
          <w:rFonts w:ascii="Verdana" w:hAnsi="Verdana" w:cs="Segoe UI"/>
          <w:i/>
          <w:iCs/>
          <w:noProof/>
          <w:kern w:val="0"/>
          <w:sz w:val="22"/>
          <w:szCs w:val="22"/>
        </w:rPr>
        <w:t>Addictive Behaviors Reports</w:t>
      </w:r>
      <w:r w:rsidRPr="002F036A">
        <w:rPr>
          <w:rFonts w:ascii="Verdana" w:hAnsi="Verdana" w:cs="Segoe UI"/>
          <w:noProof/>
          <w:kern w:val="0"/>
          <w:sz w:val="22"/>
          <w:szCs w:val="22"/>
        </w:rPr>
        <w:t>. Elsevier Ltd, 23(January), p. 100666. doi: 10.1016/j.abrep.2026.100666.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McGrane, E.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‘What is the evidence that advertising policies could have an impact on gambling-related harms? A systematic umbrella review of the literature’, </w:t>
      </w:r>
      <w:r w:rsidRPr="002F036A">
        <w:rPr>
          <w:rFonts w:ascii="Verdana" w:hAnsi="Verdana" w:cs="Segoe UI"/>
          <w:i/>
          <w:iCs/>
          <w:noProof/>
          <w:kern w:val="0"/>
          <w:sz w:val="22"/>
          <w:szCs w:val="22"/>
        </w:rPr>
        <w:t>Public Health</w:t>
      </w:r>
      <w:r w:rsidRPr="002F036A">
        <w:rPr>
          <w:rFonts w:ascii="Verdana" w:hAnsi="Verdana" w:cs="Segoe UI"/>
          <w:noProof/>
          <w:kern w:val="0"/>
          <w:sz w:val="22"/>
          <w:szCs w:val="22"/>
        </w:rPr>
        <w:t>. The Author(s), 215, pp. 124–130. doi: 10.1016/j.puhe.2022.11.019.</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van Montfoort, D. P. M. (2025) </w:t>
      </w:r>
      <w:r w:rsidRPr="002F036A">
        <w:rPr>
          <w:rFonts w:ascii="Verdana" w:hAnsi="Verdana" w:cs="Segoe UI"/>
          <w:i/>
          <w:iCs/>
          <w:noProof/>
          <w:kern w:val="0"/>
          <w:sz w:val="22"/>
          <w:szCs w:val="22"/>
        </w:rPr>
        <w:t>Gambling Advertising in Transition: How Dutch Regulatory Changes Reshaped Gambling Marketing Strategies</w:t>
      </w:r>
      <w:r w:rsidRPr="002F036A">
        <w:rPr>
          <w:rFonts w:ascii="Verdana" w:hAnsi="Verdana" w:cs="Segoe UI"/>
          <w:noProof/>
          <w:kern w:val="0"/>
          <w:sz w:val="22"/>
          <w:szCs w:val="22"/>
        </w:rPr>
        <w:t>. University of Twente.</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Morris, D.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‘Modelling the economic effects of reducing the consumption of unhealthy commodities: An inter-sectoral input – output approach’, </w:t>
      </w:r>
      <w:r w:rsidRPr="002F036A">
        <w:rPr>
          <w:rFonts w:ascii="Verdana" w:hAnsi="Verdana" w:cs="Segoe UI"/>
          <w:i/>
          <w:iCs/>
          <w:noProof/>
          <w:kern w:val="0"/>
          <w:sz w:val="22"/>
          <w:szCs w:val="22"/>
        </w:rPr>
        <w:t>Addiction</w:t>
      </w:r>
      <w:r w:rsidRPr="002F036A">
        <w:rPr>
          <w:rFonts w:ascii="Verdana" w:hAnsi="Verdana" w:cs="Segoe UI"/>
          <w:noProof/>
          <w:kern w:val="0"/>
          <w:sz w:val="22"/>
          <w:szCs w:val="22"/>
        </w:rPr>
        <w:t>, (April 2025), pp. 1398–1407. doi: 10.1111/add.70336.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Murray, R.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(2018) </w:t>
      </w:r>
      <w:r w:rsidRPr="002F036A">
        <w:rPr>
          <w:rFonts w:ascii="Verdana" w:hAnsi="Verdana" w:cs="Segoe UI"/>
          <w:i/>
          <w:iCs/>
          <w:noProof/>
          <w:kern w:val="0"/>
          <w:sz w:val="22"/>
          <w:szCs w:val="22"/>
        </w:rPr>
        <w:t>Carlsberg alibi marketing in the UEFA euro 2016 football finals : implications of Probably inappropriate alcohol advertising</w:t>
      </w:r>
      <w:r w:rsidRPr="002F036A">
        <w:rPr>
          <w:rFonts w:ascii="Verdana" w:hAnsi="Verdana" w:cs="Segoe UI"/>
          <w:noProof/>
          <w:kern w:val="0"/>
          <w:sz w:val="22"/>
          <w:szCs w:val="22"/>
        </w:rPr>
        <w:t xml:space="preserve">, </w:t>
      </w:r>
      <w:r w:rsidRPr="002F036A">
        <w:rPr>
          <w:rFonts w:ascii="Verdana" w:hAnsi="Verdana" w:cs="Segoe UI"/>
          <w:i/>
          <w:iCs/>
          <w:noProof/>
          <w:kern w:val="0"/>
          <w:sz w:val="22"/>
          <w:szCs w:val="22"/>
        </w:rPr>
        <w:t>BMC Public Healthb</w:t>
      </w:r>
      <w:r w:rsidRPr="002F036A">
        <w:rPr>
          <w:rFonts w:ascii="Verdana" w:hAnsi="Verdana" w:cs="Segoe UI"/>
          <w:noProof/>
          <w:kern w:val="0"/>
          <w:sz w:val="22"/>
          <w:szCs w:val="22"/>
        </w:rPr>
        <w:t>. BMC Public Health.</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Newall, P., Allami, Y.,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 No evidence of harm ” implies no evidence of safety : Framing the lack of causal evidence in gambling advertising research’, </w:t>
      </w:r>
      <w:r w:rsidRPr="002F036A">
        <w:rPr>
          <w:rFonts w:ascii="Verdana" w:hAnsi="Verdana" w:cs="Segoe UI"/>
          <w:i/>
          <w:iCs/>
          <w:noProof/>
          <w:kern w:val="0"/>
          <w:sz w:val="22"/>
          <w:szCs w:val="22"/>
        </w:rPr>
        <w:t>Addiction</w:t>
      </w:r>
      <w:r w:rsidRPr="002F036A">
        <w:rPr>
          <w:rFonts w:ascii="Verdana" w:hAnsi="Verdana" w:cs="Segoe UI"/>
          <w:noProof/>
          <w:kern w:val="0"/>
          <w:sz w:val="22"/>
          <w:szCs w:val="22"/>
        </w:rPr>
        <w:t>, pp. 391–396. doi: 10.1111/add.16369.</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Newall, P., Torrance, J.,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‘“Chances are you’re about to lose”: new independent Australian safer gambling messages tested in UK and USA bettor </w:t>
      </w:r>
      <w:r w:rsidRPr="002F036A">
        <w:rPr>
          <w:rFonts w:ascii="Verdana" w:hAnsi="Verdana" w:cs="Segoe UI"/>
          <w:noProof/>
          <w:kern w:val="0"/>
          <w:sz w:val="22"/>
          <w:szCs w:val="22"/>
        </w:rPr>
        <w:t xml:space="preserve">samples’, </w:t>
      </w:r>
      <w:r w:rsidRPr="002F036A">
        <w:rPr>
          <w:rFonts w:ascii="Verdana" w:hAnsi="Verdana" w:cs="Segoe UI"/>
          <w:i/>
          <w:iCs/>
          <w:noProof/>
          <w:kern w:val="0"/>
          <w:sz w:val="22"/>
          <w:szCs w:val="22"/>
        </w:rPr>
        <w:t>Addiction Research and Theory</w:t>
      </w:r>
      <w:r w:rsidRPr="002F036A">
        <w:rPr>
          <w:rFonts w:ascii="Verdana" w:hAnsi="Verdana" w:cs="Segoe UI"/>
          <w:noProof/>
          <w:kern w:val="0"/>
          <w:sz w:val="22"/>
          <w:szCs w:val="22"/>
        </w:rPr>
        <w:t>. Taylor &amp; Francis, 32(6), pp. 400–408. doi: 10.1080/16066359.2023.2282545.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Newall, P., Weiss-cohen, L., Petrovskaya, E.,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‘“99 % of Gamblers Lose in the Long Run”: An Experimental Comparison of Novel and Pre-Existing Harm Prevention (Safer Gambling) Messages Warning About the Likelihood of Losing Money’, </w:t>
      </w:r>
      <w:r w:rsidRPr="002F036A">
        <w:rPr>
          <w:rFonts w:ascii="Verdana" w:hAnsi="Verdana" w:cs="Segoe UI"/>
          <w:i/>
          <w:iCs/>
          <w:noProof/>
          <w:kern w:val="0"/>
          <w:sz w:val="22"/>
          <w:szCs w:val="22"/>
        </w:rPr>
        <w:t>Collabra: Psychology</w:t>
      </w:r>
      <w:r w:rsidRPr="002F036A">
        <w:rPr>
          <w:rFonts w:ascii="Verdana" w:hAnsi="Verdana" w:cs="Segoe UI"/>
          <w:noProof/>
          <w:kern w:val="0"/>
          <w:sz w:val="22"/>
          <w:szCs w:val="22"/>
        </w:rPr>
        <w:t>, 11(1), pp. 1–15.</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Newall, P., Weiss-cohen, L., Torrance, J.,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‘Addictive Behaviors Not always as advertised : Different effects from viewing safer gambling ( harm prevention ) adverts on gambling urges’, </w:t>
      </w:r>
      <w:r w:rsidRPr="002F036A">
        <w:rPr>
          <w:rFonts w:ascii="Verdana" w:hAnsi="Verdana" w:cs="Segoe UI"/>
          <w:i/>
          <w:iCs/>
          <w:noProof/>
          <w:kern w:val="0"/>
          <w:sz w:val="22"/>
          <w:szCs w:val="22"/>
        </w:rPr>
        <w:t>Addictive Behaviors</w:t>
      </w:r>
      <w:r w:rsidRPr="002F036A">
        <w:rPr>
          <w:rFonts w:ascii="Verdana" w:hAnsi="Verdana" w:cs="Segoe UI"/>
          <w:noProof/>
          <w:kern w:val="0"/>
          <w:sz w:val="22"/>
          <w:szCs w:val="22"/>
        </w:rPr>
        <w:t>. Elsevier Ltd, 160(March 2024), p. 108161. doi: 10.1016/j.addbeh.2024.108161.</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Newall, P.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‘Positive Emotional Harm Prevention (Safer) Gambling Messages : Results of an Online Experiment’, </w:t>
      </w:r>
      <w:r w:rsidRPr="002F036A">
        <w:rPr>
          <w:rFonts w:ascii="Verdana" w:hAnsi="Verdana" w:cs="Segoe UI"/>
          <w:i/>
          <w:iCs/>
          <w:noProof/>
          <w:kern w:val="0"/>
          <w:sz w:val="22"/>
          <w:szCs w:val="22"/>
        </w:rPr>
        <w:t>Psychology of Addictive Behaviors</w:t>
      </w:r>
      <w:r w:rsidRPr="002F036A">
        <w:rPr>
          <w:rFonts w:ascii="Verdana" w:hAnsi="Verdana" w:cs="Segoe UI"/>
          <w:noProof/>
          <w:kern w:val="0"/>
          <w:sz w:val="22"/>
          <w:szCs w:val="22"/>
        </w:rPr>
        <w:t>, 40(4), pp. 469–483.</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Newall, P., Whybrow, A. and Torrance, J. (2026) ‘“Of course we make money, but it has to be in a responsible way”: safer gambling practices reported by state-owned gambling operators’, </w:t>
      </w:r>
      <w:r w:rsidRPr="002F036A">
        <w:rPr>
          <w:rFonts w:ascii="Verdana" w:hAnsi="Verdana" w:cs="Segoe UI"/>
          <w:i/>
          <w:iCs/>
          <w:noProof/>
          <w:kern w:val="0"/>
          <w:sz w:val="22"/>
          <w:szCs w:val="22"/>
        </w:rPr>
        <w:t>Addiction Research &amp; Theory</w:t>
      </w:r>
      <w:r w:rsidRPr="002F036A">
        <w:rPr>
          <w:rFonts w:ascii="Verdana" w:hAnsi="Verdana" w:cs="Segoe UI"/>
          <w:noProof/>
          <w:kern w:val="0"/>
          <w:sz w:val="22"/>
          <w:szCs w:val="22"/>
        </w:rPr>
        <w:t>. Taylor &amp; Francis, 34(1), pp. 12–23. doi: 10.1080/16066359.2025.2507776.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Parke, A. and Parke, J. (2019) ‘Transformation of Sports Betting into a Rapid and Continuous Gambling Activity : a Grounded Theoretical Investigation of Problem Sports Betting in Online Settings’, </w:t>
      </w:r>
      <w:r w:rsidRPr="002F036A">
        <w:rPr>
          <w:rFonts w:ascii="Verdana" w:hAnsi="Verdana" w:cs="Segoe UI"/>
          <w:i/>
          <w:iCs/>
          <w:noProof/>
          <w:kern w:val="0"/>
          <w:sz w:val="22"/>
          <w:szCs w:val="22"/>
        </w:rPr>
        <w:t>International Journal of Mental Health and Addiciton</w:t>
      </w:r>
      <w:r w:rsidRPr="002F036A">
        <w:rPr>
          <w:rFonts w:ascii="Verdana" w:hAnsi="Verdana" w:cs="Segoe UI"/>
          <w:noProof/>
          <w:kern w:val="0"/>
          <w:sz w:val="22"/>
          <w:szCs w:val="22"/>
        </w:rPr>
        <w:t>. International Journal of Mental Health and Addiction, 17, pp. 1340–1359.</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Public Health Scotland (2023) </w:t>
      </w:r>
      <w:r w:rsidRPr="002F036A">
        <w:rPr>
          <w:rFonts w:ascii="Verdana" w:hAnsi="Verdana" w:cs="Segoe UI"/>
          <w:i/>
          <w:iCs/>
          <w:noProof/>
          <w:kern w:val="0"/>
          <w:sz w:val="22"/>
          <w:szCs w:val="22"/>
        </w:rPr>
        <w:t>Evaluating the impact of minimum unit pricing for alcohol in Scotland : Final report A synthesis of the evidence</w:t>
      </w:r>
      <w:r w:rsidRPr="002F036A">
        <w:rPr>
          <w:rFonts w:ascii="Verdana" w:hAnsi="Verdana" w:cs="Segoe UI"/>
          <w:noProof/>
          <w:kern w:val="0"/>
          <w:sz w:val="22"/>
          <w:szCs w:val="22"/>
        </w:rPr>
        <w:t>. Edinburgh.</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Purves, R. I.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‘“I just saw the alcohol brand, I never really thought of the zeros”: Young people’s views of NoLo and alibi alcohol sponsorship’, </w:t>
      </w:r>
      <w:r w:rsidRPr="002F036A">
        <w:rPr>
          <w:rFonts w:ascii="Verdana" w:hAnsi="Verdana" w:cs="Segoe UI"/>
          <w:i/>
          <w:iCs/>
          <w:noProof/>
          <w:kern w:val="0"/>
          <w:sz w:val="22"/>
          <w:szCs w:val="22"/>
        </w:rPr>
        <w:t>International Journal of Drug Policy</w:t>
      </w:r>
      <w:r w:rsidRPr="002F036A">
        <w:rPr>
          <w:rFonts w:ascii="Verdana" w:hAnsi="Verdana" w:cs="Segoe UI"/>
          <w:noProof/>
          <w:kern w:val="0"/>
          <w:sz w:val="22"/>
          <w:szCs w:val="22"/>
        </w:rPr>
        <w:t>. Elsevier B.V., 148(December 2025), p. 105108. doi: 10.1016/j.drugpo.2025.105108.</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Rochester, E. and Cunningham, J. A. (2023) ‘Applying the Canadian Low-Risk Gambling Guidelines to Gambling Harm Reduction in England’, </w:t>
      </w:r>
      <w:r w:rsidRPr="002F036A">
        <w:rPr>
          <w:rFonts w:ascii="Verdana" w:hAnsi="Verdana" w:cs="Segoe UI"/>
          <w:i/>
          <w:iCs/>
          <w:noProof/>
          <w:kern w:val="0"/>
          <w:sz w:val="22"/>
          <w:szCs w:val="22"/>
        </w:rPr>
        <w:t>Journal of Gambling Studies</w:t>
      </w:r>
      <w:r w:rsidRPr="002F036A">
        <w:rPr>
          <w:rFonts w:ascii="Verdana" w:hAnsi="Verdana" w:cs="Segoe UI"/>
          <w:noProof/>
          <w:kern w:val="0"/>
          <w:sz w:val="22"/>
          <w:szCs w:val="22"/>
        </w:rPr>
        <w:t>. Springer US, (0123456789). doi: 10.1007/s10899-022-10186-8.</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Rockloff, M.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‘Direct gambling marketing , direct harm : A randomised experiment’, </w:t>
      </w:r>
      <w:r w:rsidRPr="002F036A">
        <w:rPr>
          <w:rFonts w:ascii="Verdana" w:hAnsi="Verdana" w:cs="Segoe UI"/>
          <w:i/>
          <w:iCs/>
          <w:noProof/>
          <w:kern w:val="0"/>
          <w:sz w:val="22"/>
          <w:szCs w:val="22"/>
        </w:rPr>
        <w:t>Addiction</w:t>
      </w:r>
      <w:r w:rsidRPr="002F036A">
        <w:rPr>
          <w:rFonts w:ascii="Verdana" w:hAnsi="Verdana" w:cs="Segoe UI"/>
          <w:noProof/>
          <w:kern w:val="0"/>
          <w:sz w:val="22"/>
          <w:szCs w:val="22"/>
        </w:rPr>
        <w:t>, (January), pp. 1–13. doi: 10.1111/add.70369.</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Roderique, G.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(2020) ‘Embedded Gambling Promotion in Football : An Explorative Study of Cue </w:t>
      </w:r>
      <w:r w:rsidRPr="002F036A">
        <w:rPr>
          <w:rFonts w:ascii="Cambria Math" w:hAnsi="Cambria Math" w:cs="Cambria Math"/>
          <w:noProof/>
          <w:kern w:val="0"/>
          <w:sz w:val="22"/>
          <w:szCs w:val="22"/>
        </w:rPr>
        <w:t>‑</w:t>
      </w:r>
      <w:r w:rsidRPr="002F036A">
        <w:rPr>
          <w:rFonts w:ascii="Verdana" w:hAnsi="Verdana" w:cs="Segoe UI"/>
          <w:noProof/>
          <w:kern w:val="0"/>
          <w:sz w:val="22"/>
          <w:szCs w:val="22"/>
        </w:rPr>
        <w:t xml:space="preserve"> Exposure and Urge to Gamble</w:t>
      </w:r>
      <w:r w:rsidRPr="002F036A">
        <w:rPr>
          <w:rFonts w:ascii="Verdana" w:hAnsi="Verdana" w:cs="Verdana"/>
          <w:noProof/>
          <w:kern w:val="0"/>
          <w:sz w:val="22"/>
          <w:szCs w:val="22"/>
        </w:rPr>
        <w:t>’</w:t>
      </w:r>
      <w:r w:rsidRPr="002F036A">
        <w:rPr>
          <w:rFonts w:ascii="Verdana" w:hAnsi="Verdana" w:cs="Segoe UI"/>
          <w:noProof/>
          <w:kern w:val="0"/>
          <w:sz w:val="22"/>
          <w:szCs w:val="22"/>
        </w:rPr>
        <w:t xml:space="preserve">, </w:t>
      </w:r>
      <w:r w:rsidRPr="002F036A">
        <w:rPr>
          <w:rFonts w:ascii="Verdana" w:hAnsi="Verdana" w:cs="Segoe UI"/>
          <w:i/>
          <w:iCs/>
          <w:noProof/>
          <w:kern w:val="0"/>
          <w:sz w:val="22"/>
          <w:szCs w:val="22"/>
        </w:rPr>
        <w:t>Journal of Gambling Studies</w:t>
      </w:r>
      <w:r w:rsidRPr="002F036A">
        <w:rPr>
          <w:rFonts w:ascii="Verdana" w:hAnsi="Verdana" w:cs="Segoe UI"/>
          <w:noProof/>
          <w:kern w:val="0"/>
          <w:sz w:val="22"/>
          <w:szCs w:val="22"/>
        </w:rPr>
        <w:t>. Springer US, 36(3), pp. 1013–1025. doi: 10.1007/s10899-020-09949-y.</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Rossi, R.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(2021) ‘“Get a £10 Free Bet Every Week!”—Gambling Advertising on Twitter: Volume, Content, Followers, Engagement, and Regulatory Compliance’, </w:t>
      </w:r>
      <w:r w:rsidRPr="002F036A">
        <w:rPr>
          <w:rFonts w:ascii="Verdana" w:hAnsi="Verdana" w:cs="Segoe UI"/>
          <w:i/>
          <w:iCs/>
          <w:noProof/>
          <w:kern w:val="0"/>
          <w:sz w:val="22"/>
          <w:szCs w:val="22"/>
        </w:rPr>
        <w:t>Journal of Public Policy and Marketing</w:t>
      </w:r>
      <w:r w:rsidRPr="002F036A">
        <w:rPr>
          <w:rFonts w:ascii="Verdana" w:hAnsi="Verdana" w:cs="Segoe UI"/>
          <w:noProof/>
          <w:kern w:val="0"/>
          <w:sz w:val="22"/>
          <w:szCs w:val="22"/>
        </w:rPr>
        <w:t>, 40(4), pp. 487–504. doi: 10.1177/0743915621999674.</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Rossi, R.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w:t>
      </w:r>
      <w:r w:rsidRPr="002F036A">
        <w:rPr>
          <w:rFonts w:ascii="Verdana" w:hAnsi="Verdana" w:cs="Segoe UI"/>
          <w:i/>
          <w:iCs/>
          <w:noProof/>
          <w:kern w:val="0"/>
          <w:sz w:val="22"/>
          <w:szCs w:val="22"/>
        </w:rPr>
        <w:t>Gambling and the premier league: The continued failure of industry self-regulation</w:t>
      </w:r>
      <w:r w:rsidRPr="002F036A">
        <w:rPr>
          <w:rFonts w:ascii="Verdana" w:hAnsi="Verdana" w:cs="Segoe UI"/>
          <w:noProof/>
          <w:kern w:val="0"/>
          <w:sz w:val="22"/>
          <w:szCs w:val="22"/>
        </w:rPr>
        <w:t>. Bristol.</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Rossi, R. and Nairn, A. (2021) </w:t>
      </w:r>
      <w:r w:rsidRPr="002F036A">
        <w:rPr>
          <w:rFonts w:ascii="Verdana" w:hAnsi="Verdana" w:cs="Segoe UI"/>
          <w:i/>
          <w:iCs/>
          <w:noProof/>
          <w:kern w:val="0"/>
          <w:sz w:val="22"/>
          <w:szCs w:val="22"/>
        </w:rPr>
        <w:t>What are the odds? The appeal of gambling adverts to children and young persons on Twitter</w:t>
      </w:r>
      <w:r w:rsidRPr="002F036A">
        <w:rPr>
          <w:rFonts w:ascii="Verdana" w:hAnsi="Verdana" w:cs="Segoe UI"/>
          <w:noProof/>
          <w:kern w:val="0"/>
          <w:sz w:val="22"/>
          <w:szCs w:val="22"/>
        </w:rPr>
        <w:t>. Bristol.</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Rossi, R. and Nairn, A. (2022) ‘New Developments in Gambling Marketing : the Rise of Social Media Ads and Its Effect on Youth’, </w:t>
      </w:r>
      <w:r w:rsidRPr="002F036A">
        <w:rPr>
          <w:rFonts w:ascii="Verdana" w:hAnsi="Verdana" w:cs="Segoe UI"/>
          <w:i/>
          <w:iCs/>
          <w:noProof/>
          <w:kern w:val="0"/>
          <w:sz w:val="22"/>
          <w:szCs w:val="22"/>
        </w:rPr>
        <w:t>Current Addiction Reports</w:t>
      </w:r>
      <w:r w:rsidRPr="002F036A">
        <w:rPr>
          <w:rFonts w:ascii="Verdana" w:hAnsi="Verdana" w:cs="Segoe UI"/>
          <w:noProof/>
          <w:kern w:val="0"/>
          <w:sz w:val="22"/>
          <w:szCs w:val="22"/>
        </w:rPr>
        <w:t>. Springer International Publishing, 9, pp. 385–391. doi: 10.1007/s40429-022-00457-0.</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Rossi, R. and Nairn, A. (2024) ‘Priming young minds: The appeal of gambling advertising to children and young people’, </w:t>
      </w:r>
      <w:r w:rsidRPr="002F036A">
        <w:rPr>
          <w:rFonts w:ascii="Verdana" w:hAnsi="Verdana" w:cs="Segoe UI"/>
          <w:i/>
          <w:iCs/>
          <w:noProof/>
          <w:kern w:val="0"/>
          <w:sz w:val="22"/>
          <w:szCs w:val="22"/>
        </w:rPr>
        <w:t>Journal of the Association for Consumer Research</w:t>
      </w:r>
      <w:r w:rsidRPr="002F036A">
        <w:rPr>
          <w:rFonts w:ascii="Verdana" w:hAnsi="Verdana" w:cs="Segoe UI"/>
          <w:noProof/>
          <w:kern w:val="0"/>
          <w:sz w:val="22"/>
          <w:szCs w:val="22"/>
        </w:rPr>
        <w:t>, 9(2), pp. 187–199. doi: https://doi.org/10.1086/729290.</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Rossi, R. and Nairn, A. (2025) ‘Clearly (not) identifiable – The recognisability of gambling content marketing’, </w:t>
      </w:r>
      <w:r w:rsidRPr="002F036A">
        <w:rPr>
          <w:rFonts w:ascii="Verdana" w:hAnsi="Verdana" w:cs="Segoe UI"/>
          <w:i/>
          <w:iCs/>
          <w:noProof/>
          <w:kern w:val="0"/>
          <w:sz w:val="22"/>
          <w:szCs w:val="22"/>
        </w:rPr>
        <w:t>International Journal of Market Research</w:t>
      </w:r>
      <w:r w:rsidRPr="002F036A">
        <w:rPr>
          <w:rFonts w:ascii="Verdana" w:hAnsi="Verdana" w:cs="Segoe UI"/>
          <w:noProof/>
          <w:kern w:val="0"/>
          <w:sz w:val="22"/>
          <w:szCs w:val="22"/>
        </w:rPr>
        <w:t>, 67(1), pp. 33–52. doi: 10.1177/14707853241292953.</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Rossi, R., Tozzi, E. and Nairn, A. (2026) ‘Cognitive Overload and Emotional Arousal : Why Gambling Content Marketing Appeals to Children and Resists Established Educational Interventions’, </w:t>
      </w:r>
      <w:r w:rsidRPr="002F036A">
        <w:rPr>
          <w:rFonts w:ascii="Verdana" w:hAnsi="Verdana" w:cs="Segoe UI"/>
          <w:i/>
          <w:iCs/>
          <w:noProof/>
          <w:kern w:val="0"/>
          <w:sz w:val="22"/>
          <w:szCs w:val="22"/>
        </w:rPr>
        <w:t>Psychology &amp; Marketing</w:t>
      </w:r>
      <w:r w:rsidRPr="002F036A">
        <w:rPr>
          <w:rFonts w:ascii="Verdana" w:hAnsi="Verdana" w:cs="Segoe UI"/>
          <w:noProof/>
          <w:kern w:val="0"/>
          <w:sz w:val="22"/>
          <w:szCs w:val="22"/>
        </w:rPr>
        <w:t>, 43, pp. 1472–1487. doi: 10.1002/mar.70122.</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Rossow, I.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‘The total consumption model applied to gambling : an analysis of gambling accounts records in Norway ABSTRACT’, </w:t>
      </w:r>
      <w:r w:rsidRPr="002F036A">
        <w:rPr>
          <w:rFonts w:ascii="Verdana" w:hAnsi="Verdana" w:cs="Segoe UI"/>
          <w:i/>
          <w:iCs/>
          <w:noProof/>
          <w:kern w:val="0"/>
          <w:sz w:val="22"/>
          <w:szCs w:val="22"/>
        </w:rPr>
        <w:t>Addiction Research &amp; Theory</w:t>
      </w:r>
      <w:r w:rsidRPr="002F036A">
        <w:rPr>
          <w:rFonts w:ascii="Verdana" w:hAnsi="Verdana" w:cs="Segoe UI"/>
          <w:noProof/>
          <w:kern w:val="0"/>
          <w:sz w:val="22"/>
          <w:szCs w:val="22"/>
        </w:rPr>
        <w:t>. Taylor &amp; Francis, 33(4), pp. 267–275. doi: 10.1080/16066359.2024.2430486.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Russell, A. M. T.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(2018) ‘Are direct messages (texts and emails) from wagering operators associated with betting intention and behavior? An ecological momentary assessment study’, </w:t>
      </w:r>
      <w:r w:rsidRPr="002F036A">
        <w:rPr>
          <w:rFonts w:ascii="Verdana" w:hAnsi="Verdana" w:cs="Segoe UI"/>
          <w:i/>
          <w:iCs/>
          <w:noProof/>
          <w:kern w:val="0"/>
          <w:sz w:val="22"/>
          <w:szCs w:val="22"/>
        </w:rPr>
        <w:t>Journal of Behavioral Addictions</w:t>
      </w:r>
      <w:r w:rsidRPr="002F036A">
        <w:rPr>
          <w:rFonts w:ascii="Verdana" w:hAnsi="Verdana" w:cs="Segoe UI"/>
          <w:noProof/>
          <w:kern w:val="0"/>
          <w:sz w:val="22"/>
          <w:szCs w:val="22"/>
        </w:rPr>
        <w:t>, 7(4), pp. 1079–1090. doi: 10.1556/2006.7.2018.99.</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Saffer, H. and Chaloupka, F. (2000) ‘The effect of tobacco advertising bans on tobacco consumption’, </w:t>
      </w:r>
      <w:r w:rsidRPr="002F036A">
        <w:rPr>
          <w:rFonts w:ascii="Verdana" w:hAnsi="Verdana" w:cs="Segoe UI"/>
          <w:i/>
          <w:iCs/>
          <w:noProof/>
          <w:kern w:val="0"/>
          <w:sz w:val="22"/>
          <w:szCs w:val="22"/>
        </w:rPr>
        <w:t>Journal of Health Economics</w:t>
      </w:r>
      <w:r w:rsidRPr="002F036A">
        <w:rPr>
          <w:rFonts w:ascii="Verdana" w:hAnsi="Verdana" w:cs="Segoe UI"/>
          <w:noProof/>
          <w:kern w:val="0"/>
          <w:sz w:val="22"/>
          <w:szCs w:val="22"/>
        </w:rPr>
        <w:t>, 19, pp. 1117–1137.</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Simpson, K.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w:t>
      </w:r>
      <w:r w:rsidRPr="002F036A">
        <w:rPr>
          <w:rFonts w:ascii="Verdana" w:hAnsi="Verdana" w:cs="Segoe UI"/>
          <w:i/>
          <w:iCs/>
          <w:noProof/>
          <w:kern w:val="0"/>
          <w:sz w:val="22"/>
          <w:szCs w:val="22"/>
        </w:rPr>
        <w:t>The Macroeconomic Impact of Reducing Gross Gambling Yield: An Empirically-Informed Model</w:t>
      </w:r>
      <w:r w:rsidRPr="002F036A">
        <w:rPr>
          <w:rFonts w:ascii="Verdana" w:hAnsi="Verdana" w:cs="Segoe UI"/>
          <w:noProof/>
          <w:kern w:val="0"/>
          <w:sz w:val="22"/>
          <w:szCs w:val="22"/>
        </w:rPr>
        <w:t>. London.</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Skivington, K.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(2021) ‘A new framework for developing and evaluating complex interventions: update of Medical Research Council guidance’, </w:t>
      </w:r>
      <w:r w:rsidRPr="002F036A">
        <w:rPr>
          <w:rFonts w:ascii="Verdana" w:hAnsi="Verdana" w:cs="Segoe UI"/>
          <w:i/>
          <w:iCs/>
          <w:noProof/>
          <w:kern w:val="0"/>
          <w:sz w:val="22"/>
          <w:szCs w:val="22"/>
        </w:rPr>
        <w:t>BMJ</w:t>
      </w:r>
      <w:r w:rsidRPr="002F036A">
        <w:rPr>
          <w:rFonts w:ascii="Verdana" w:hAnsi="Verdana" w:cs="Segoe UI"/>
          <w:noProof/>
          <w:kern w:val="0"/>
          <w:sz w:val="22"/>
          <w:szCs w:val="22"/>
        </w:rPr>
        <w:t>, (2018), pp. 1–11. doi: 10.1136/bmj.n2061.</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Spicer, A.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 Gambling products are designed to be addictive”: an experimental comparison of counter-industry gambling harm prevention’, </w:t>
      </w:r>
      <w:r w:rsidRPr="002F036A">
        <w:rPr>
          <w:rFonts w:ascii="Verdana" w:hAnsi="Verdana" w:cs="Segoe UI"/>
          <w:i/>
          <w:iCs/>
          <w:noProof/>
          <w:kern w:val="0"/>
          <w:sz w:val="22"/>
          <w:szCs w:val="22"/>
        </w:rPr>
        <w:t>Behavioural Public Policy</w:t>
      </w:r>
      <w:r w:rsidRPr="002F036A">
        <w:rPr>
          <w:rFonts w:ascii="Verdana" w:hAnsi="Verdana" w:cs="Segoe UI"/>
          <w:noProof/>
          <w:kern w:val="0"/>
          <w:sz w:val="22"/>
          <w:szCs w:val="22"/>
        </w:rPr>
        <w:t>, pp. 1–24. doi: 10.1017/bpp.2026.10034.</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Thomas, S.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‘Protecting children and young people from contemporary marketing for gambling’, </w:t>
      </w:r>
      <w:r w:rsidRPr="002F036A">
        <w:rPr>
          <w:rFonts w:ascii="Verdana" w:hAnsi="Verdana" w:cs="Segoe UI"/>
          <w:i/>
          <w:iCs/>
          <w:noProof/>
          <w:kern w:val="0"/>
          <w:sz w:val="22"/>
          <w:szCs w:val="22"/>
        </w:rPr>
        <w:t>Health promotion international</w:t>
      </w:r>
      <w:r w:rsidRPr="002F036A">
        <w:rPr>
          <w:rFonts w:ascii="Verdana" w:hAnsi="Verdana" w:cs="Segoe UI"/>
          <w:noProof/>
          <w:kern w:val="0"/>
          <w:sz w:val="22"/>
          <w:szCs w:val="22"/>
        </w:rPr>
        <w:t>. NLM (Medline), 38(2). doi: 10.1093/heapro/daac194.</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Torrance, J.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(2021) ‘Emergent gambling advertising; a rapid review of marketing content, delivery and structural features’, </w:t>
      </w:r>
      <w:r w:rsidRPr="002F036A">
        <w:rPr>
          <w:rFonts w:ascii="Verdana" w:hAnsi="Verdana" w:cs="Segoe UI"/>
          <w:i/>
          <w:iCs/>
          <w:noProof/>
          <w:kern w:val="0"/>
          <w:sz w:val="22"/>
          <w:szCs w:val="22"/>
        </w:rPr>
        <w:t>BMC Public Health</w:t>
      </w:r>
      <w:r w:rsidRPr="002F036A">
        <w:rPr>
          <w:rFonts w:ascii="Verdana" w:hAnsi="Verdana" w:cs="Segoe UI"/>
          <w:noProof/>
          <w:kern w:val="0"/>
          <w:sz w:val="22"/>
          <w:szCs w:val="22"/>
        </w:rPr>
        <w:t>. BioMed Central Ltd, 21(1). doi: 10.1186/s12889-021-10805-w.</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Torrance, J.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‘Gambling, cryptocurrency, and financial trading app marketing in English Premier League football: A frequency analysis of in-game logos’, </w:t>
      </w:r>
      <w:r w:rsidRPr="002F036A">
        <w:rPr>
          <w:rFonts w:ascii="Verdana" w:hAnsi="Verdana" w:cs="Segoe UI"/>
          <w:i/>
          <w:iCs/>
          <w:noProof/>
          <w:kern w:val="0"/>
          <w:sz w:val="22"/>
          <w:szCs w:val="22"/>
        </w:rPr>
        <w:t>Journal of Behavioral Addictions</w:t>
      </w:r>
      <w:r w:rsidRPr="002F036A">
        <w:rPr>
          <w:rFonts w:ascii="Verdana" w:hAnsi="Verdana" w:cs="Segoe UI"/>
          <w:noProof/>
          <w:kern w:val="0"/>
          <w:sz w:val="22"/>
          <w:szCs w:val="22"/>
        </w:rPr>
        <w:t>, 12, pp. 972–982. doi: 10.1556/2006.2023.00066.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Torrance, J.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(2026) ‘(Mis) Comprehension and (Mistaken) Attractiveness of Financial Gambling Inducements among UK Bettors’, </w:t>
      </w:r>
      <w:r w:rsidRPr="002F036A">
        <w:rPr>
          <w:rFonts w:ascii="Verdana" w:hAnsi="Verdana" w:cs="Segoe UI"/>
          <w:i/>
          <w:iCs/>
          <w:noProof/>
          <w:kern w:val="0"/>
          <w:sz w:val="22"/>
          <w:szCs w:val="22"/>
        </w:rPr>
        <w:t>Journal of Gambling Studies</w:t>
      </w:r>
      <w:r w:rsidRPr="002F036A">
        <w:rPr>
          <w:rFonts w:ascii="Verdana" w:hAnsi="Verdana" w:cs="Segoe UI"/>
          <w:noProof/>
          <w:kern w:val="0"/>
          <w:sz w:val="22"/>
          <w:szCs w:val="22"/>
        </w:rPr>
        <w:t>, p. online first. doi: https://doi.org/10.1007/s10899-026-10491-6.</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Ukhova, D.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(2023) ‘Public health approaches to gambling: a global review of legislative trends’, </w:t>
      </w:r>
      <w:r w:rsidRPr="002F036A">
        <w:rPr>
          <w:rFonts w:ascii="Verdana" w:hAnsi="Verdana" w:cs="Segoe UI"/>
          <w:i/>
          <w:iCs/>
          <w:noProof/>
          <w:kern w:val="0"/>
          <w:sz w:val="22"/>
          <w:szCs w:val="22"/>
        </w:rPr>
        <w:t>The Lancet Public Health</w:t>
      </w:r>
      <w:r w:rsidRPr="002F036A">
        <w:rPr>
          <w:rFonts w:ascii="Verdana" w:hAnsi="Verdana" w:cs="Segoe UI"/>
          <w:noProof/>
          <w:kern w:val="0"/>
          <w:sz w:val="22"/>
          <w:szCs w:val="22"/>
        </w:rPr>
        <w:t>. The Author(s). Published by Elsevier Ltd. This is an Open Access article under the CC BY 4.0 license, 2667(23). doi: 10.1016/S2468-2667(23)00221-9.</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Ukhova, D.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(2025) ‘Global Gambling Control Scorecard (GGCS): Dataset. Version 1: November 2025’. Glasgow: University of Glasgow. doi: 10.5525/gla.researchdata.2089.</w:t>
      </w:r>
    </w:p>
    <w:p w:rsidR="008D2F6C"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Wardle, H., Reith, G., Dobbie, F., Rintoul, A., &amp; Shiffman, J. (2021). Regulatory resistance? Narratives and uses of evidence around “black market” provision of gambling during the British Gambling Act review. </w:t>
      </w:r>
      <w:r w:rsidRPr="002F036A">
        <w:rPr>
          <w:rFonts w:ascii="Verdana" w:hAnsi="Verdana" w:cs="Segoe UI"/>
          <w:i/>
          <w:iCs/>
          <w:noProof/>
          <w:kern w:val="0"/>
          <w:sz w:val="22"/>
          <w:szCs w:val="22"/>
        </w:rPr>
        <w:t>International Journal of Environmental Research and Public Healt</w:t>
      </w:r>
      <w:r w:rsidRPr="002F036A">
        <w:rPr>
          <w:rFonts w:ascii="Verdana" w:hAnsi="Verdana" w:cs="Segoe UI"/>
          <w:noProof/>
          <w:kern w:val="0"/>
          <w:sz w:val="22"/>
          <w:szCs w:val="22"/>
        </w:rPr>
        <w:t xml:space="preserve">h, 18, 11566. </w:t>
      </w:r>
    </w:p>
    <w:p w:rsidR="006A6F7D"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Wardle H, Critchlow N, Brown A, Donnachie C, Kolesnikov A, Hunt K. (2022) The association between gambling marketing and unplanned gambling spend: Synthesised findings from two online cross-sectional surveys. </w:t>
      </w:r>
      <w:r w:rsidRPr="002F036A">
        <w:rPr>
          <w:rFonts w:ascii="Verdana" w:hAnsi="Verdana" w:cs="Segoe UI"/>
          <w:i/>
          <w:iCs/>
          <w:noProof/>
          <w:kern w:val="0"/>
          <w:sz w:val="22"/>
          <w:szCs w:val="22"/>
        </w:rPr>
        <w:t xml:space="preserve">Addict Behav. </w:t>
      </w:r>
      <w:r w:rsidRPr="002F036A">
        <w:rPr>
          <w:rFonts w:ascii="Verdana" w:hAnsi="Verdana" w:cs="Segoe UI"/>
          <w:noProof/>
          <w:kern w:val="0"/>
          <w:sz w:val="22"/>
          <w:szCs w:val="22"/>
        </w:rPr>
        <w:t>2022 Dec;135:107440. doi: 10.1016/j.addbeh.2022.107440.</w:t>
      </w:r>
    </w:p>
    <w:p w:rsidR="006A6F7D"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Wardle, H. and Marionneau, V. (2026) ‘Unlicensed Gambling in Great Britain: Findings from a National Representative Survey of People who Regularly Gamble’, </w:t>
      </w:r>
      <w:r w:rsidRPr="002F036A">
        <w:rPr>
          <w:rFonts w:ascii="Verdana" w:hAnsi="Verdana" w:cs="Segoe UI"/>
          <w:i/>
          <w:iCs/>
          <w:noProof/>
          <w:kern w:val="0"/>
          <w:sz w:val="22"/>
          <w:szCs w:val="22"/>
        </w:rPr>
        <w:t>Sucht</w:t>
      </w:r>
      <w:r w:rsidRPr="002F036A">
        <w:rPr>
          <w:rFonts w:ascii="Verdana" w:hAnsi="Verdana" w:cs="Segoe UI"/>
          <w:noProof/>
          <w:kern w:val="0"/>
          <w:sz w:val="22"/>
          <w:szCs w:val="22"/>
        </w:rPr>
        <w:t>, 72(3). doi: https://doi.org/10.1024/0939-5911/a000978.</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Wilson, J.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(2024) </w:t>
      </w:r>
      <w:r w:rsidRPr="002F036A">
        <w:rPr>
          <w:rFonts w:ascii="Verdana" w:hAnsi="Verdana" w:cs="Segoe UI"/>
          <w:i/>
          <w:iCs/>
          <w:noProof/>
          <w:kern w:val="0"/>
          <w:sz w:val="22"/>
          <w:szCs w:val="22"/>
        </w:rPr>
        <w:t>Drivers of Gambling Marketing Restrictions – An International Comparison The University of Bristol</w:t>
      </w:r>
      <w:r w:rsidRPr="002F036A">
        <w:rPr>
          <w:rFonts w:ascii="Verdana" w:hAnsi="Verdana" w:cs="Segoe UI"/>
          <w:noProof/>
          <w:kern w:val="0"/>
          <w:sz w:val="22"/>
          <w:szCs w:val="22"/>
        </w:rPr>
        <w:t>. Bristol.</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World Health Organization (2003) </w:t>
      </w:r>
      <w:r w:rsidRPr="002F036A">
        <w:rPr>
          <w:rFonts w:ascii="Verdana" w:hAnsi="Verdana" w:cs="Segoe UI"/>
          <w:i/>
          <w:iCs/>
          <w:noProof/>
          <w:kern w:val="0"/>
          <w:sz w:val="22"/>
          <w:szCs w:val="22"/>
        </w:rPr>
        <w:t>WHO Framework Convention on Tobacco Control</w:t>
      </w:r>
      <w:r w:rsidRPr="002F036A">
        <w:rPr>
          <w:rFonts w:ascii="Verdana" w:hAnsi="Verdana" w:cs="Segoe UI"/>
          <w:noProof/>
          <w:kern w:val="0"/>
          <w:sz w:val="22"/>
          <w:szCs w:val="22"/>
        </w:rPr>
        <w:t>. Geneva.</w:t>
      </w:r>
    </w:p>
    <w:p w:rsidR="001916A1" w:rsidRPr="002F036A" w:rsidP="002F036A">
      <w:pPr>
        <w:widowControl w:val="0"/>
        <w:autoSpaceDE w:val="0"/>
        <w:autoSpaceDN w:val="0"/>
        <w:adjustRightInd w:val="0"/>
        <w:spacing w:line="240" w:lineRule="auto"/>
        <w:rPr>
          <w:rFonts w:ascii="Verdana" w:hAnsi="Verdana" w:cs="Segoe UI"/>
          <w:noProof/>
          <w:kern w:val="0"/>
          <w:sz w:val="22"/>
          <w:szCs w:val="22"/>
        </w:rPr>
      </w:pPr>
      <w:r w:rsidRPr="002F036A">
        <w:rPr>
          <w:rFonts w:ascii="Verdana" w:hAnsi="Verdana" w:cs="Segoe UI"/>
          <w:noProof/>
          <w:kern w:val="0"/>
          <w:sz w:val="22"/>
          <w:szCs w:val="22"/>
        </w:rPr>
        <w:t xml:space="preserve">World Health Organization (2019) </w:t>
      </w:r>
      <w:r w:rsidRPr="002F036A">
        <w:rPr>
          <w:rFonts w:ascii="Verdana" w:hAnsi="Verdana" w:cs="Segoe UI"/>
          <w:i/>
          <w:iCs/>
          <w:noProof/>
          <w:kern w:val="0"/>
          <w:sz w:val="22"/>
          <w:szCs w:val="22"/>
        </w:rPr>
        <w:t>The technical package SAFER: A World Free From Alcohol Related Harms. Five areas of intervention at national and subnational levels</w:t>
      </w:r>
      <w:r w:rsidRPr="002F036A">
        <w:rPr>
          <w:rFonts w:ascii="Verdana" w:hAnsi="Verdana" w:cs="Segoe UI"/>
          <w:noProof/>
          <w:kern w:val="0"/>
          <w:sz w:val="22"/>
          <w:szCs w:val="22"/>
        </w:rPr>
        <w:t>. Geneva.</w:t>
      </w:r>
    </w:p>
    <w:p w:rsidR="001916A1" w:rsidRPr="002F036A" w:rsidP="002F036A">
      <w:pPr>
        <w:widowControl w:val="0"/>
        <w:autoSpaceDE w:val="0"/>
        <w:autoSpaceDN w:val="0"/>
        <w:adjustRightInd w:val="0"/>
        <w:spacing w:line="240" w:lineRule="auto"/>
        <w:rPr>
          <w:rFonts w:ascii="Verdana" w:hAnsi="Verdana" w:cs="Segoe UI"/>
          <w:noProof/>
          <w:sz w:val="22"/>
          <w:szCs w:val="22"/>
        </w:rPr>
      </w:pPr>
      <w:r w:rsidRPr="002F036A">
        <w:rPr>
          <w:rFonts w:ascii="Verdana" w:hAnsi="Verdana" w:cs="Segoe UI"/>
          <w:noProof/>
          <w:kern w:val="0"/>
          <w:sz w:val="22"/>
          <w:szCs w:val="22"/>
        </w:rPr>
        <w:t xml:space="preserve">Yau, A. </w:t>
      </w:r>
      <w:r w:rsidRPr="002F036A">
        <w:rPr>
          <w:rFonts w:ascii="Verdana" w:hAnsi="Verdana" w:cs="Segoe UI"/>
          <w:i/>
          <w:iCs/>
          <w:noProof/>
          <w:kern w:val="0"/>
          <w:sz w:val="22"/>
          <w:szCs w:val="22"/>
        </w:rPr>
        <w:t>et al.</w:t>
      </w:r>
      <w:r w:rsidRPr="002F036A">
        <w:rPr>
          <w:rFonts w:ascii="Verdana" w:hAnsi="Verdana" w:cs="Segoe UI"/>
          <w:noProof/>
          <w:kern w:val="0"/>
          <w:sz w:val="22"/>
          <w:szCs w:val="22"/>
        </w:rPr>
        <w:t xml:space="preserve"> (2022) ‘Changes in household food and drink purchases following restrictions on the advertisement of high fat, salt, and sugar products across the Transport for London network: A controlled interrupted time series analysis’, </w:t>
      </w:r>
      <w:r w:rsidRPr="002F036A">
        <w:rPr>
          <w:rFonts w:ascii="Verdana" w:hAnsi="Verdana" w:cs="Segoe UI"/>
          <w:i/>
          <w:iCs/>
          <w:noProof/>
          <w:kern w:val="0"/>
          <w:sz w:val="22"/>
          <w:szCs w:val="22"/>
        </w:rPr>
        <w:t>PLoS Medicine</w:t>
      </w:r>
      <w:r w:rsidRPr="002F036A">
        <w:rPr>
          <w:rFonts w:ascii="Verdana" w:hAnsi="Verdana" w:cs="Segoe UI"/>
          <w:noProof/>
          <w:kern w:val="0"/>
          <w:sz w:val="22"/>
          <w:szCs w:val="22"/>
        </w:rPr>
        <w:t>, 19(2), pp. 1–23. doi: 10.1371/journal.pmed.1003915.</w:t>
      </w:r>
    </w:p>
    <w:p w:rsidR="00AA04DF" w:rsidP="002F036A">
      <w:pPr>
        <w:widowControl w:val="0"/>
        <w:autoSpaceDE w:val="0"/>
        <w:autoSpaceDN w:val="0"/>
        <w:adjustRightInd w:val="0"/>
        <w:spacing w:line="240" w:lineRule="auto"/>
        <w:rPr>
          <w:rFonts w:ascii="Verdana" w:hAnsi="Verdana" w:cs="Segoe UI"/>
          <w:sz w:val="22"/>
          <w:szCs w:val="22"/>
        </w:rPr>
      </w:pPr>
      <w:r w:rsidRPr="002F036A">
        <w:rPr>
          <w:rFonts w:ascii="Verdana" w:hAnsi="Verdana" w:cs="Segoe UI"/>
          <w:sz w:val="22"/>
          <w:szCs w:val="22"/>
        </w:rPr>
        <w:fldChar w:fldCharType="end"/>
      </w:r>
    </w:p>
    <w:p w:rsidR="0043450A" w:rsidRPr="0043450A" w:rsidP="002F036A">
      <w:pPr>
        <w:widowControl w:val="0"/>
        <w:autoSpaceDE w:val="0"/>
        <w:autoSpaceDN w:val="0"/>
        <w:adjustRightInd w:val="0"/>
        <w:spacing w:line="240" w:lineRule="auto"/>
        <w:rPr>
          <w:rFonts w:ascii="Verdana" w:hAnsi="Verdana" w:cs="Segoe UI"/>
          <w:i/>
          <w:iCs/>
          <w:sz w:val="22"/>
          <w:szCs w:val="22"/>
        </w:rPr>
      </w:pPr>
      <w:r>
        <w:rPr>
          <w:rFonts w:ascii="Verdana" w:hAnsi="Verdana" w:cs="Segoe UI"/>
          <w:i/>
          <w:iCs/>
          <w:sz w:val="22"/>
          <w:szCs w:val="22"/>
        </w:rPr>
        <w:t>June 2026</w:t>
      </w:r>
    </w:p>
    <w:sectPr w:rsidSect="003E7C80">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44EF" w:rsidP="006844E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83DEC" w:rsidP="003E7C80">
      <w:pPr>
        <w:spacing w:after="0" w:line="240" w:lineRule="auto"/>
      </w:pPr>
      <w:r>
        <w:separator/>
      </w:r>
    </w:p>
  </w:footnote>
  <w:footnote w:type="continuationSeparator" w:id="1">
    <w:p w:rsidR="00583DEC" w:rsidP="003E7C80">
      <w:pPr>
        <w:spacing w:after="0" w:line="240" w:lineRule="auto"/>
      </w:pPr>
      <w:r>
        <w:continuationSeparator/>
      </w:r>
    </w:p>
  </w:footnote>
  <w:footnote w:id="2">
    <w:p w:rsidR="00B172BB" w:rsidRPr="002F036A" w:rsidP="00B172BB">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Correspondence, </w:t>
      </w:r>
      <w:r>
        <w:fldChar w:fldCharType="begin"/>
      </w:r>
      <w:r>
        <w:instrText xml:space="preserve"> HYPERLINK "https://committees.parliament.uk/publications/50355/documents/272168/default/" </w:instrText>
      </w:r>
      <w:r>
        <w:fldChar w:fldCharType="separate"/>
      </w:r>
      <w:r w:rsidRPr="002F036A">
        <w:rPr>
          <w:rStyle w:val="Hyperlink"/>
          <w:rFonts w:ascii="Verdana" w:hAnsi="Verdana"/>
          <w:i/>
          <w:iCs/>
          <w:color w:val="auto"/>
          <w:sz w:val="18"/>
          <w:szCs w:val="18"/>
        </w:rPr>
        <w:t>Minister for Museums, Heritage and Gambling to the Chair of the Liaison Committee</w:t>
      </w:r>
      <w:r>
        <w:fldChar w:fldCharType="end"/>
      </w:r>
      <w:r w:rsidRPr="002F036A">
        <w:rPr>
          <w:rFonts w:ascii="Verdana" w:hAnsi="Verdana"/>
          <w:sz w:val="18"/>
          <w:szCs w:val="18"/>
        </w:rPr>
        <w:t>, 16 July 2025, p 3</w:t>
      </w:r>
    </w:p>
  </w:footnote>
  <w:footnote w:id="3">
    <w:p w:rsidR="00B172BB" w:rsidRPr="002F036A" w:rsidP="00B172BB">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HC Deb, 23 April 2026, </w:t>
      </w:r>
      <w:r>
        <w:fldChar w:fldCharType="begin"/>
      </w:r>
      <w:r>
        <w:instrText xml:space="preserve"> HYPERLINK "https://hansard.parliament.uk/Commons/2026-04-23/debates/2127CEE3-C39F-4114-BCAB-8319F7E12357/GamblingAdvertising" </w:instrText>
      </w:r>
      <w:r>
        <w:fldChar w:fldCharType="separate"/>
      </w:r>
      <w:r w:rsidRPr="002F036A">
        <w:rPr>
          <w:rStyle w:val="Hyperlink"/>
          <w:rFonts w:ascii="Verdana" w:hAnsi="Verdana"/>
          <w:color w:val="auto"/>
          <w:sz w:val="18"/>
          <w:szCs w:val="18"/>
        </w:rPr>
        <w:t>col 228WH</w:t>
      </w:r>
      <w:r>
        <w:fldChar w:fldCharType="end"/>
      </w:r>
    </w:p>
  </w:footnote>
  <w:footnote w:id="4">
    <w:p w:rsidR="00B172BB" w:rsidRPr="002F036A" w:rsidP="00B172BB">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Select Committee on the Social and Economic Impact of the Gambling Industry,</w:t>
      </w:r>
    </w:p>
    <w:p w:rsidR="00B172BB" w:rsidRPr="002F036A" w:rsidP="00B172BB">
      <w:pPr>
        <w:pStyle w:val="FootnoteText"/>
        <w:rPr>
          <w:rFonts w:ascii="Verdana" w:hAnsi="Verdana"/>
          <w:sz w:val="18"/>
          <w:szCs w:val="18"/>
        </w:rPr>
      </w:pPr>
      <w:r>
        <w:fldChar w:fldCharType="begin"/>
      </w:r>
      <w:r>
        <w:instrText xml:space="preserve"> HYPERLINK "https://publications.parliament.uk/pa/ld5801/ldselect/ldgamb/79/7902.htm" </w:instrText>
      </w:r>
      <w:r>
        <w:fldChar w:fldCharType="separate"/>
      </w:r>
      <w:r w:rsidRPr="002F036A">
        <w:rPr>
          <w:rStyle w:val="Hyperlink"/>
          <w:rFonts w:ascii="Verdana" w:hAnsi="Verdana"/>
          <w:i/>
          <w:iCs/>
          <w:color w:val="auto"/>
          <w:sz w:val="18"/>
          <w:szCs w:val="18"/>
        </w:rPr>
        <w:t>Gambling Harm—Time for Action</w:t>
      </w:r>
      <w:r>
        <w:fldChar w:fldCharType="end"/>
      </w:r>
      <w:r w:rsidRPr="002F036A">
        <w:rPr>
          <w:rFonts w:ascii="Verdana" w:hAnsi="Verdana"/>
          <w:sz w:val="18"/>
          <w:szCs w:val="18"/>
        </w:rPr>
        <w:t xml:space="preserve"> (Report of Session 2019–21, HL Paper 79), paras 524–526</w:t>
      </w:r>
    </w:p>
  </w:footnote>
  <w:footnote w:id="5">
    <w:p w:rsidR="00E759B6" w:rsidRPr="002F036A" w:rsidP="00E759B6">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Select Committee on the Social and Economic Impact of the Gambling Industry,</w:t>
      </w:r>
    </w:p>
    <w:p w:rsidR="00E759B6" w:rsidRPr="002F036A" w:rsidP="00E759B6">
      <w:pPr>
        <w:pStyle w:val="FootnoteText"/>
        <w:rPr>
          <w:rFonts w:ascii="Verdana" w:hAnsi="Verdana"/>
          <w:sz w:val="18"/>
          <w:szCs w:val="18"/>
        </w:rPr>
      </w:pPr>
      <w:r>
        <w:fldChar w:fldCharType="begin"/>
      </w:r>
      <w:r>
        <w:instrText xml:space="preserve"> HYPERLINK "https://publications.parliament.uk/pa/ld5801/ldselect/ldgamb/79/7902.htm" </w:instrText>
      </w:r>
      <w:r>
        <w:fldChar w:fldCharType="separate"/>
      </w:r>
      <w:r w:rsidRPr="002F036A">
        <w:rPr>
          <w:rStyle w:val="Hyperlink"/>
          <w:rFonts w:ascii="Verdana" w:hAnsi="Verdana"/>
          <w:i/>
          <w:iCs/>
          <w:color w:val="auto"/>
          <w:sz w:val="18"/>
          <w:szCs w:val="18"/>
        </w:rPr>
        <w:t>Gambling Harm—Time for Action</w:t>
      </w:r>
      <w:r>
        <w:fldChar w:fldCharType="end"/>
      </w:r>
      <w:r w:rsidRPr="002F036A">
        <w:rPr>
          <w:rFonts w:ascii="Verdana" w:hAnsi="Verdana"/>
          <w:sz w:val="18"/>
          <w:szCs w:val="18"/>
        </w:rPr>
        <w:t xml:space="preserve"> (Report of Session 2019–21, HL Paper 79), para 530</w:t>
      </w:r>
    </w:p>
  </w:footnote>
  <w:footnote w:id="6">
    <w:p w:rsidR="00E759B6" w:rsidRPr="002F036A" w:rsidP="00E759B6">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Gambling Commission, </w:t>
      </w:r>
      <w:r>
        <w:fldChar w:fldCharType="begin"/>
      </w:r>
      <w:r>
        <w:instrText xml:space="preserve"> HYPERLINK "https://www.gamblingcommission.gov.uk/consultation-response/autumn-2023-consultation-proposed-changes-to-lccp-and-rts-socially" </w:instrText>
      </w:r>
      <w:r>
        <w:fldChar w:fldCharType="separate"/>
      </w:r>
      <w:r w:rsidRPr="002F036A">
        <w:rPr>
          <w:rStyle w:val="Hyperlink"/>
          <w:rFonts w:ascii="Verdana" w:hAnsi="Verdana"/>
          <w:i/>
          <w:iCs/>
          <w:color w:val="auto"/>
          <w:sz w:val="18"/>
          <w:szCs w:val="18"/>
        </w:rPr>
        <w:t>Autumn 2023 consultation—Proposed changes to LCCP and RTS—Socially responsible incentives: Consultation Response</w:t>
      </w:r>
      <w:r>
        <w:fldChar w:fldCharType="end"/>
      </w:r>
      <w:r w:rsidRPr="002F036A">
        <w:rPr>
          <w:rFonts w:ascii="Verdana" w:hAnsi="Verdana"/>
          <w:sz w:val="18"/>
          <w:szCs w:val="18"/>
        </w:rPr>
        <w:t>, 26 March 2025</w:t>
      </w:r>
    </w:p>
  </w:footnote>
  <w:footnote w:id="7">
    <w:p w:rsidR="00E759B6" w:rsidRPr="002F036A" w:rsidP="00E759B6">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Select Committee on the Social and Economic Impact of the Gambling Industry,</w:t>
      </w:r>
    </w:p>
    <w:p w:rsidR="00E759B6" w:rsidRPr="002F036A" w:rsidP="00E759B6">
      <w:pPr>
        <w:pStyle w:val="FootnoteText"/>
        <w:rPr>
          <w:rFonts w:ascii="Verdana" w:hAnsi="Verdana"/>
          <w:sz w:val="18"/>
          <w:szCs w:val="18"/>
        </w:rPr>
      </w:pPr>
      <w:r>
        <w:fldChar w:fldCharType="begin"/>
      </w:r>
      <w:r>
        <w:instrText xml:space="preserve"> HYPERLINK "https://publications.parliament.uk/pa/ld5801/ldselect/ldgamb/79/7902.htm" </w:instrText>
      </w:r>
      <w:r>
        <w:fldChar w:fldCharType="separate"/>
      </w:r>
      <w:r w:rsidRPr="002F036A">
        <w:rPr>
          <w:rStyle w:val="Hyperlink"/>
          <w:rFonts w:ascii="Verdana" w:hAnsi="Verdana"/>
          <w:i/>
          <w:iCs/>
          <w:color w:val="auto"/>
          <w:sz w:val="18"/>
          <w:szCs w:val="18"/>
        </w:rPr>
        <w:t>Gambling Harm—Time for Action</w:t>
      </w:r>
      <w:r>
        <w:fldChar w:fldCharType="end"/>
      </w:r>
      <w:r w:rsidRPr="002F036A">
        <w:rPr>
          <w:rFonts w:ascii="Verdana" w:hAnsi="Verdana"/>
          <w:sz w:val="18"/>
          <w:szCs w:val="18"/>
        </w:rPr>
        <w:t xml:space="preserve"> (Report of Session 2019–21, HL Paper 79), para 535</w:t>
      </w:r>
    </w:p>
    <w:p w:rsidR="00E759B6" w:rsidRPr="002F036A" w:rsidP="00E759B6">
      <w:pPr>
        <w:pStyle w:val="FootnoteText"/>
        <w:rPr>
          <w:rFonts w:ascii="Verdana" w:hAnsi="Verdana"/>
          <w:sz w:val="18"/>
          <w:szCs w:val="18"/>
        </w:rPr>
      </w:pPr>
    </w:p>
  </w:footnote>
  <w:footnote w:id="8">
    <w:p w:rsidR="00E759B6" w:rsidRPr="002F036A" w:rsidP="00E759B6">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Gambling Commission, </w:t>
      </w:r>
      <w:r>
        <w:fldChar w:fldCharType="begin"/>
      </w:r>
      <w:r>
        <w:instrText xml:space="preserve"> HYPERLINK "https://www.gamblingcommission.gov.uk/consultation-response/summer-2023-consultation-proposed-changes-to-lccp-and-rts-consultation" \l "changes" </w:instrText>
      </w:r>
      <w:r>
        <w:fldChar w:fldCharType="separate"/>
      </w:r>
      <w:r w:rsidRPr="002F036A">
        <w:rPr>
          <w:rStyle w:val="Hyperlink"/>
          <w:rFonts w:ascii="Verdana" w:hAnsi="Verdana"/>
          <w:i/>
          <w:iCs/>
          <w:color w:val="auto"/>
          <w:sz w:val="18"/>
          <w:szCs w:val="18"/>
        </w:rPr>
        <w:t>Summer 2023 consultation—Proposed changes to LCCP and RTS: Consultation Response</w:t>
      </w:r>
      <w:r>
        <w:fldChar w:fldCharType="end"/>
      </w:r>
      <w:r w:rsidRPr="002F036A">
        <w:rPr>
          <w:rFonts w:ascii="Verdana" w:hAnsi="Verdana"/>
          <w:sz w:val="18"/>
          <w:szCs w:val="18"/>
        </w:rPr>
        <w:t>, 1 May 2024</w:t>
      </w:r>
    </w:p>
  </w:footnote>
  <w:footnote w:id="9">
    <w:p w:rsidR="00E759B6" w:rsidRPr="002F036A" w:rsidP="00E759B6">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Select Committee on the Social and Economic Impact of the Gambling Industry,</w:t>
      </w:r>
    </w:p>
    <w:p w:rsidR="00E759B6" w:rsidRPr="002F036A" w:rsidP="00E759B6">
      <w:pPr>
        <w:pStyle w:val="FootnoteText"/>
        <w:rPr>
          <w:rFonts w:ascii="Verdana" w:hAnsi="Verdana"/>
          <w:sz w:val="18"/>
          <w:szCs w:val="18"/>
        </w:rPr>
      </w:pPr>
      <w:r>
        <w:fldChar w:fldCharType="begin"/>
      </w:r>
      <w:r>
        <w:instrText xml:space="preserve"> HYPERLINK "https://publications.parliament.uk/pa/ld5801/ldselect/ldgamb/79/7902.htm" </w:instrText>
      </w:r>
      <w:r>
        <w:fldChar w:fldCharType="separate"/>
      </w:r>
      <w:r w:rsidRPr="002F036A">
        <w:rPr>
          <w:rStyle w:val="Hyperlink"/>
          <w:rFonts w:ascii="Verdana" w:hAnsi="Verdana"/>
          <w:i/>
          <w:iCs/>
          <w:color w:val="auto"/>
          <w:sz w:val="18"/>
          <w:szCs w:val="18"/>
        </w:rPr>
        <w:t>Gambling Harm—Time for Action</w:t>
      </w:r>
      <w:r>
        <w:fldChar w:fldCharType="end"/>
      </w:r>
      <w:r w:rsidRPr="002F036A">
        <w:rPr>
          <w:rFonts w:ascii="Verdana" w:hAnsi="Verdana"/>
          <w:sz w:val="18"/>
          <w:szCs w:val="18"/>
        </w:rPr>
        <w:t xml:space="preserve"> (Report of Session 2019–21, HL Paper 79), para 541</w:t>
      </w:r>
    </w:p>
  </w:footnote>
  <w:footnote w:id="10">
    <w:p w:rsidR="00E759B6" w:rsidRPr="002F036A" w:rsidP="00E759B6">
      <w:pPr>
        <w:pStyle w:val="FootnoteText"/>
        <w:rPr>
          <w:rFonts w:ascii="Verdana" w:hAnsi="Verdana"/>
          <w:sz w:val="18"/>
          <w:szCs w:val="18"/>
        </w:rPr>
      </w:pPr>
      <w:r w:rsidRPr="002F036A">
        <w:rPr>
          <w:rStyle w:val="FootnoteReference"/>
          <w:rFonts w:ascii="Verdana" w:hAnsi="Verdana"/>
          <w:sz w:val="18"/>
          <w:szCs w:val="18"/>
        </w:rPr>
        <w:footnoteRef/>
      </w:r>
      <w:r w:rsidRPr="002F036A">
        <w:rPr>
          <w:rFonts w:ascii="Verdana" w:hAnsi="Verdana"/>
          <w:sz w:val="18"/>
          <w:szCs w:val="18"/>
        </w:rPr>
        <w:t xml:space="preserve"> Select Committee on the Social and Economic Impact of the Gambling Industry,</w:t>
      </w:r>
    </w:p>
    <w:p w:rsidR="00E759B6" w:rsidRPr="002F036A" w:rsidP="00E759B6">
      <w:pPr>
        <w:pStyle w:val="FootnoteText"/>
        <w:rPr>
          <w:rFonts w:ascii="Verdana" w:hAnsi="Verdana"/>
          <w:sz w:val="18"/>
          <w:szCs w:val="18"/>
        </w:rPr>
      </w:pPr>
      <w:r>
        <w:fldChar w:fldCharType="begin"/>
      </w:r>
      <w:r>
        <w:instrText xml:space="preserve"> HYPERLINK "https://publications.parliament.uk/pa/ld5801/ldselect/ldgamb/79/7902.htm" </w:instrText>
      </w:r>
      <w:r>
        <w:fldChar w:fldCharType="separate"/>
      </w:r>
      <w:r w:rsidRPr="002F036A">
        <w:rPr>
          <w:rStyle w:val="Hyperlink"/>
          <w:rFonts w:ascii="Verdana" w:hAnsi="Verdana"/>
          <w:i/>
          <w:iCs/>
          <w:color w:val="auto"/>
          <w:sz w:val="18"/>
          <w:szCs w:val="18"/>
        </w:rPr>
        <w:t>Gambling Harm—Time for Action</w:t>
      </w:r>
      <w:r>
        <w:fldChar w:fldCharType="end"/>
      </w:r>
      <w:r w:rsidRPr="002F036A">
        <w:rPr>
          <w:rFonts w:ascii="Verdana" w:hAnsi="Verdana"/>
          <w:sz w:val="18"/>
          <w:szCs w:val="18"/>
        </w:rPr>
        <w:t xml:space="preserve"> (Report of Session 2019–21, HL Paper 79), para 250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D16601"/>
    <w:multiLevelType w:val="hybridMultilevel"/>
    <w:tmpl w:val="7020F77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FA06E2"/>
    <w:multiLevelType w:val="hybridMultilevel"/>
    <w:tmpl w:val="DEF62B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B4C1F3F"/>
    <w:multiLevelType w:val="hybridMultilevel"/>
    <w:tmpl w:val="FD3C986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C345B07"/>
    <w:multiLevelType w:val="hybridMultilevel"/>
    <w:tmpl w:val="F064B50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BF4161"/>
    <w:multiLevelType w:val="hybridMultilevel"/>
    <w:tmpl w:val="D374B90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123A74D3"/>
    <w:multiLevelType w:val="multilevel"/>
    <w:tmpl w:val="C2421A6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14117AF7"/>
    <w:multiLevelType w:val="hybridMultilevel"/>
    <w:tmpl w:val="C49633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5A672E"/>
    <w:multiLevelType w:val="multilevel"/>
    <w:tmpl w:val="66C2841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DE74D2B"/>
    <w:multiLevelType w:val="multilevel"/>
    <w:tmpl w:val="AB5C569C"/>
    <w:lvl w:ilvl="0">
      <w:start w:val="2"/>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1E892998"/>
    <w:multiLevelType w:val="hybridMultilevel"/>
    <w:tmpl w:val="BD76D75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1FD319C1"/>
    <w:multiLevelType w:val="multilevel"/>
    <w:tmpl w:val="4AC25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14F7D25"/>
    <w:multiLevelType w:val="hybridMultilevel"/>
    <w:tmpl w:val="70C833F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96D6B23"/>
    <w:multiLevelType w:val="hybridMultilevel"/>
    <w:tmpl w:val="82520D0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E65103C"/>
    <w:multiLevelType w:val="hybridMultilevel"/>
    <w:tmpl w:val="E53CC11C"/>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F4935DA"/>
    <w:multiLevelType w:val="hybridMultilevel"/>
    <w:tmpl w:val="771AA93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3134584D"/>
    <w:multiLevelType w:val="hybridMultilevel"/>
    <w:tmpl w:val="06D0D3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24117BD"/>
    <w:multiLevelType w:val="hybridMultilevel"/>
    <w:tmpl w:val="BE6483B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4F133E6"/>
    <w:multiLevelType w:val="hybridMultilevel"/>
    <w:tmpl w:val="6B04E0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27124FB"/>
    <w:multiLevelType w:val="hybridMultilevel"/>
    <w:tmpl w:val="CFDCC9B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7606A15"/>
    <w:multiLevelType w:val="hybridMultilevel"/>
    <w:tmpl w:val="F876686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43F300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hint="default"/>
        <w:color w:val="212121"/>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4FB5E4F"/>
    <w:multiLevelType w:val="hybridMultilevel"/>
    <w:tmpl w:val="A308DBF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5A071324"/>
    <w:multiLevelType w:val="hybridMultilevel"/>
    <w:tmpl w:val="0AE40AE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FE34A1D"/>
    <w:multiLevelType w:val="hybridMultilevel"/>
    <w:tmpl w:val="FEE401C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8CB7903"/>
    <w:multiLevelType w:val="hybridMultilevel"/>
    <w:tmpl w:val="82EC3F30"/>
    <w:lvl w:ilvl="0">
      <w:start w:val="1"/>
      <w:numFmt w:val="bullet"/>
      <w:lvlText w:val="-"/>
      <w:lvlJc w:val="left"/>
      <w:pPr>
        <w:ind w:left="720" w:hanging="360"/>
      </w:pPr>
      <w:rPr>
        <w:rFonts w:ascii="Aptos" w:hAnsi="Aptos" w:eastAsiaTheme="minorHAns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96A4F49"/>
    <w:multiLevelType w:val="hybridMultilevel"/>
    <w:tmpl w:val="14320E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32656AE"/>
    <w:multiLevelType w:val="multilevel"/>
    <w:tmpl w:val="40322A66"/>
    <w:lvl w:ilvl="0">
      <w:start w:val="3"/>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74220C20"/>
    <w:multiLevelType w:val="multilevel"/>
    <w:tmpl w:val="B6B273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7ACD5BE9"/>
    <w:multiLevelType w:val="hybridMultilevel"/>
    <w:tmpl w:val="14320E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E0B2DD8"/>
    <w:multiLevelType w:val="hybridMultilevel"/>
    <w:tmpl w:val="F692DA4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0">
    <w:nsid w:val="7EA26A11"/>
    <w:multiLevelType w:val="hybridMultilevel"/>
    <w:tmpl w:val="9B1E42E4"/>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12"/>
  </w:num>
  <w:num w:numId="2">
    <w:abstractNumId w:val="6"/>
  </w:num>
  <w:num w:numId="3">
    <w:abstractNumId w:val="11"/>
  </w:num>
  <w:num w:numId="4">
    <w:abstractNumId w:val="16"/>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2"/>
  </w:num>
  <w:num w:numId="8">
    <w:abstractNumId w:val="18"/>
  </w:num>
  <w:num w:numId="9">
    <w:abstractNumId w:val="19"/>
  </w:num>
  <w:num w:numId="10">
    <w:abstractNumId w:val="1"/>
  </w:num>
  <w:num w:numId="11">
    <w:abstractNumId w:val="2"/>
  </w:num>
  <w:num w:numId="12">
    <w:abstractNumId w:val="14"/>
  </w:num>
  <w:num w:numId="13">
    <w:abstractNumId w:val="30"/>
  </w:num>
  <w:num w:numId="14">
    <w:abstractNumId w:val="9"/>
  </w:num>
  <w:num w:numId="15">
    <w:abstractNumId w:val="21"/>
  </w:num>
  <w:num w:numId="16">
    <w:abstractNumId w:val="29"/>
  </w:num>
  <w:num w:numId="17">
    <w:abstractNumId w:val="4"/>
  </w:num>
  <w:num w:numId="18">
    <w:abstractNumId w:val="28"/>
  </w:num>
  <w:num w:numId="19">
    <w:abstractNumId w:val="25"/>
  </w:num>
  <w:num w:numId="20">
    <w:abstractNumId w:val="10"/>
  </w:num>
  <w:num w:numId="21">
    <w:abstractNumId w:val="17"/>
  </w:num>
  <w:num w:numId="22">
    <w:abstractNumId w:val="24"/>
  </w:num>
  <w:num w:numId="23">
    <w:abstractNumId w:val="24"/>
  </w:num>
  <w:num w:numId="24">
    <w:abstractNumId w:val="20"/>
  </w:num>
  <w:num w:numId="25">
    <w:abstractNumId w:val="27"/>
  </w:num>
  <w:num w:numId="26">
    <w:abstractNumId w:val="8"/>
  </w:num>
  <w:num w:numId="27">
    <w:abstractNumId w:val="26"/>
  </w:num>
  <w:num w:numId="28">
    <w:abstractNumId w:val="13"/>
  </w:num>
  <w:num w:numId="29">
    <w:abstractNumId w:val="7"/>
  </w:num>
  <w:num w:numId="30">
    <w:abstractNumId w:val="23"/>
  </w:num>
  <w:num w:numId="31">
    <w:abstractNumId w:val="5"/>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TW"/>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7C80"/>
  </w:style>
  <w:style w:type="paragraph" w:styleId="Heading1">
    <w:name w:val="heading 1"/>
    <w:basedOn w:val="Normal"/>
    <w:next w:val="Normal"/>
    <w:link w:val="Heading1Char"/>
    <w:uiPriority w:val="9"/>
    <w:qFormat/>
    <w:rsid w:val="003E7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C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C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C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C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C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C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C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C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C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C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C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C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C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C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C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C80"/>
    <w:rPr>
      <w:rFonts w:eastAsiaTheme="majorEastAsia" w:cstheme="majorBidi"/>
      <w:color w:val="272727" w:themeColor="text1" w:themeTint="D8"/>
    </w:rPr>
  </w:style>
  <w:style w:type="paragraph" w:styleId="Title">
    <w:name w:val="Title"/>
    <w:basedOn w:val="Normal"/>
    <w:next w:val="Normal"/>
    <w:link w:val="TitleChar"/>
    <w:uiPriority w:val="10"/>
    <w:qFormat/>
    <w:rsid w:val="003E7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C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C80"/>
    <w:pPr>
      <w:spacing w:before="160"/>
      <w:jc w:val="center"/>
    </w:pPr>
    <w:rPr>
      <w:i/>
      <w:iCs/>
      <w:color w:val="404040" w:themeColor="text1" w:themeTint="BF"/>
    </w:rPr>
  </w:style>
  <w:style w:type="character" w:customStyle="1" w:styleId="QuoteChar">
    <w:name w:val="Quote Char"/>
    <w:basedOn w:val="DefaultParagraphFont"/>
    <w:link w:val="Quote"/>
    <w:uiPriority w:val="29"/>
    <w:rsid w:val="003E7C80"/>
    <w:rPr>
      <w:i/>
      <w:iCs/>
      <w:color w:val="404040" w:themeColor="text1" w:themeTint="BF"/>
    </w:rPr>
  </w:style>
  <w:style w:type="paragraph" w:styleId="ListParagraph">
    <w:name w:val="List Paragraph"/>
    <w:basedOn w:val="Normal"/>
    <w:uiPriority w:val="34"/>
    <w:qFormat/>
    <w:rsid w:val="003E7C80"/>
    <w:pPr>
      <w:ind w:left="720"/>
      <w:contextualSpacing/>
    </w:pPr>
  </w:style>
  <w:style w:type="character" w:styleId="IntenseEmphasis">
    <w:name w:val="Intense Emphasis"/>
    <w:basedOn w:val="DefaultParagraphFont"/>
    <w:uiPriority w:val="21"/>
    <w:qFormat/>
    <w:rsid w:val="003E7C80"/>
    <w:rPr>
      <w:i/>
      <w:iCs/>
      <w:color w:val="0F4761" w:themeColor="accent1" w:themeShade="BF"/>
    </w:rPr>
  </w:style>
  <w:style w:type="paragraph" w:styleId="IntenseQuote">
    <w:name w:val="Intense Quote"/>
    <w:basedOn w:val="Normal"/>
    <w:next w:val="Normal"/>
    <w:link w:val="IntenseQuoteChar"/>
    <w:uiPriority w:val="30"/>
    <w:qFormat/>
    <w:rsid w:val="003E7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C80"/>
    <w:rPr>
      <w:i/>
      <w:iCs/>
      <w:color w:val="0F4761" w:themeColor="accent1" w:themeShade="BF"/>
    </w:rPr>
  </w:style>
  <w:style w:type="character" w:styleId="IntenseReference">
    <w:name w:val="Intense Reference"/>
    <w:basedOn w:val="DefaultParagraphFont"/>
    <w:uiPriority w:val="32"/>
    <w:qFormat/>
    <w:rsid w:val="003E7C80"/>
    <w:rPr>
      <w:b/>
      <w:bCs/>
      <w:smallCaps/>
      <w:color w:val="0F4761" w:themeColor="accent1" w:themeShade="BF"/>
      <w:spacing w:val="5"/>
    </w:rPr>
  </w:style>
  <w:style w:type="paragraph" w:styleId="FootnoteText">
    <w:name w:val="footnote text"/>
    <w:basedOn w:val="Normal"/>
    <w:link w:val="FootnoteTextChar"/>
    <w:uiPriority w:val="99"/>
    <w:semiHidden/>
    <w:unhideWhenUsed/>
    <w:rsid w:val="003E7C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7C80"/>
    <w:rPr>
      <w:sz w:val="20"/>
      <w:szCs w:val="20"/>
    </w:rPr>
  </w:style>
  <w:style w:type="character" w:styleId="FootnoteReference">
    <w:name w:val="footnote reference"/>
    <w:basedOn w:val="DefaultParagraphFont"/>
    <w:uiPriority w:val="99"/>
    <w:semiHidden/>
    <w:unhideWhenUsed/>
    <w:rsid w:val="003E7C80"/>
    <w:rPr>
      <w:vertAlign w:val="superscript"/>
    </w:rPr>
  </w:style>
  <w:style w:type="character" w:styleId="Hyperlink">
    <w:name w:val="Hyperlink"/>
    <w:basedOn w:val="DefaultParagraphFont"/>
    <w:uiPriority w:val="99"/>
    <w:unhideWhenUsed/>
    <w:rsid w:val="003E7C80"/>
    <w:rPr>
      <w:color w:val="467886" w:themeColor="hyperlink"/>
      <w:u w:val="single"/>
    </w:rPr>
  </w:style>
  <w:style w:type="character" w:customStyle="1" w:styleId="UnresolvedMention">
    <w:name w:val="Unresolved Mention"/>
    <w:basedOn w:val="DefaultParagraphFont"/>
    <w:uiPriority w:val="99"/>
    <w:semiHidden/>
    <w:unhideWhenUsed/>
    <w:rsid w:val="005B26B7"/>
    <w:rPr>
      <w:color w:val="605E5C"/>
      <w:shd w:val="clear" w:color="auto" w:fill="E1DFDD"/>
    </w:rPr>
  </w:style>
  <w:style w:type="paragraph" w:styleId="Revision">
    <w:name w:val="Revision"/>
    <w:hidden/>
    <w:uiPriority w:val="99"/>
    <w:semiHidden/>
    <w:rsid w:val="00EC7130"/>
    <w:pPr>
      <w:spacing w:after="0" w:line="240" w:lineRule="auto"/>
    </w:pPr>
  </w:style>
  <w:style w:type="character" w:styleId="FollowedHyperlink">
    <w:name w:val="FollowedHyperlink"/>
    <w:basedOn w:val="DefaultParagraphFont"/>
    <w:uiPriority w:val="99"/>
    <w:semiHidden/>
    <w:unhideWhenUsed/>
    <w:rsid w:val="002D7BFF"/>
    <w:rPr>
      <w:color w:val="96607D" w:themeColor="followedHyperlink"/>
      <w:u w:val="single"/>
    </w:rPr>
  </w:style>
  <w:style w:type="paragraph" w:styleId="Header">
    <w:name w:val="header"/>
    <w:basedOn w:val="Normal"/>
    <w:link w:val="HeaderChar"/>
    <w:uiPriority w:val="99"/>
    <w:unhideWhenUsed/>
    <w:rsid w:val="00B454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49F"/>
  </w:style>
  <w:style w:type="paragraph" w:styleId="Footer">
    <w:name w:val="footer"/>
    <w:basedOn w:val="Normal"/>
    <w:link w:val="FooterChar"/>
    <w:uiPriority w:val="99"/>
    <w:unhideWhenUsed/>
    <w:rsid w:val="00B454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49F"/>
  </w:style>
  <w:style w:type="character" w:styleId="Strong">
    <w:name w:val="Strong"/>
    <w:basedOn w:val="DefaultParagraphFont"/>
    <w:uiPriority w:val="22"/>
    <w:qFormat/>
    <w:rsid w:val="00C36520"/>
    <w:rPr>
      <w:b/>
      <w:bCs/>
    </w:rPr>
  </w:style>
  <w:style w:type="paragraph" w:customStyle="1" w:styleId="isselectedend">
    <w:name w:val="isselectedend"/>
    <w:basedOn w:val="Normal"/>
    <w:rsid w:val="0082700E"/>
    <w:pPr>
      <w:spacing w:before="100" w:beforeAutospacing="1" w:after="100" w:afterAutospacing="1" w:line="240" w:lineRule="auto"/>
    </w:pPr>
    <w:rPr>
      <w:rFonts w:ascii="Times New Roman" w:eastAsia="Times New Roman" w:hAnsi="Times New Roman" w:cs="Times New Roman"/>
      <w:kern w:val="0"/>
      <w:lang w:val="ru-RU" w:eastAsia="ru-RU"/>
    </w:rPr>
  </w:style>
  <w:style w:type="paragraph" w:styleId="NormalWeb">
    <w:name w:val="Normal (Web)"/>
    <w:basedOn w:val="Normal"/>
    <w:uiPriority w:val="99"/>
    <w:unhideWhenUsed/>
    <w:rsid w:val="003511A7"/>
    <w:pPr>
      <w:spacing w:before="100" w:beforeAutospacing="1" w:after="100" w:afterAutospacing="1" w:line="240" w:lineRule="auto"/>
    </w:pPr>
    <w:rPr>
      <w:rFonts w:ascii="Times New Roman" w:eastAsia="Times New Roman" w:hAnsi="Times New Roman" w:cs="Times New Roman"/>
      <w:kern w:val="0"/>
      <w:lang w:val="ru-RU" w:eastAsia="ru-RU"/>
    </w:rPr>
  </w:style>
  <w:style w:type="paragraph" w:customStyle="1" w:styleId="paragraph">
    <w:name w:val="paragraph"/>
    <w:basedOn w:val="Normal"/>
    <w:rsid w:val="00E127E8"/>
    <w:pPr>
      <w:spacing w:before="100" w:beforeAutospacing="1" w:after="100" w:afterAutospacing="1" w:line="240" w:lineRule="auto"/>
    </w:pPr>
    <w:rPr>
      <w:rFonts w:ascii="Times New Roman" w:eastAsia="Times New Roman" w:hAnsi="Times New Roman" w:cs="Times New Roman"/>
      <w:kern w:val="0"/>
      <w:lang w:val="ru-RU" w:eastAsia="ru-RU"/>
    </w:rPr>
  </w:style>
  <w:style w:type="character" w:customStyle="1" w:styleId="normaltextrun">
    <w:name w:val="normaltextrun"/>
    <w:basedOn w:val="DefaultParagraphFont"/>
    <w:rsid w:val="00E127E8"/>
  </w:style>
  <w:style w:type="character" w:customStyle="1" w:styleId="superscript">
    <w:name w:val="superscript"/>
    <w:basedOn w:val="DefaultParagraphFont"/>
    <w:rsid w:val="00E127E8"/>
  </w:style>
  <w:style w:type="character" w:customStyle="1" w:styleId="eop">
    <w:name w:val="eop"/>
    <w:basedOn w:val="DefaultParagraphFont"/>
    <w:rsid w:val="00E127E8"/>
  </w:style>
  <w:style w:type="character" w:styleId="PageNumber">
    <w:name w:val="page number"/>
    <w:basedOn w:val="DefaultParagraphFont"/>
    <w:uiPriority w:val="99"/>
    <w:semiHidden/>
    <w:unhideWhenUsed/>
    <w:rsid w:val="006844E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70015"/>
    <w:rPr>
      <w:b/>
      <w:bCs/>
    </w:rPr>
  </w:style>
  <w:style w:type="character" w:customStyle="1" w:styleId="CommentSubjectChar">
    <w:name w:val="Comment Subject Char"/>
    <w:basedOn w:val="CommentTextChar"/>
    <w:link w:val="CommentSubject"/>
    <w:uiPriority w:val="99"/>
    <w:semiHidden/>
    <w:rsid w:val="00370015"/>
    <w:rPr>
      <w:b/>
      <w:bCs/>
      <w:sz w:val="20"/>
      <w:szCs w:val="20"/>
    </w:rPr>
  </w:style>
  <w:style w:type="character" w:customStyle="1" w:styleId="CommentReference1">
    <w:name w:val="Comment Reference1"/>
    <w:basedOn w:val="DefaultParagraphFont"/>
    <w:uiPriority w:val="99"/>
    <w:semiHidden/>
    <w:unhideWhenUsed/>
    <w:rsid w:val="00B72348"/>
    <w:rPr>
      <w:sz w:val="16"/>
      <w:szCs w:val="16"/>
    </w:rPr>
  </w:style>
  <w:style w:type="paragraph" w:customStyle="1" w:styleId="CommentText1">
    <w:name w:val="Comment Text1"/>
    <w:basedOn w:val="Normal"/>
    <w:uiPriority w:val="99"/>
    <w:unhideWhenUsed/>
    <w:rsid w:val="00B72348"/>
    <w:pPr>
      <w:spacing w:line="240" w:lineRule="auto"/>
    </w:pPr>
    <w:rPr>
      <w:sz w:val="20"/>
      <w:szCs w:val="20"/>
    </w:rPr>
  </w:style>
  <w:style w:type="paragraph" w:customStyle="1" w:styleId="CommentSubject1">
    <w:name w:val="Comment Subject1"/>
    <w:basedOn w:val="CommentText1"/>
    <w:next w:val="CommentText1"/>
    <w:uiPriority w:val="99"/>
    <w:semiHidden/>
    <w:unhideWhenUsed/>
    <w:rsid w:val="00B723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0AD36-ECCD-47E5-ABC7-36873132E9BE}">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GAM0003</dc:title>
  <cp:revision>0</cp:revision>
</cp:coreProperties>
</file>