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2712" w:rsidRPr="006E0274" w:rsidP="006B0F9F">
      <w:pPr>
        <w:rPr>
          <w:rFonts w:ascii="Verdana" w:hAnsi="Verdana"/>
          <w:b/>
          <w:sz w:val="28"/>
          <w:szCs w:val="28"/>
        </w:rPr>
      </w:pPr>
      <w:r w:rsidRPr="006E0274">
        <w:rPr>
          <w:rFonts w:ascii="Verdana" w:hAnsi="Verdana"/>
          <w:b/>
          <w:sz w:val="28"/>
          <w:szCs w:val="28"/>
        </w:rPr>
        <w:t xml:space="preserve">Written evidence </w:t>
      </w:r>
      <w:r w:rsidRPr="006E0274" w:rsidR="00E53025">
        <w:rPr>
          <w:rFonts w:ascii="Verdana" w:hAnsi="Verdana"/>
          <w:b/>
          <w:sz w:val="28"/>
          <w:szCs w:val="28"/>
        </w:rPr>
        <w:t>from the Advertising Standards Authority (ASA) (GAM0002)</w:t>
      </w:r>
    </w:p>
    <w:p w:rsidR="000E7169" w:rsidRPr="006E0274" w:rsidP="006B0F9F">
      <w:pPr>
        <w:rPr>
          <w:rFonts w:ascii="Verdana" w:hAnsi="Verdana"/>
          <w:b/>
          <w:i/>
          <w:sz w:val="22"/>
          <w:szCs w:val="22"/>
        </w:rPr>
      </w:pPr>
      <w:r w:rsidRPr="006E0274">
        <w:rPr>
          <w:rFonts w:ascii="Verdana" w:hAnsi="Verdana"/>
          <w:b/>
          <w:i/>
          <w:sz w:val="22"/>
          <w:szCs w:val="22"/>
        </w:rPr>
        <w:t>Regulatory framework</w:t>
      </w:r>
    </w:p>
    <w:p w:rsidR="00B51C97"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What is the ASA’s assessment of how effectively it is discharging its responsibilities in relation to the advertising of gambling</w:t>
      </w:r>
      <w:r w:rsidRPr="006E0274">
        <w:rPr>
          <w:rFonts w:ascii="Verdana" w:hAnsi="Verdana"/>
          <w:sz w:val="22"/>
          <w:szCs w:val="22"/>
        </w:rPr>
        <w:t>?</w:t>
      </w:r>
    </w:p>
    <w:p w:rsidR="008A7069" w:rsidRPr="006E0274" w:rsidP="006B0F9F">
      <w:pPr>
        <w:rPr>
          <w:rFonts w:ascii="Verdana" w:hAnsi="Verdana"/>
          <w:sz w:val="22"/>
          <w:szCs w:val="22"/>
        </w:rPr>
      </w:pPr>
      <w:r w:rsidRPr="006E0274">
        <w:rPr>
          <w:rFonts w:ascii="Verdana" w:hAnsi="Verdana"/>
          <w:sz w:val="22"/>
          <w:szCs w:val="22"/>
        </w:rPr>
        <w:t>The ASA considers the current regulatory system for gambling advertising is effective, combining independent advertising regulation with Gambling Commission licensing and enforcement powers. The framework enables specialist ASA oversight of advertising content and placement while ensuring operators remain ultimately accountable under the CAP and BCAP Codes, Gambling Commission licensing provisions and gambling law.</w:t>
      </w:r>
    </w:p>
    <w:p w:rsidR="00C50554" w:rsidRPr="006E0274" w:rsidP="006B0F9F">
      <w:pPr>
        <w:rPr>
          <w:rFonts w:ascii="Verdana" w:hAnsi="Verdana"/>
          <w:sz w:val="22"/>
          <w:szCs w:val="22"/>
        </w:rPr>
      </w:pPr>
      <w:r w:rsidRPr="006E0274">
        <w:rPr>
          <w:rFonts w:ascii="Verdana" w:hAnsi="Verdana"/>
          <w:sz w:val="22"/>
          <w:szCs w:val="22"/>
        </w:rPr>
        <w:t xml:space="preserve">We consider that the ASA system provides a robust but </w:t>
      </w:r>
      <w:r w:rsidRPr="006E0274" w:rsidR="09E9DAC1">
        <w:rPr>
          <w:rFonts w:ascii="Verdana" w:hAnsi="Verdana"/>
          <w:sz w:val="22"/>
          <w:szCs w:val="22"/>
        </w:rPr>
        <w:t xml:space="preserve">targeted and </w:t>
      </w:r>
      <w:r w:rsidRPr="006E0274">
        <w:rPr>
          <w:rFonts w:ascii="Verdana" w:hAnsi="Verdana"/>
          <w:sz w:val="22"/>
          <w:szCs w:val="22"/>
        </w:rPr>
        <w:t>proportionate framework in which responsible gambling is permitted, but where people are protected from potential gambling advertising related harms. It is a system that can, and does, respond to emerging evidence and one that also adapts quickly to advertising trends and the ever-evolving media and advertising landscape.</w:t>
      </w:r>
    </w:p>
    <w:p w:rsidR="00C758FE" w:rsidRPr="006E0274" w:rsidP="006B0F9F">
      <w:pPr>
        <w:pStyle w:val="ListParagraph"/>
        <w:numPr>
          <w:ilvl w:val="0"/>
          <w:numId w:val="33"/>
        </w:numPr>
        <w:contextualSpacing w:val="0"/>
        <w:rPr>
          <w:rFonts w:ascii="Verdana" w:hAnsi="Verdana"/>
          <w:sz w:val="22"/>
          <w:szCs w:val="22"/>
        </w:rPr>
      </w:pPr>
      <w:r w:rsidRPr="006E0274">
        <w:rPr>
          <w:rFonts w:ascii="Verdana" w:hAnsi="Verdana"/>
          <w:sz w:val="22"/>
          <w:szCs w:val="22"/>
        </w:rPr>
        <w:t>Does the ASA consider the current division of responsibilities between the ASA and the Gambling Commission to be appropriate?</w:t>
      </w:r>
    </w:p>
    <w:p w:rsidR="00C758FE" w:rsidRPr="006E0274" w:rsidP="006B0F9F">
      <w:pPr>
        <w:rPr>
          <w:rFonts w:ascii="Verdana" w:hAnsi="Verdana"/>
          <w:sz w:val="22"/>
          <w:szCs w:val="22"/>
        </w:rPr>
      </w:pPr>
      <w:r w:rsidRPr="006E0274">
        <w:rPr>
          <w:rFonts w:ascii="Verdana" w:hAnsi="Verdana"/>
          <w:sz w:val="22"/>
          <w:szCs w:val="22"/>
        </w:rPr>
        <w:t>As the UK’s frontline advertising regulator, the ASA brings together different statutory, co-regulatory and self-regulatory enforcement mechanisms so they appear seamless to people and businesses. The support we receive through collective ad regulation delivers faster, more flexible, more joined-up and proportionate regulation.</w:t>
      </w:r>
    </w:p>
    <w:p w:rsidR="00C758FE" w:rsidRPr="006E0274" w:rsidP="006B0F9F">
      <w:pPr>
        <w:rPr>
          <w:rFonts w:ascii="Verdana" w:hAnsi="Verdana"/>
          <w:sz w:val="22"/>
          <w:szCs w:val="22"/>
        </w:rPr>
      </w:pPr>
      <w:r w:rsidRPr="006E0274">
        <w:rPr>
          <w:rFonts w:ascii="Verdana" w:hAnsi="Verdana"/>
          <w:sz w:val="22"/>
          <w:szCs w:val="22"/>
        </w:rPr>
        <w:t xml:space="preserve">The division of responsibilities between the ASA and Gambling Commission is streamlined, aligning </w:t>
      </w:r>
      <w:r w:rsidRPr="006E0274" w:rsidR="005B4AE2">
        <w:rPr>
          <w:rFonts w:ascii="Verdana" w:hAnsi="Verdana"/>
          <w:sz w:val="22"/>
          <w:szCs w:val="22"/>
        </w:rPr>
        <w:t xml:space="preserve">different </w:t>
      </w:r>
      <w:r w:rsidRPr="006E0274" w:rsidR="007A7EFC">
        <w:rPr>
          <w:rFonts w:ascii="Verdana" w:hAnsi="Verdana"/>
          <w:sz w:val="22"/>
          <w:szCs w:val="22"/>
        </w:rPr>
        <w:t>types</w:t>
      </w:r>
      <w:r w:rsidRPr="006E0274" w:rsidR="005B4AE2">
        <w:rPr>
          <w:rFonts w:ascii="Verdana" w:hAnsi="Verdana"/>
          <w:sz w:val="22"/>
          <w:szCs w:val="22"/>
        </w:rPr>
        <w:t xml:space="preserve"> of </w:t>
      </w:r>
      <w:r w:rsidRPr="006E0274">
        <w:rPr>
          <w:rFonts w:ascii="Verdana" w:hAnsi="Verdana"/>
          <w:sz w:val="22"/>
          <w:szCs w:val="22"/>
        </w:rPr>
        <w:t xml:space="preserve">regulatory expertise and avoiding duplication. We have a good relationship with the Gambling Commission, and our continued cooperation and information sharing remains important. </w:t>
      </w:r>
    </w:p>
    <w:p w:rsidR="000E06D5"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W</w:t>
      </w:r>
      <w:r w:rsidRPr="006E0274" w:rsidR="000E7169">
        <w:rPr>
          <w:rFonts w:ascii="Verdana" w:hAnsi="Verdana"/>
          <w:sz w:val="22"/>
          <w:szCs w:val="22"/>
        </w:rPr>
        <w:t>hat, if any, changes would the ASA wish to see in the regulatory framework?</w:t>
      </w:r>
    </w:p>
    <w:p w:rsidR="000E06D5" w:rsidRPr="006E0274" w:rsidP="006B0F9F">
      <w:pPr>
        <w:rPr>
          <w:rFonts w:ascii="Verdana" w:hAnsi="Verdana"/>
          <w:sz w:val="22"/>
          <w:szCs w:val="22"/>
        </w:rPr>
      </w:pPr>
      <w:r w:rsidRPr="006E0274">
        <w:rPr>
          <w:rFonts w:ascii="Verdana" w:hAnsi="Verdana"/>
          <w:sz w:val="22"/>
          <w:szCs w:val="22"/>
        </w:rPr>
        <w:t>Gambling is an extremely important area of advertising regulation because of the potential for harm</w:t>
      </w:r>
      <w:r w:rsidRPr="006E0274" w:rsidR="008D37E5">
        <w:rPr>
          <w:rFonts w:ascii="Verdana" w:hAnsi="Verdana"/>
          <w:sz w:val="22"/>
          <w:szCs w:val="22"/>
        </w:rPr>
        <w:t xml:space="preserve"> associated with the participation in gambling</w:t>
      </w:r>
      <w:r w:rsidRPr="006E0274">
        <w:rPr>
          <w:rFonts w:ascii="Verdana" w:hAnsi="Verdana"/>
          <w:sz w:val="22"/>
          <w:szCs w:val="22"/>
        </w:rPr>
        <w:t xml:space="preserve">. This means that we consult on, and update the </w:t>
      </w:r>
      <w:r>
        <w:fldChar w:fldCharType="begin"/>
      </w:r>
      <w:r>
        <w:instrText xml:space="preserve"> HYPERLINK "https://www.asa.org.uk/codes-and-rulings/advertising-codes.html" </w:instrText>
      </w:r>
      <w:r>
        <w:fldChar w:fldCharType="separate"/>
      </w:r>
      <w:r w:rsidRPr="006E0274">
        <w:rPr>
          <w:rStyle w:val="Hyperlink"/>
          <w:rFonts w:ascii="Verdana" w:hAnsi="Verdana"/>
          <w:color w:val="auto"/>
          <w:sz w:val="22"/>
          <w:szCs w:val="22"/>
        </w:rPr>
        <w:t>Codes</w:t>
      </w:r>
      <w:r>
        <w:fldChar w:fldCharType="end"/>
      </w:r>
      <w:r w:rsidRPr="006E0274">
        <w:rPr>
          <w:rFonts w:ascii="Verdana" w:hAnsi="Verdana"/>
          <w:sz w:val="22"/>
          <w:szCs w:val="22"/>
        </w:rPr>
        <w:t xml:space="preserve"> (where necessary), provide </w:t>
      </w:r>
      <w:r>
        <w:fldChar w:fldCharType="begin"/>
      </w:r>
      <w:r>
        <w:instrText xml:space="preserve"> HYPERLINK "https://www.asa.org.uk/advice-and-resources/resource-library/resource-search-results.html?q=gambling" </w:instrText>
      </w:r>
      <w:r>
        <w:fldChar w:fldCharType="separate"/>
      </w:r>
      <w:r w:rsidRPr="006E0274">
        <w:rPr>
          <w:rStyle w:val="Hyperlink"/>
          <w:rFonts w:ascii="Verdana" w:hAnsi="Verdana"/>
          <w:color w:val="auto"/>
          <w:sz w:val="22"/>
          <w:szCs w:val="22"/>
        </w:rPr>
        <w:t>guidance</w:t>
      </w:r>
      <w:r>
        <w:fldChar w:fldCharType="end"/>
      </w:r>
      <w:r w:rsidRPr="006E0274">
        <w:rPr>
          <w:rFonts w:ascii="Verdana" w:hAnsi="Verdana"/>
          <w:sz w:val="22"/>
          <w:szCs w:val="22"/>
        </w:rPr>
        <w:t xml:space="preserve"> and training services to help businesses stick to the rules, undertake proactive monitoring using our AI-based </w:t>
      </w:r>
      <w:r>
        <w:fldChar w:fldCharType="begin"/>
      </w:r>
      <w:r>
        <w:instrText xml:space="preserve"> HYPERLINK "https://www.asa.org.uk/news/our-active-ad-monitoring-system.html" </w:instrText>
      </w:r>
      <w:r>
        <w:fldChar w:fldCharType="separate"/>
      </w:r>
      <w:r w:rsidRPr="006E0274">
        <w:rPr>
          <w:rStyle w:val="Hyperlink"/>
          <w:rFonts w:ascii="Verdana" w:hAnsi="Verdana"/>
          <w:color w:val="auto"/>
          <w:sz w:val="22"/>
          <w:szCs w:val="22"/>
        </w:rPr>
        <w:t>Active Ad Monitoring system</w:t>
      </w:r>
      <w:r>
        <w:fldChar w:fldCharType="end"/>
      </w:r>
      <w:r w:rsidRPr="006E0274" w:rsidR="00A06FD9">
        <w:rPr>
          <w:rFonts w:ascii="Verdana" w:hAnsi="Verdana"/>
          <w:sz w:val="22"/>
          <w:szCs w:val="22"/>
        </w:rPr>
        <w:t xml:space="preserve"> which monitors over 10,000 online gambling ads each month</w:t>
      </w:r>
      <w:r w:rsidRPr="006E0274" w:rsidR="003E4C65">
        <w:rPr>
          <w:rFonts w:ascii="Verdana" w:hAnsi="Verdana"/>
          <w:sz w:val="22"/>
          <w:szCs w:val="22"/>
        </w:rPr>
        <w:t xml:space="preserve"> and</w:t>
      </w:r>
      <w:r w:rsidRPr="006E0274" w:rsidR="00A06FD9">
        <w:rPr>
          <w:rFonts w:ascii="Verdana" w:hAnsi="Verdana"/>
          <w:sz w:val="22"/>
          <w:szCs w:val="22"/>
        </w:rPr>
        <w:t xml:space="preserve"> also </w:t>
      </w:r>
      <w:r w:rsidRPr="006E0274">
        <w:rPr>
          <w:rFonts w:ascii="Verdana" w:hAnsi="Verdana"/>
          <w:sz w:val="22"/>
          <w:szCs w:val="22"/>
        </w:rPr>
        <w:t xml:space="preserve">undertake investigations that usually lead to published </w:t>
      </w:r>
      <w:r>
        <w:fldChar w:fldCharType="begin"/>
      </w:r>
      <w:r>
        <w:instrText xml:space="preserve"> HYPERLINK "https://www.asa.org.uk/codes-and-rulings/rulings.html?q=&amp;sort_order=relevant&amp;custom_date=1&amp;from_date=02%2F06%2F2021&amp;to_date=10%2F06%2F2026&amp;topic=7509B48E-504B-4E08-9C053A2BF9DA5021" </w:instrText>
      </w:r>
      <w:r>
        <w:fldChar w:fldCharType="separate"/>
      </w:r>
      <w:r w:rsidRPr="006E0274">
        <w:rPr>
          <w:rStyle w:val="Hyperlink"/>
          <w:rFonts w:ascii="Verdana" w:hAnsi="Verdana"/>
          <w:color w:val="auto"/>
          <w:sz w:val="22"/>
          <w:szCs w:val="22"/>
        </w:rPr>
        <w:t>rulings</w:t>
      </w:r>
      <w:r>
        <w:fldChar w:fldCharType="end"/>
      </w:r>
      <w:r w:rsidRPr="006E0274">
        <w:rPr>
          <w:rFonts w:ascii="Verdana" w:hAnsi="Verdana"/>
          <w:sz w:val="22"/>
          <w:szCs w:val="22"/>
        </w:rPr>
        <w:t xml:space="preserve">. </w:t>
      </w:r>
    </w:p>
    <w:p w:rsidR="000E06D5" w:rsidRPr="006E0274" w:rsidP="006B0F9F">
      <w:pPr>
        <w:rPr>
          <w:rFonts w:ascii="Verdana" w:hAnsi="Verdana"/>
          <w:sz w:val="22"/>
          <w:szCs w:val="22"/>
        </w:rPr>
      </w:pPr>
      <w:r w:rsidRPr="006E0274">
        <w:rPr>
          <w:rFonts w:ascii="Verdana" w:hAnsi="Verdana"/>
          <w:sz w:val="22"/>
          <w:szCs w:val="22"/>
        </w:rPr>
        <w:t>Crucially, the ASA reviews its approach and responds where evidence demonstrate</w:t>
      </w:r>
      <w:r w:rsidRPr="006E0274" w:rsidR="00B6067A">
        <w:rPr>
          <w:rFonts w:ascii="Verdana" w:hAnsi="Verdana"/>
          <w:sz w:val="22"/>
          <w:szCs w:val="22"/>
        </w:rPr>
        <w:t>s</w:t>
      </w:r>
      <w:r w:rsidRPr="006E0274">
        <w:rPr>
          <w:rFonts w:ascii="Verdana" w:hAnsi="Verdana"/>
          <w:sz w:val="22"/>
          <w:szCs w:val="22"/>
        </w:rPr>
        <w:t xml:space="preserve"> a need, particularly in response to evolving online marketing practices and pertinent gambling issues of the day. </w:t>
      </w:r>
    </w:p>
    <w:p w:rsidR="000E7169" w:rsidRPr="006E0274" w:rsidP="006B0F9F">
      <w:pPr>
        <w:pStyle w:val="ListParagraph"/>
        <w:numPr>
          <w:ilvl w:val="0"/>
          <w:numId w:val="34"/>
        </w:numPr>
        <w:contextualSpacing w:val="0"/>
        <w:rPr>
          <w:rFonts w:ascii="Verdana" w:hAnsi="Verdana"/>
          <w:sz w:val="22"/>
          <w:szCs w:val="22"/>
        </w:rPr>
      </w:pPr>
      <w:r w:rsidRPr="006E0274">
        <w:rPr>
          <w:rFonts w:ascii="Verdana" w:hAnsi="Verdana"/>
          <w:sz w:val="22"/>
          <w:szCs w:val="22"/>
        </w:rPr>
        <w:t>Would a new regulatory framework for gambling advertising, calibrated to respond proactively to emergent forms of online marketing as they develop and administered solely by the Gambling Commission, be more effective?</w:t>
      </w:r>
    </w:p>
    <w:p w:rsidR="008A7069" w:rsidRPr="006E0274" w:rsidP="006B0F9F">
      <w:pPr>
        <w:rPr>
          <w:rFonts w:ascii="Verdana" w:hAnsi="Verdana"/>
          <w:sz w:val="22"/>
          <w:szCs w:val="22"/>
        </w:rPr>
      </w:pPr>
      <w:r w:rsidRPr="006E0274">
        <w:rPr>
          <w:rFonts w:ascii="Verdana" w:hAnsi="Verdana"/>
          <w:sz w:val="22"/>
          <w:szCs w:val="22"/>
        </w:rPr>
        <w:t xml:space="preserve">From an advertising regulation perspective, </w:t>
      </w:r>
      <w:r w:rsidRPr="006E0274" w:rsidR="003E10D4">
        <w:rPr>
          <w:rFonts w:ascii="Verdana" w:hAnsi="Verdana"/>
          <w:sz w:val="22"/>
          <w:szCs w:val="22"/>
        </w:rPr>
        <w:t xml:space="preserve">the ASA is </w:t>
      </w:r>
      <w:r w:rsidRPr="006E0274">
        <w:rPr>
          <w:rFonts w:ascii="Verdana" w:hAnsi="Verdana"/>
          <w:sz w:val="22"/>
          <w:szCs w:val="22"/>
        </w:rPr>
        <w:t>satisfied that the standards align with the objectives of the underlying gambling legislative framework and that we have the necessary enforcement mechanisms in place to implement those policies.</w:t>
      </w:r>
      <w:r w:rsidRPr="006E0274">
        <w:rPr>
          <w:rFonts w:ascii="Verdana" w:hAnsi="Verdana"/>
          <w:sz w:val="22"/>
          <w:szCs w:val="22"/>
        </w:rPr>
        <w:t xml:space="preserve"> </w:t>
      </w:r>
      <w:r w:rsidRPr="006E0274" w:rsidR="00DA1B3B">
        <w:rPr>
          <w:rFonts w:ascii="Verdana" w:hAnsi="Verdana"/>
          <w:sz w:val="22"/>
          <w:szCs w:val="22"/>
        </w:rPr>
        <w:t xml:space="preserve">Our regulation is equipped to respond proactively to emerging forms of </w:t>
      </w:r>
      <w:r w:rsidRPr="006E0274" w:rsidR="00D739B7">
        <w:rPr>
          <w:rFonts w:ascii="Verdana" w:hAnsi="Verdana"/>
          <w:sz w:val="22"/>
          <w:szCs w:val="22"/>
        </w:rPr>
        <w:t xml:space="preserve">marketing as they develop. </w:t>
      </w:r>
      <w:r w:rsidRPr="006E0274">
        <w:rPr>
          <w:rFonts w:ascii="Verdana" w:hAnsi="Verdana"/>
          <w:sz w:val="22"/>
          <w:szCs w:val="22"/>
        </w:rPr>
        <w:t>The dual-regulator model</w:t>
      </w:r>
      <w:r w:rsidRPr="006E0274" w:rsidR="00D5227E">
        <w:rPr>
          <w:rFonts w:ascii="Verdana" w:hAnsi="Verdana"/>
          <w:sz w:val="22"/>
          <w:szCs w:val="22"/>
        </w:rPr>
        <w:t>,</w:t>
      </w:r>
      <w:r w:rsidRPr="006E0274">
        <w:rPr>
          <w:rFonts w:ascii="Verdana" w:hAnsi="Verdana"/>
          <w:sz w:val="22"/>
          <w:szCs w:val="22"/>
        </w:rPr>
        <w:t xml:space="preserve"> currently in force</w:t>
      </w:r>
      <w:r w:rsidRPr="006E0274" w:rsidR="00D5227E">
        <w:rPr>
          <w:rFonts w:ascii="Verdana" w:hAnsi="Verdana"/>
          <w:sz w:val="22"/>
          <w:szCs w:val="22"/>
        </w:rPr>
        <w:t>,</w:t>
      </w:r>
      <w:r w:rsidRPr="006E0274">
        <w:rPr>
          <w:rFonts w:ascii="Verdana" w:hAnsi="Verdana"/>
          <w:sz w:val="22"/>
          <w:szCs w:val="22"/>
        </w:rPr>
        <w:t xml:space="preserve"> provides complementary expertise and independent scrutiny. </w:t>
      </w:r>
      <w:r w:rsidRPr="006E0274" w:rsidR="000E06D5">
        <w:rPr>
          <w:rFonts w:ascii="Verdana" w:hAnsi="Verdana"/>
          <w:sz w:val="22"/>
          <w:szCs w:val="22"/>
        </w:rPr>
        <w:t xml:space="preserve">We believe it is important to focus on effective coordination between the Gambling Commission and ASA rather than concentrating all responsibilities within a single regulator. </w:t>
      </w:r>
    </w:p>
    <w:p w:rsidR="00B92712" w:rsidRPr="006E0274" w:rsidP="006B0F9F">
      <w:pPr>
        <w:rPr>
          <w:rFonts w:ascii="Verdana" w:hAnsi="Verdana"/>
          <w:b/>
          <w:i/>
          <w:sz w:val="22"/>
          <w:szCs w:val="22"/>
        </w:rPr>
      </w:pPr>
      <w:r w:rsidRPr="006E0274">
        <w:rPr>
          <w:rFonts w:ascii="Verdana" w:hAnsi="Verdana"/>
          <w:b/>
          <w:i/>
          <w:sz w:val="22"/>
          <w:szCs w:val="22"/>
        </w:rPr>
        <w:t>Affiliate marketing</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The 2020 special inquiry committee recommended that affiliates “be licensed by the Gambling Commission before they can enter into contracts with gambling operators”.</w:t>
      </w:r>
      <w:r>
        <w:rPr>
          <w:rStyle w:val="FootnoteReference"/>
          <w:rFonts w:ascii="Verdana" w:hAnsi="Verdana"/>
          <w:sz w:val="22"/>
          <w:szCs w:val="22"/>
        </w:rPr>
        <w:footnoteReference w:id="2"/>
      </w:r>
    </w:p>
    <w:p w:rsidR="00B92712" w:rsidRPr="006E0274" w:rsidP="006B0F9F">
      <w:pPr>
        <w:pStyle w:val="ListParagraph"/>
        <w:numPr>
          <w:ilvl w:val="0"/>
          <w:numId w:val="17"/>
        </w:numPr>
        <w:contextualSpacing w:val="0"/>
        <w:rPr>
          <w:rFonts w:ascii="Verdana" w:hAnsi="Verdana"/>
          <w:sz w:val="22"/>
          <w:szCs w:val="22"/>
        </w:rPr>
      </w:pPr>
      <w:r w:rsidRPr="006E0274">
        <w:rPr>
          <w:rFonts w:ascii="Verdana" w:hAnsi="Verdana"/>
          <w:sz w:val="22"/>
          <w:szCs w:val="22"/>
        </w:rPr>
        <w:t>Has the ASA observed an improvement in the conduct of affiliates</w:t>
      </w:r>
      <w:r w:rsidRPr="006E0274" w:rsidR="00474EBE">
        <w:rPr>
          <w:rFonts w:ascii="Verdana" w:hAnsi="Verdana"/>
          <w:sz w:val="22"/>
          <w:szCs w:val="22"/>
        </w:rPr>
        <w:t xml:space="preserve"> </w:t>
      </w:r>
      <w:r w:rsidRPr="006E0274">
        <w:rPr>
          <w:rFonts w:ascii="Verdana" w:hAnsi="Verdana"/>
          <w:sz w:val="22"/>
          <w:szCs w:val="22"/>
        </w:rPr>
        <w:t xml:space="preserve">in relation to social responsibility since 2020? </w:t>
      </w:r>
    </w:p>
    <w:p w:rsidR="008A7069" w:rsidRPr="006E0274" w:rsidP="006B0F9F">
      <w:pPr>
        <w:rPr>
          <w:rFonts w:ascii="Verdana" w:hAnsi="Verdana"/>
          <w:sz w:val="22"/>
          <w:szCs w:val="22"/>
        </w:rPr>
      </w:pPr>
      <w:r w:rsidRPr="006E0274">
        <w:rPr>
          <w:rFonts w:ascii="Verdana" w:hAnsi="Verdana"/>
          <w:sz w:val="22"/>
          <w:szCs w:val="22"/>
        </w:rPr>
        <w:t xml:space="preserve">Since the publication of the </w:t>
      </w:r>
      <w:r w:rsidRPr="006E0274" w:rsidR="007C2674">
        <w:rPr>
          <w:rFonts w:ascii="Verdana" w:hAnsi="Verdana"/>
          <w:sz w:val="22"/>
          <w:szCs w:val="22"/>
        </w:rPr>
        <w:t>Liaison Committee’s report, a</w:t>
      </w:r>
      <w:r w:rsidRPr="006E0274">
        <w:rPr>
          <w:rFonts w:ascii="Verdana" w:hAnsi="Verdana"/>
          <w:sz w:val="22"/>
          <w:szCs w:val="22"/>
        </w:rPr>
        <w:t>wareness of the regulatory accountabilities and responsibilities of working with affiliates have improved, supported by regulatory action, industry awareness and greater operator oversight</w:t>
      </w:r>
      <w:r w:rsidRPr="006E0274" w:rsidR="002E0000">
        <w:rPr>
          <w:rFonts w:ascii="Verdana" w:hAnsi="Verdana"/>
          <w:sz w:val="22"/>
          <w:szCs w:val="22"/>
        </w:rPr>
        <w:t xml:space="preserve">. That said, compliance challenges </w:t>
      </w:r>
      <w:r w:rsidRPr="006E0274" w:rsidR="002E0000">
        <w:rPr>
          <w:rFonts w:ascii="Verdana" w:hAnsi="Verdana"/>
          <w:sz w:val="22"/>
          <w:szCs w:val="22"/>
        </w:rPr>
        <w:t>still remain</w:t>
      </w:r>
      <w:r w:rsidRPr="006E0274" w:rsidR="002E0000">
        <w:rPr>
          <w:rFonts w:ascii="Verdana" w:hAnsi="Verdana"/>
          <w:sz w:val="22"/>
          <w:szCs w:val="22"/>
        </w:rPr>
        <w:t xml:space="preserve"> which we are </w:t>
      </w:r>
      <w:r w:rsidRPr="006E0274" w:rsidR="008C1893">
        <w:rPr>
          <w:rFonts w:ascii="Verdana" w:hAnsi="Verdana"/>
          <w:sz w:val="22"/>
          <w:szCs w:val="22"/>
        </w:rPr>
        <w:t xml:space="preserve">working to improve. </w:t>
      </w:r>
    </w:p>
    <w:p w:rsidR="00B92712" w:rsidRPr="006E0274" w:rsidP="006B0F9F">
      <w:pPr>
        <w:pStyle w:val="ListParagraph"/>
        <w:numPr>
          <w:ilvl w:val="0"/>
          <w:numId w:val="17"/>
        </w:numPr>
        <w:contextualSpacing w:val="0"/>
        <w:rPr>
          <w:rFonts w:ascii="Verdana" w:hAnsi="Verdana"/>
          <w:sz w:val="22"/>
          <w:szCs w:val="22"/>
        </w:rPr>
      </w:pPr>
      <w:r w:rsidRPr="006E0274">
        <w:rPr>
          <w:rFonts w:ascii="Verdana" w:hAnsi="Verdana"/>
          <w:sz w:val="22"/>
          <w:szCs w:val="22"/>
        </w:rPr>
        <w:t>Is the current regulatory model for affiliates, by which the ASA regulates marketing by affiliates and the Gambling Commission holds licensed gambling operators responsible for the actions of their affiliates, operating effectively?</w:t>
      </w:r>
    </w:p>
    <w:p w:rsidR="008A7069" w:rsidRPr="006E0274" w:rsidP="006B0F9F">
      <w:pPr>
        <w:rPr>
          <w:rFonts w:ascii="Verdana" w:hAnsi="Verdana"/>
          <w:sz w:val="22"/>
          <w:szCs w:val="22"/>
        </w:rPr>
      </w:pPr>
      <w:r w:rsidRPr="006E0274">
        <w:rPr>
          <w:rFonts w:ascii="Verdana" w:hAnsi="Verdana"/>
          <w:sz w:val="22"/>
          <w:szCs w:val="22"/>
        </w:rPr>
        <w:t>Yes. Holding operators responsible for affiliates provides a strong incentive for oversight while allowing the ASA to regulate marketing content and placement directly.</w:t>
      </w:r>
      <w:r w:rsidRPr="006E0274" w:rsidR="00302522">
        <w:rPr>
          <w:rFonts w:ascii="Verdana" w:hAnsi="Verdana"/>
          <w:sz w:val="22"/>
          <w:szCs w:val="22"/>
        </w:rPr>
        <w:t xml:space="preserve"> T</w:t>
      </w:r>
      <w:r w:rsidRPr="006E0274" w:rsidR="008923D9">
        <w:rPr>
          <w:rFonts w:ascii="Verdana" w:hAnsi="Verdana"/>
          <w:sz w:val="22"/>
          <w:szCs w:val="22"/>
        </w:rPr>
        <w:t xml:space="preserve">his </w:t>
      </w:r>
      <w:r w:rsidRPr="006E0274" w:rsidR="00302522">
        <w:rPr>
          <w:rFonts w:ascii="Verdana" w:hAnsi="Verdana"/>
          <w:sz w:val="22"/>
          <w:szCs w:val="22"/>
        </w:rPr>
        <w:t xml:space="preserve">results in a joined-up approach with a clear line of accountability for all marketing activity within the scope of the Codes leading to the licensed operator. </w:t>
      </w:r>
      <w:r w:rsidRPr="006E0274" w:rsidR="005969EE">
        <w:rPr>
          <w:rFonts w:ascii="Verdana" w:hAnsi="Verdana"/>
          <w:sz w:val="22"/>
          <w:szCs w:val="22"/>
        </w:rPr>
        <w:br/>
      </w:r>
    </w:p>
    <w:p w:rsidR="00B92712" w:rsidRPr="006E0274" w:rsidP="006B0F9F">
      <w:pPr>
        <w:rPr>
          <w:rFonts w:ascii="Verdana" w:hAnsi="Verdana"/>
          <w:b/>
          <w:i/>
          <w:sz w:val="22"/>
          <w:szCs w:val="22"/>
        </w:rPr>
      </w:pPr>
      <w:r w:rsidRPr="006E0274">
        <w:rPr>
          <w:rFonts w:ascii="Verdana" w:hAnsi="Verdana"/>
          <w:b/>
          <w:i/>
          <w:sz w:val="22"/>
          <w:szCs w:val="22"/>
        </w:rPr>
        <w:t>Influencer promotion</w:t>
      </w:r>
    </w:p>
    <w:p w:rsidR="00516CD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What consideration ha</w:t>
      </w:r>
      <w:r w:rsidRPr="006E0274" w:rsidR="0060513B">
        <w:rPr>
          <w:rFonts w:ascii="Verdana" w:hAnsi="Verdana"/>
          <w:sz w:val="22"/>
          <w:szCs w:val="22"/>
        </w:rPr>
        <w:t>s the</w:t>
      </w:r>
      <w:r w:rsidRPr="006E0274">
        <w:rPr>
          <w:rFonts w:ascii="Verdana" w:hAnsi="Verdana"/>
          <w:sz w:val="22"/>
          <w:szCs w:val="22"/>
        </w:rPr>
        <w:t xml:space="preserve"> CAP</w:t>
      </w:r>
      <w:r w:rsidRPr="006E0274" w:rsidR="009E4500">
        <w:rPr>
          <w:rFonts w:ascii="Verdana" w:hAnsi="Verdana"/>
          <w:sz w:val="22"/>
          <w:szCs w:val="22"/>
        </w:rPr>
        <w:t xml:space="preserve"> </w:t>
      </w:r>
      <w:r w:rsidRPr="006E0274">
        <w:rPr>
          <w:rFonts w:ascii="Verdana" w:hAnsi="Verdana"/>
          <w:sz w:val="22"/>
          <w:szCs w:val="22"/>
        </w:rPr>
        <w:t>given to prohibit</w:t>
      </w:r>
      <w:r w:rsidRPr="006E0274" w:rsidR="00E26E2A">
        <w:rPr>
          <w:rFonts w:ascii="Verdana" w:hAnsi="Verdana"/>
          <w:sz w:val="22"/>
          <w:szCs w:val="22"/>
        </w:rPr>
        <w:t xml:space="preserve">ing </w:t>
      </w:r>
      <w:r w:rsidRPr="006E0274">
        <w:rPr>
          <w:rFonts w:ascii="Verdana" w:hAnsi="Verdana"/>
          <w:sz w:val="22"/>
          <w:szCs w:val="22"/>
        </w:rPr>
        <w:t>gambling promotions by social media influencers and content creators (irrespective of whether these promotions are considered ‘advertising’ or ‘editorial content’ under the ASA’s current definition)?</w:t>
      </w:r>
    </w:p>
    <w:p w:rsidR="00516CD2" w:rsidRPr="006E0274" w:rsidP="006B0F9F">
      <w:pPr>
        <w:rPr>
          <w:rFonts w:ascii="Verdana" w:hAnsi="Verdana"/>
          <w:sz w:val="22"/>
          <w:szCs w:val="22"/>
        </w:rPr>
      </w:pPr>
      <w:r w:rsidRPr="006E0274">
        <w:rPr>
          <w:rFonts w:ascii="Verdana" w:hAnsi="Verdana"/>
          <w:sz w:val="22"/>
          <w:szCs w:val="22"/>
        </w:rPr>
        <w:t xml:space="preserve">None, because CAP does not have the power to prohibit </w:t>
      </w:r>
      <w:r w:rsidRPr="006E0274" w:rsidR="009F7A54">
        <w:rPr>
          <w:rFonts w:ascii="Verdana" w:hAnsi="Verdana"/>
          <w:sz w:val="22"/>
          <w:szCs w:val="22"/>
        </w:rPr>
        <w:t xml:space="preserve">all </w:t>
      </w:r>
      <w:r w:rsidRPr="006E0274">
        <w:rPr>
          <w:rFonts w:ascii="Verdana" w:hAnsi="Verdana"/>
          <w:sz w:val="22"/>
          <w:szCs w:val="22"/>
        </w:rPr>
        <w:t xml:space="preserve">gambling promotions by social media influencers and content creators (even when they are </w:t>
      </w:r>
      <w:r w:rsidRPr="006E0274" w:rsidR="5B0BA3A4">
        <w:rPr>
          <w:rFonts w:ascii="Verdana" w:hAnsi="Verdana"/>
          <w:sz w:val="22"/>
          <w:szCs w:val="22"/>
        </w:rPr>
        <w:t xml:space="preserve">running </w:t>
      </w:r>
      <w:r w:rsidRPr="006E0274">
        <w:rPr>
          <w:rFonts w:ascii="Verdana" w:hAnsi="Verdana"/>
          <w:sz w:val="22"/>
          <w:szCs w:val="22"/>
        </w:rPr>
        <w:t xml:space="preserve">advertising that falls under our Code). Such a sweeping prohibition would be a matter for Government/Parliament. </w:t>
      </w:r>
    </w:p>
    <w:p w:rsidR="00B92712" w:rsidRPr="006E0274" w:rsidP="006B0F9F">
      <w:pPr>
        <w:rPr>
          <w:rFonts w:ascii="Verdana" w:hAnsi="Verdana"/>
          <w:b/>
          <w:i/>
          <w:sz w:val="22"/>
          <w:szCs w:val="22"/>
        </w:rPr>
      </w:pPr>
      <w:r w:rsidRPr="006E0274">
        <w:rPr>
          <w:rFonts w:ascii="Verdana" w:hAnsi="Verdana"/>
          <w:b/>
          <w:i/>
          <w:sz w:val="22"/>
          <w:szCs w:val="22"/>
        </w:rPr>
        <w:t>Inducements</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 xml:space="preserve">In advice given by the CAP Executive, it is </w:t>
      </w:r>
      <w:r w:rsidRPr="006E0274">
        <w:rPr>
          <w:rFonts w:ascii="Verdana" w:hAnsi="Verdana"/>
          <w:sz w:val="22"/>
          <w:szCs w:val="22"/>
        </w:rPr>
        <w:t>stated that marketers “should not describe an offer as ‘free’ if the customer must risk their own money to qualify</w:t>
      </w:r>
      <w:r w:rsidRPr="006E0274" w:rsidR="001965A3">
        <w:rPr>
          <w:rFonts w:ascii="Verdana" w:hAnsi="Verdana"/>
          <w:sz w:val="22"/>
          <w:szCs w:val="22"/>
        </w:rPr>
        <w:t>”</w:t>
      </w:r>
      <w:r w:rsidRPr="006E0274">
        <w:rPr>
          <w:rFonts w:ascii="Verdana" w:hAnsi="Verdana"/>
          <w:sz w:val="22"/>
          <w:szCs w:val="22"/>
        </w:rPr>
        <w:t>, but</w:t>
      </w:r>
      <w:r w:rsidRPr="006E0274">
        <w:rPr>
          <w:rFonts w:ascii="Verdana" w:hAnsi="Verdana"/>
          <w:sz w:val="22"/>
          <w:szCs w:val="22"/>
        </w:rPr>
        <w:t xml:space="preserve"> does permit this in the case of ‘free bets’ provided that the requirement to place a qualifying bet is “stated clearly”.</w:t>
      </w:r>
      <w:r>
        <w:rPr>
          <w:rStyle w:val="FootnoteReference"/>
          <w:rFonts w:ascii="Verdana" w:hAnsi="Verdana"/>
          <w:sz w:val="22"/>
          <w:szCs w:val="22"/>
        </w:rPr>
        <w:footnoteReference w:id="3"/>
      </w:r>
    </w:p>
    <w:p w:rsidR="00B92712" w:rsidRPr="006E0274" w:rsidP="006B0F9F">
      <w:pPr>
        <w:pStyle w:val="ListParagraph"/>
        <w:numPr>
          <w:ilvl w:val="0"/>
          <w:numId w:val="18"/>
        </w:numPr>
        <w:contextualSpacing w:val="0"/>
        <w:rPr>
          <w:rFonts w:ascii="Verdana" w:hAnsi="Verdana"/>
          <w:sz w:val="22"/>
          <w:szCs w:val="22"/>
        </w:rPr>
      </w:pPr>
      <w:r w:rsidRPr="006E0274">
        <w:rPr>
          <w:rFonts w:ascii="Verdana" w:hAnsi="Verdana"/>
          <w:sz w:val="22"/>
          <w:szCs w:val="22"/>
        </w:rPr>
        <w:t xml:space="preserve">Why does the ASA consider the use of the term ‘free bet’ appropriate, and what assessment has it made of the risks of creating a misleading impression </w:t>
      </w:r>
      <w:r w:rsidRPr="006E0274" w:rsidR="009E6149">
        <w:rPr>
          <w:rFonts w:ascii="Verdana" w:hAnsi="Verdana"/>
          <w:sz w:val="22"/>
          <w:szCs w:val="22"/>
        </w:rPr>
        <w:t>of risk f</w:t>
      </w:r>
      <w:r w:rsidRPr="006E0274">
        <w:rPr>
          <w:rFonts w:ascii="Verdana" w:hAnsi="Verdana"/>
          <w:sz w:val="22"/>
          <w:szCs w:val="22"/>
        </w:rPr>
        <w:t>or customers?</w:t>
      </w:r>
    </w:p>
    <w:p w:rsidR="00E642BF" w:rsidRPr="006E0274" w:rsidP="006B0F9F">
      <w:pPr>
        <w:rPr>
          <w:rFonts w:ascii="Verdana" w:hAnsi="Verdana"/>
          <w:sz w:val="22"/>
          <w:szCs w:val="22"/>
          <w:lang w:eastAsia="en-GB"/>
        </w:rPr>
      </w:pPr>
      <w:r w:rsidRPr="006E0274">
        <w:rPr>
          <w:rFonts w:ascii="Verdana" w:hAnsi="Verdana"/>
          <w:sz w:val="22"/>
          <w:szCs w:val="22"/>
          <w:lang w:eastAsia="en-GB"/>
        </w:rPr>
        <w:t>The key regulatory requirement is that any qualifying conditions and financial commitments are made clear and prominent</w:t>
      </w:r>
      <w:r w:rsidRPr="006E0274" w:rsidR="24D4DFD1">
        <w:rPr>
          <w:rFonts w:ascii="Verdana" w:hAnsi="Verdana"/>
          <w:sz w:val="22"/>
          <w:szCs w:val="22"/>
          <w:lang w:eastAsia="en-GB"/>
        </w:rPr>
        <w:t>. C</w:t>
      </w:r>
      <w:r w:rsidRPr="006E0274">
        <w:rPr>
          <w:rFonts w:ascii="Verdana" w:hAnsi="Verdana"/>
          <w:sz w:val="22"/>
          <w:szCs w:val="22"/>
          <w:lang w:eastAsia="en-GB"/>
        </w:rPr>
        <w:t>onditional purchase ‘free’ offers are not prohibited under consumer protection law.</w:t>
      </w:r>
      <w:r w:rsidRPr="006E0274" w:rsidR="007841AC">
        <w:rPr>
          <w:rFonts w:ascii="Verdana" w:hAnsi="Verdana"/>
          <w:sz w:val="22"/>
          <w:szCs w:val="22"/>
          <w:lang w:eastAsia="en-GB"/>
        </w:rPr>
        <w:t xml:space="preserve"> Such claims are</w:t>
      </w:r>
      <w:r w:rsidRPr="006E0274" w:rsidR="2E906A15">
        <w:rPr>
          <w:rFonts w:ascii="Verdana" w:hAnsi="Verdana"/>
          <w:sz w:val="22"/>
          <w:szCs w:val="22"/>
          <w:lang w:eastAsia="en-GB"/>
        </w:rPr>
        <w:t>, however, subject to</w:t>
      </w:r>
      <w:r w:rsidRPr="006E0274" w:rsidR="007841AC">
        <w:rPr>
          <w:rFonts w:ascii="Verdana" w:hAnsi="Verdana"/>
          <w:sz w:val="22"/>
          <w:szCs w:val="22"/>
          <w:lang w:eastAsia="en-GB"/>
        </w:rPr>
        <w:t xml:space="preserve"> consumer protection </w:t>
      </w:r>
      <w:r w:rsidRPr="006E0274" w:rsidR="5500882F">
        <w:rPr>
          <w:rFonts w:ascii="Verdana" w:hAnsi="Verdana"/>
          <w:sz w:val="22"/>
          <w:szCs w:val="22"/>
          <w:lang w:eastAsia="en-GB"/>
        </w:rPr>
        <w:t>regulations, including those reflected in the CAP Codes.</w:t>
      </w:r>
      <w:r w:rsidRPr="006E0274" w:rsidR="003F506E">
        <w:rPr>
          <w:rFonts w:ascii="Verdana" w:hAnsi="Verdana"/>
          <w:sz w:val="22"/>
          <w:szCs w:val="22"/>
          <w:lang w:eastAsia="en-GB"/>
        </w:rPr>
        <w:t xml:space="preserve"> </w:t>
      </w:r>
    </w:p>
    <w:p w:rsidR="00E642BF" w:rsidRPr="006E0274" w:rsidP="006B0F9F">
      <w:pPr>
        <w:rPr>
          <w:rFonts w:ascii="Verdana" w:hAnsi="Verdana"/>
          <w:sz w:val="22"/>
          <w:szCs w:val="22"/>
          <w:lang w:eastAsia="en-GB"/>
        </w:rPr>
      </w:pPr>
      <w:r w:rsidRPr="006E0274">
        <w:rPr>
          <w:rFonts w:ascii="Verdana" w:hAnsi="Verdana"/>
          <w:sz w:val="22"/>
          <w:szCs w:val="22"/>
          <w:lang w:eastAsia="en-GB"/>
        </w:rPr>
        <w:t xml:space="preserve">The ASA recognises the potential for misunderstanding and therefore scrutinises whether </w:t>
      </w:r>
      <w:r w:rsidRPr="006E0274" w:rsidR="2104A52A">
        <w:rPr>
          <w:rFonts w:ascii="Verdana" w:hAnsi="Verdana"/>
          <w:sz w:val="22"/>
          <w:szCs w:val="22"/>
          <w:lang w:eastAsia="en-GB"/>
        </w:rPr>
        <w:t xml:space="preserve">advertising </w:t>
      </w:r>
      <w:r w:rsidRPr="006E0274">
        <w:rPr>
          <w:rFonts w:ascii="Verdana" w:hAnsi="Verdana"/>
          <w:sz w:val="22"/>
          <w:szCs w:val="22"/>
          <w:lang w:eastAsia="en-GB"/>
        </w:rPr>
        <w:t>creates a misleading impression about risk, cost or eligibility.</w:t>
      </w:r>
    </w:p>
    <w:p w:rsidR="007841AC" w:rsidRPr="006E0274" w:rsidP="006B0F9F">
      <w:pPr>
        <w:rPr>
          <w:rFonts w:ascii="Verdana" w:hAnsi="Verdana"/>
          <w:sz w:val="22"/>
          <w:szCs w:val="22"/>
          <w:lang w:eastAsia="en-GB"/>
        </w:rPr>
      </w:pPr>
      <w:r w:rsidRPr="006E0274">
        <w:rPr>
          <w:rFonts w:ascii="Verdana" w:hAnsi="Verdana"/>
          <w:sz w:val="22"/>
          <w:szCs w:val="22"/>
          <w:lang w:eastAsia="en-GB"/>
        </w:rPr>
        <w:t xml:space="preserve">The ASA has produced </w:t>
      </w:r>
      <w:r>
        <w:fldChar w:fldCharType="begin"/>
      </w:r>
      <w:r>
        <w:instrText xml:space="preserve"> HYPERLINK "https://www.asa.org.uk/advice-online/gambling-betting-and-gaming-free-bets-and-bonuses.html" </w:instrText>
      </w:r>
      <w:r>
        <w:fldChar w:fldCharType="separate"/>
      </w:r>
      <w:r w:rsidRPr="006E0274">
        <w:rPr>
          <w:rStyle w:val="Hyperlink"/>
          <w:rFonts w:ascii="Verdana" w:hAnsi="Verdana"/>
          <w:color w:val="auto"/>
          <w:sz w:val="22"/>
          <w:szCs w:val="22"/>
          <w:lang w:eastAsia="en-GB"/>
        </w:rPr>
        <w:t>guidance</w:t>
      </w:r>
      <w:r>
        <w:fldChar w:fldCharType="end"/>
      </w:r>
      <w:r w:rsidRPr="006E0274">
        <w:rPr>
          <w:rFonts w:ascii="Verdana" w:hAnsi="Verdana"/>
          <w:sz w:val="22"/>
          <w:szCs w:val="22"/>
          <w:lang w:eastAsia="en-GB"/>
        </w:rPr>
        <w:t xml:space="preserve"> for adverti</w:t>
      </w:r>
      <w:r w:rsidRPr="006E0274" w:rsidR="00643056">
        <w:rPr>
          <w:rFonts w:ascii="Verdana" w:hAnsi="Verdana"/>
          <w:sz w:val="22"/>
          <w:szCs w:val="22"/>
          <w:lang w:eastAsia="en-GB"/>
        </w:rPr>
        <w:t>s</w:t>
      </w:r>
      <w:r w:rsidRPr="006E0274">
        <w:rPr>
          <w:rFonts w:ascii="Verdana" w:hAnsi="Verdana"/>
          <w:sz w:val="22"/>
          <w:szCs w:val="22"/>
          <w:lang w:eastAsia="en-GB"/>
        </w:rPr>
        <w:t xml:space="preserve">ers on the ‘use of free’ </w:t>
      </w:r>
      <w:r w:rsidRPr="006E0274" w:rsidR="008A5096">
        <w:rPr>
          <w:rFonts w:ascii="Verdana" w:hAnsi="Verdana"/>
          <w:sz w:val="22"/>
          <w:szCs w:val="22"/>
          <w:lang w:eastAsia="en-GB"/>
        </w:rPr>
        <w:t xml:space="preserve">and on ‘free </w:t>
      </w:r>
      <w:r w:rsidRPr="006E0274" w:rsidR="008A5096">
        <w:rPr>
          <w:rFonts w:ascii="Verdana" w:hAnsi="Verdana"/>
          <w:sz w:val="22"/>
          <w:szCs w:val="22"/>
          <w:lang w:eastAsia="en-GB"/>
        </w:rPr>
        <w:t>bets’</w:t>
      </w:r>
      <w:r w:rsidRPr="006E0274" w:rsidR="008A5096">
        <w:rPr>
          <w:rFonts w:ascii="Verdana" w:hAnsi="Verdana"/>
          <w:sz w:val="22"/>
          <w:szCs w:val="22"/>
          <w:lang w:eastAsia="en-GB"/>
        </w:rPr>
        <w:t xml:space="preserve">. </w:t>
      </w:r>
    </w:p>
    <w:p w:rsidR="006C50D8" w:rsidRPr="006E0274" w:rsidP="006B0F9F">
      <w:pPr>
        <w:rPr>
          <w:rFonts w:ascii="Verdana" w:hAnsi="Verdana"/>
          <w:b/>
          <w:i/>
          <w:sz w:val="22"/>
          <w:szCs w:val="22"/>
        </w:rPr>
      </w:pPr>
      <w:r w:rsidRPr="006E0274">
        <w:rPr>
          <w:rFonts w:ascii="Verdana" w:hAnsi="Verdana"/>
          <w:b/>
          <w:i/>
          <w:sz w:val="22"/>
          <w:szCs w:val="22"/>
        </w:rPr>
        <w:t>Sense of urgency</w:t>
      </w:r>
    </w:p>
    <w:p w:rsidR="00B92712" w:rsidRPr="006E0274" w:rsidP="006B0F9F">
      <w:pPr>
        <w:pStyle w:val="ListParagraph"/>
        <w:numPr>
          <w:ilvl w:val="0"/>
          <w:numId w:val="29"/>
        </w:numPr>
        <w:contextualSpacing w:val="0"/>
        <w:rPr>
          <w:rFonts w:ascii="Verdana" w:hAnsi="Verdana"/>
          <w:i/>
          <w:sz w:val="22"/>
          <w:szCs w:val="22"/>
        </w:rPr>
      </w:pPr>
      <w:r w:rsidRPr="006E0274">
        <w:rPr>
          <w:rFonts w:ascii="Verdana" w:hAnsi="Verdana"/>
          <w:sz w:val="22"/>
          <w:szCs w:val="22"/>
        </w:rPr>
        <w:t>The 2020 special inquiry committee recommended a ban on advertisements “which create a sense of urgency about placing bets”.</w:t>
      </w:r>
      <w:r>
        <w:rPr>
          <w:rStyle w:val="FootnoteReference"/>
          <w:rFonts w:ascii="Verdana" w:hAnsi="Verdana"/>
          <w:sz w:val="22"/>
          <w:szCs w:val="22"/>
        </w:rPr>
        <w:footnoteReference w:id="4"/>
      </w:r>
      <w:r w:rsidRPr="006E0274" w:rsidR="00BF3FAE">
        <w:rPr>
          <w:rFonts w:ascii="Verdana" w:hAnsi="Verdana"/>
          <w:sz w:val="22"/>
          <w:szCs w:val="22"/>
        </w:rPr>
        <w:t xml:space="preserve"> </w:t>
      </w:r>
      <w:r w:rsidRPr="006E0274">
        <w:rPr>
          <w:rFonts w:ascii="Verdana" w:hAnsi="Verdana"/>
          <w:sz w:val="22"/>
          <w:szCs w:val="22"/>
        </w:rPr>
        <w:t xml:space="preserve">In revised Advertising Guidance, published in August 2021, it is noted that “urgent calls to action (for instance, </w:t>
      </w:r>
      <w:r w:rsidRPr="006E0274" w:rsidR="003D4585">
        <w:rPr>
          <w:rFonts w:ascii="Verdana" w:hAnsi="Verdana"/>
          <w:sz w:val="22"/>
          <w:szCs w:val="22"/>
        </w:rPr>
        <w:t>‘</w:t>
      </w:r>
      <w:r w:rsidRPr="006E0274">
        <w:rPr>
          <w:rFonts w:ascii="Verdana" w:hAnsi="Verdana"/>
          <w:sz w:val="22"/>
          <w:szCs w:val="22"/>
        </w:rPr>
        <w:t>Bet now!</w:t>
      </w:r>
      <w:r w:rsidRPr="006E0274" w:rsidR="003D4585">
        <w:rPr>
          <w:rFonts w:ascii="Verdana" w:hAnsi="Verdana"/>
          <w:sz w:val="22"/>
          <w:szCs w:val="22"/>
        </w:rPr>
        <w:t>’</w:t>
      </w:r>
      <w:r w:rsidRPr="006E0274">
        <w:rPr>
          <w:rFonts w:ascii="Verdana" w:hAnsi="Verdana"/>
          <w:sz w:val="22"/>
          <w:szCs w:val="22"/>
        </w:rPr>
        <w:t>) […] are likely to be regarded by the ASA as a breach of [</w:t>
      </w:r>
      <w:r w:rsidRPr="006E0274" w:rsidR="00417B3F">
        <w:rPr>
          <w:rFonts w:ascii="Verdana" w:hAnsi="Verdana"/>
          <w:sz w:val="22"/>
          <w:szCs w:val="22"/>
        </w:rPr>
        <w:t>CAP and BCAP</w:t>
      </w:r>
      <w:r w:rsidRPr="006E0274" w:rsidR="005B07CB">
        <w:rPr>
          <w:rFonts w:ascii="Verdana" w:hAnsi="Verdana"/>
          <w:sz w:val="22"/>
          <w:szCs w:val="22"/>
        </w:rPr>
        <w:t xml:space="preserve"> Code</w:t>
      </w:r>
      <w:r w:rsidRPr="006E0274">
        <w:rPr>
          <w:rFonts w:ascii="Verdana" w:hAnsi="Verdana"/>
          <w:sz w:val="22"/>
          <w:szCs w:val="22"/>
        </w:rPr>
        <w:t xml:space="preserve">] rules because </w:t>
      </w:r>
      <w:r w:rsidRPr="006E0274">
        <w:rPr>
          <w:rFonts w:ascii="Verdana" w:hAnsi="Verdana"/>
          <w:sz w:val="22"/>
          <w:szCs w:val="22"/>
        </w:rPr>
        <w:t>they could pressure consumers into participating when they otherwise would not.”</w:t>
      </w:r>
      <w:r>
        <w:rPr>
          <w:rStyle w:val="FootnoteReference"/>
          <w:rFonts w:ascii="Verdana" w:hAnsi="Verdana"/>
          <w:sz w:val="22"/>
          <w:szCs w:val="22"/>
        </w:rPr>
        <w:footnoteReference w:id="5"/>
      </w:r>
    </w:p>
    <w:p w:rsidR="00744FD9" w:rsidRPr="006E0274" w:rsidP="006B0F9F">
      <w:pPr>
        <w:pStyle w:val="ListParagraph"/>
        <w:numPr>
          <w:ilvl w:val="0"/>
          <w:numId w:val="31"/>
        </w:numPr>
        <w:contextualSpacing w:val="0"/>
        <w:rPr>
          <w:rFonts w:ascii="Verdana" w:hAnsi="Verdana"/>
          <w:sz w:val="22"/>
          <w:szCs w:val="22"/>
        </w:rPr>
      </w:pPr>
      <w:r w:rsidRPr="006E0274">
        <w:rPr>
          <w:rFonts w:ascii="Verdana" w:hAnsi="Verdana"/>
          <w:sz w:val="22"/>
          <w:szCs w:val="22"/>
        </w:rPr>
        <w:t>Has the ASA observed a reduction in gambling advertisements conveying a sense of urgency since this guidance was revised</w:t>
      </w:r>
      <w:r w:rsidRPr="006E0274">
        <w:rPr>
          <w:rFonts w:ascii="Verdana" w:hAnsi="Verdana"/>
          <w:sz w:val="22"/>
          <w:szCs w:val="22"/>
        </w:rPr>
        <w:t>?</w:t>
      </w:r>
    </w:p>
    <w:p w:rsidR="00E642BF" w:rsidRPr="006E0274" w:rsidP="006B0F9F">
      <w:pPr>
        <w:rPr>
          <w:rFonts w:ascii="Verdana" w:hAnsi="Verdana"/>
          <w:sz w:val="22"/>
          <w:szCs w:val="22"/>
        </w:rPr>
      </w:pPr>
      <w:r w:rsidRPr="006E0274">
        <w:rPr>
          <w:rFonts w:ascii="Verdana" w:hAnsi="Verdana"/>
          <w:sz w:val="22"/>
          <w:szCs w:val="22"/>
        </w:rPr>
        <w:t>The guidance appears to have improved industry understanding of the rules and contributed to higher compliance</w:t>
      </w:r>
      <w:r w:rsidRPr="006E0274" w:rsidR="00EB7D57">
        <w:rPr>
          <w:rFonts w:ascii="Verdana" w:hAnsi="Verdana"/>
          <w:sz w:val="22"/>
          <w:szCs w:val="22"/>
        </w:rPr>
        <w:t xml:space="preserve"> rates</w:t>
      </w:r>
      <w:r w:rsidRPr="006E0274">
        <w:rPr>
          <w:rFonts w:ascii="Verdana" w:hAnsi="Verdana"/>
          <w:sz w:val="22"/>
          <w:szCs w:val="22"/>
        </w:rPr>
        <w:t>, although ongoing monitoring remains necessary.</w:t>
      </w:r>
      <w:r w:rsidRPr="006E0274" w:rsidR="00FC2383">
        <w:rPr>
          <w:rFonts w:ascii="Verdana" w:hAnsi="Verdana"/>
          <w:sz w:val="22"/>
          <w:szCs w:val="22"/>
        </w:rPr>
        <w:t xml:space="preserve"> </w:t>
      </w:r>
      <w:r w:rsidRPr="006E0274" w:rsidR="00C953BA">
        <w:rPr>
          <w:rFonts w:ascii="Verdana" w:hAnsi="Verdana"/>
          <w:sz w:val="22"/>
          <w:szCs w:val="22"/>
        </w:rPr>
        <w:t xml:space="preserve">The ASA has </w:t>
      </w:r>
      <w:r w:rsidRPr="006E0274" w:rsidR="00FC2383">
        <w:rPr>
          <w:rFonts w:ascii="Verdana" w:hAnsi="Verdana"/>
          <w:sz w:val="22"/>
          <w:szCs w:val="22"/>
        </w:rPr>
        <w:t xml:space="preserve">not observed a significant issue in relation to this provision of the guidance through </w:t>
      </w:r>
      <w:r w:rsidRPr="006E0274" w:rsidR="00C04502">
        <w:rPr>
          <w:rFonts w:ascii="Verdana" w:hAnsi="Verdana"/>
          <w:sz w:val="22"/>
          <w:szCs w:val="22"/>
        </w:rPr>
        <w:t>complaints or proactive monitoring</w:t>
      </w:r>
      <w:r w:rsidRPr="006E0274" w:rsidR="00FC2383">
        <w:rPr>
          <w:rFonts w:ascii="Verdana" w:hAnsi="Verdana"/>
          <w:sz w:val="22"/>
          <w:szCs w:val="22"/>
        </w:rPr>
        <w:t xml:space="preserve">. We have also noted </w:t>
      </w:r>
      <w:r w:rsidRPr="006E0274" w:rsidR="00025AB5">
        <w:rPr>
          <w:rFonts w:ascii="Verdana" w:hAnsi="Verdana"/>
          <w:sz w:val="22"/>
          <w:szCs w:val="22"/>
        </w:rPr>
        <w:t xml:space="preserve">that </w:t>
      </w:r>
      <w:r w:rsidRPr="006E0274" w:rsidR="00FC2383">
        <w:rPr>
          <w:rFonts w:ascii="Verdana" w:hAnsi="Verdana"/>
          <w:sz w:val="22"/>
          <w:szCs w:val="22"/>
        </w:rPr>
        <w:t>half</w:t>
      </w:r>
      <w:r w:rsidRPr="006E0274" w:rsidR="00025AB5">
        <w:rPr>
          <w:rFonts w:ascii="Verdana" w:hAnsi="Verdana"/>
          <w:sz w:val="22"/>
          <w:szCs w:val="22"/>
        </w:rPr>
        <w:t>-</w:t>
      </w:r>
      <w:r w:rsidRPr="006E0274" w:rsidR="00FC2383">
        <w:rPr>
          <w:rFonts w:ascii="Verdana" w:hAnsi="Verdana"/>
          <w:sz w:val="22"/>
          <w:szCs w:val="22"/>
        </w:rPr>
        <w:t>time live odds promotions have been more toned down in recent years</w:t>
      </w:r>
      <w:r w:rsidRPr="006E0274" w:rsidR="00025AB5">
        <w:rPr>
          <w:rFonts w:ascii="Verdana" w:hAnsi="Verdana"/>
          <w:sz w:val="22"/>
          <w:szCs w:val="22"/>
        </w:rPr>
        <w:t xml:space="preserve">, </w:t>
      </w:r>
      <w:r w:rsidRPr="006E0274" w:rsidR="59070585">
        <w:rPr>
          <w:rFonts w:ascii="Verdana" w:hAnsi="Verdana"/>
          <w:sz w:val="22"/>
          <w:szCs w:val="22"/>
        </w:rPr>
        <w:t>with</w:t>
      </w:r>
      <w:r w:rsidRPr="006E0274" w:rsidR="00025AB5">
        <w:rPr>
          <w:rFonts w:ascii="Verdana" w:hAnsi="Verdana"/>
          <w:sz w:val="22"/>
          <w:szCs w:val="22"/>
        </w:rPr>
        <w:t xml:space="preserve"> advertiser</w:t>
      </w:r>
      <w:r w:rsidRPr="006E0274" w:rsidR="676CE32E">
        <w:rPr>
          <w:rFonts w:ascii="Verdana" w:hAnsi="Verdana"/>
          <w:sz w:val="22"/>
          <w:szCs w:val="22"/>
        </w:rPr>
        <w:t>s</w:t>
      </w:r>
      <w:r w:rsidRPr="006E0274" w:rsidR="00025AB5">
        <w:rPr>
          <w:rFonts w:ascii="Verdana" w:hAnsi="Verdana"/>
          <w:sz w:val="22"/>
          <w:szCs w:val="22"/>
        </w:rPr>
        <w:t xml:space="preserve"> present</w:t>
      </w:r>
      <w:r w:rsidRPr="006E0274" w:rsidR="22057672">
        <w:rPr>
          <w:rFonts w:ascii="Verdana" w:hAnsi="Verdana"/>
          <w:sz w:val="22"/>
          <w:szCs w:val="22"/>
        </w:rPr>
        <w:t>ing</w:t>
      </w:r>
      <w:r w:rsidRPr="006E0274" w:rsidR="00025AB5">
        <w:rPr>
          <w:rFonts w:ascii="Verdana" w:hAnsi="Verdana"/>
          <w:sz w:val="22"/>
          <w:szCs w:val="22"/>
        </w:rPr>
        <w:t xml:space="preserve"> the offer but </w:t>
      </w:r>
      <w:r w:rsidRPr="006E0274" w:rsidR="5FAF357D">
        <w:rPr>
          <w:rFonts w:ascii="Verdana" w:hAnsi="Verdana"/>
          <w:sz w:val="22"/>
          <w:szCs w:val="22"/>
        </w:rPr>
        <w:t xml:space="preserve">generally avoiding </w:t>
      </w:r>
      <w:r w:rsidRPr="006E0274" w:rsidR="00025AB5">
        <w:rPr>
          <w:rFonts w:ascii="Verdana" w:hAnsi="Verdana"/>
          <w:sz w:val="22"/>
          <w:szCs w:val="22"/>
        </w:rPr>
        <w:t>us</w:t>
      </w:r>
      <w:r w:rsidRPr="006E0274" w:rsidR="712488CB">
        <w:rPr>
          <w:rFonts w:ascii="Verdana" w:hAnsi="Verdana"/>
          <w:sz w:val="22"/>
          <w:szCs w:val="22"/>
        </w:rPr>
        <w:t>ing</w:t>
      </w:r>
      <w:r w:rsidRPr="006E0274" w:rsidR="00025AB5">
        <w:rPr>
          <w:rFonts w:ascii="Verdana" w:hAnsi="Verdana"/>
          <w:sz w:val="22"/>
          <w:szCs w:val="22"/>
        </w:rPr>
        <w:t xml:space="preserve"> creative </w:t>
      </w:r>
      <w:r w:rsidRPr="006E0274" w:rsidR="6E47908C">
        <w:rPr>
          <w:rFonts w:ascii="Verdana" w:hAnsi="Verdana"/>
          <w:sz w:val="22"/>
          <w:szCs w:val="22"/>
        </w:rPr>
        <w:t xml:space="preserve">approaches that </w:t>
      </w:r>
      <w:r w:rsidRPr="006E0274" w:rsidR="00025AB5">
        <w:rPr>
          <w:rFonts w:ascii="Verdana" w:hAnsi="Verdana"/>
          <w:sz w:val="22"/>
          <w:szCs w:val="22"/>
        </w:rPr>
        <w:t xml:space="preserve">push people to bet. </w:t>
      </w:r>
    </w:p>
    <w:p w:rsidR="00B92712" w:rsidRPr="006E0274" w:rsidP="006B0F9F">
      <w:pPr>
        <w:pStyle w:val="ListParagraph"/>
        <w:numPr>
          <w:ilvl w:val="0"/>
          <w:numId w:val="31"/>
        </w:numPr>
        <w:contextualSpacing w:val="0"/>
        <w:rPr>
          <w:rFonts w:ascii="Verdana" w:hAnsi="Verdana"/>
          <w:sz w:val="22"/>
          <w:szCs w:val="22"/>
        </w:rPr>
      </w:pPr>
      <w:r w:rsidRPr="006E0274">
        <w:rPr>
          <w:rFonts w:ascii="Verdana" w:hAnsi="Verdana"/>
          <w:sz w:val="22"/>
          <w:szCs w:val="22"/>
        </w:rPr>
        <w:t>H</w:t>
      </w:r>
      <w:r w:rsidRPr="006E0274">
        <w:rPr>
          <w:rFonts w:ascii="Verdana" w:hAnsi="Verdana"/>
          <w:sz w:val="22"/>
          <w:szCs w:val="22"/>
        </w:rPr>
        <w:t>ow frequently has it taken steps against advertisers in breach of its rules in this regard?</w:t>
      </w:r>
    </w:p>
    <w:p w:rsidR="007C2AEA" w:rsidRPr="006E0274" w:rsidP="006B0F9F">
      <w:pPr>
        <w:rPr>
          <w:rFonts w:ascii="Verdana" w:hAnsi="Verdana"/>
        </w:rPr>
      </w:pPr>
      <w:r w:rsidRPr="006E0274">
        <w:rPr>
          <w:rFonts w:ascii="Verdana" w:hAnsi="Verdana"/>
        </w:rPr>
        <w:t xml:space="preserve">The ASA has </w:t>
      </w:r>
      <w:r w:rsidRPr="006E0274">
        <w:rPr>
          <w:rFonts w:ascii="Verdana" w:hAnsi="Verdana"/>
        </w:rPr>
        <w:t>taken action</w:t>
      </w:r>
      <w:r w:rsidRPr="006E0274">
        <w:rPr>
          <w:rFonts w:ascii="Verdana" w:hAnsi="Verdana"/>
        </w:rPr>
        <w:t xml:space="preserve"> where advertisements have breached the rules, through both formal rulings and compliance interventions proportionate to the circumstances.</w:t>
      </w:r>
      <w:r w:rsidRPr="006E0274" w:rsidR="00836819">
        <w:rPr>
          <w:rFonts w:ascii="Verdana" w:hAnsi="Verdana"/>
        </w:rPr>
        <w:t xml:space="preserve"> </w:t>
      </w:r>
    </w:p>
    <w:p w:rsidR="00C6529A" w:rsidRPr="006E0274" w:rsidP="006B0F9F">
      <w:pPr>
        <w:rPr>
          <w:rFonts w:ascii="Verdana" w:hAnsi="Verdana"/>
        </w:rPr>
      </w:pPr>
      <w:r w:rsidRPr="006E0274">
        <w:rPr>
          <w:rFonts w:ascii="Verdana" w:hAnsi="Verdana"/>
        </w:rPr>
        <w:t>Since the guidance was revised, we have</w:t>
      </w:r>
      <w:r w:rsidRPr="006E0274" w:rsidR="00764F29">
        <w:rPr>
          <w:rFonts w:ascii="Verdana" w:hAnsi="Verdana"/>
        </w:rPr>
        <w:t xml:space="preserve"> published </w:t>
      </w:r>
      <w:r w:rsidRPr="006E0274" w:rsidR="007B0260">
        <w:rPr>
          <w:rFonts w:ascii="Verdana" w:hAnsi="Verdana"/>
        </w:rPr>
        <w:t xml:space="preserve">two </w:t>
      </w:r>
      <w:r w:rsidRPr="006E0274" w:rsidR="00BD0115">
        <w:rPr>
          <w:rFonts w:ascii="Verdana" w:hAnsi="Verdana"/>
        </w:rPr>
        <w:t xml:space="preserve">upheld </w:t>
      </w:r>
      <w:r w:rsidRPr="006E0274" w:rsidR="00764F29">
        <w:rPr>
          <w:rFonts w:ascii="Verdana" w:hAnsi="Verdana"/>
        </w:rPr>
        <w:t>ruling</w:t>
      </w:r>
      <w:r w:rsidRPr="006E0274" w:rsidR="007B0260">
        <w:rPr>
          <w:rFonts w:ascii="Verdana" w:hAnsi="Verdana"/>
        </w:rPr>
        <w:t>s</w:t>
      </w:r>
      <w:r w:rsidRPr="006E0274" w:rsidR="009F13CE">
        <w:rPr>
          <w:rFonts w:ascii="Verdana" w:hAnsi="Verdana"/>
        </w:rPr>
        <w:t xml:space="preserve"> (</w:t>
      </w:r>
      <w:r>
        <w:fldChar w:fldCharType="begin"/>
      </w:r>
      <w:r>
        <w:instrText xml:space="preserve"> HYPERLINK "https://www.asa.org.uk/rulings/william-hill-organization-ltd-a25-1286778-william-hill-organization-ltd.html" </w:instrText>
      </w:r>
      <w:r>
        <w:fldChar w:fldCharType="separate"/>
      </w:r>
      <w:r w:rsidRPr="006E0274" w:rsidR="00CA6CA2">
        <w:rPr>
          <w:rStyle w:val="Hyperlink"/>
          <w:rFonts w:ascii="Verdana" w:hAnsi="Verdana"/>
          <w:color w:val="auto"/>
        </w:rPr>
        <w:t>William Hill</w:t>
      </w:r>
      <w:r w:rsidRPr="006E0274" w:rsidR="009F13CE">
        <w:rPr>
          <w:rStyle w:val="Hyperlink"/>
          <w:rFonts w:ascii="Verdana" w:hAnsi="Verdana"/>
          <w:color w:val="auto"/>
        </w:rPr>
        <w:t xml:space="preserve">, </w:t>
      </w:r>
      <w:r w:rsidRPr="006E0274" w:rsidR="00CA6CA2">
        <w:rPr>
          <w:rStyle w:val="Hyperlink"/>
          <w:rFonts w:ascii="Verdana" w:hAnsi="Verdana"/>
          <w:color w:val="auto"/>
        </w:rPr>
        <w:t>2025</w:t>
      </w:r>
      <w:r>
        <w:fldChar w:fldCharType="end"/>
      </w:r>
      <w:r w:rsidRPr="006E0274" w:rsidR="00CA6CA2">
        <w:rPr>
          <w:rFonts w:ascii="Verdana" w:hAnsi="Verdana"/>
        </w:rPr>
        <w:t>)</w:t>
      </w:r>
      <w:r w:rsidRPr="006E0274" w:rsidR="009F13CE">
        <w:rPr>
          <w:rFonts w:ascii="Verdana" w:hAnsi="Verdana"/>
        </w:rPr>
        <w:t xml:space="preserve"> and (</w:t>
      </w:r>
      <w:r>
        <w:fldChar w:fldCharType="begin"/>
      </w:r>
      <w:r>
        <w:instrText xml:space="preserve"> HYPERLINK "https://www.asa.org.uk/rulings/lc-international-ltd-g22-1150738-lc-international-ltd.html" </w:instrText>
      </w:r>
      <w:r>
        <w:fldChar w:fldCharType="separate"/>
      </w:r>
      <w:r w:rsidRPr="006E0274" w:rsidR="009F13CE">
        <w:rPr>
          <w:rStyle w:val="Hyperlink"/>
          <w:rFonts w:ascii="Verdana" w:hAnsi="Verdana"/>
          <w:color w:val="auto"/>
        </w:rPr>
        <w:t>Coral, 2022</w:t>
      </w:r>
      <w:r>
        <w:fldChar w:fldCharType="end"/>
      </w:r>
      <w:r w:rsidRPr="006E0274" w:rsidR="009F13CE">
        <w:rPr>
          <w:rFonts w:ascii="Verdana" w:hAnsi="Verdana"/>
        </w:rPr>
        <w:t xml:space="preserve">). </w:t>
      </w:r>
      <w:r w:rsidRPr="006E0274" w:rsidR="00CE0CCE">
        <w:rPr>
          <w:rFonts w:ascii="Verdana" w:hAnsi="Verdana"/>
        </w:rPr>
        <w:t xml:space="preserve">Both were in breach of our gambling advertising social responsibility rules. </w:t>
      </w:r>
    </w:p>
    <w:p w:rsidR="00B92712" w:rsidRPr="006E0274" w:rsidP="006B0F9F">
      <w:pPr>
        <w:rPr>
          <w:rFonts w:ascii="Verdana" w:hAnsi="Verdana"/>
          <w:b/>
          <w:i/>
          <w:sz w:val="22"/>
          <w:szCs w:val="22"/>
        </w:rPr>
      </w:pPr>
      <w:r w:rsidRPr="006E0274">
        <w:rPr>
          <w:rFonts w:ascii="Verdana" w:hAnsi="Verdana"/>
          <w:b/>
          <w:i/>
          <w:sz w:val="22"/>
          <w:szCs w:val="22"/>
        </w:rPr>
        <w:t>Content marketing</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What is the ASA’s assessment of the evidence base regarding the connection between gambling ‘content marketing’ and gambling-related harm</w:t>
      </w:r>
      <w:r w:rsidRPr="006E0274" w:rsidR="00E04B43">
        <w:rPr>
          <w:rFonts w:ascii="Verdana" w:hAnsi="Verdana"/>
          <w:sz w:val="22"/>
          <w:szCs w:val="22"/>
        </w:rPr>
        <w:t>, and particularly its</w:t>
      </w:r>
      <w:r w:rsidRPr="006E0274">
        <w:rPr>
          <w:rFonts w:ascii="Verdana" w:hAnsi="Verdana"/>
          <w:sz w:val="22"/>
          <w:szCs w:val="22"/>
        </w:rPr>
        <w:t xml:space="preserve"> appeal</w:t>
      </w:r>
      <w:r w:rsidRPr="006E0274" w:rsidR="00150AEA">
        <w:rPr>
          <w:rFonts w:ascii="Verdana" w:hAnsi="Verdana"/>
          <w:sz w:val="22"/>
          <w:szCs w:val="22"/>
        </w:rPr>
        <w:t xml:space="preserve"> and recognisability</w:t>
      </w:r>
      <w:r w:rsidRPr="006E0274">
        <w:rPr>
          <w:rFonts w:ascii="Verdana" w:hAnsi="Verdana"/>
          <w:sz w:val="22"/>
          <w:szCs w:val="22"/>
        </w:rPr>
        <w:t xml:space="preserve"> to </w:t>
      </w:r>
      <w:r w:rsidRPr="006E0274" w:rsidR="00E04B43">
        <w:rPr>
          <w:rFonts w:ascii="Verdana" w:hAnsi="Verdana"/>
          <w:sz w:val="22"/>
          <w:szCs w:val="22"/>
        </w:rPr>
        <w:t>under-18s</w:t>
      </w:r>
      <w:r w:rsidRPr="006E0274" w:rsidR="003B3828">
        <w:rPr>
          <w:rFonts w:ascii="Verdana" w:hAnsi="Verdana"/>
          <w:sz w:val="22"/>
          <w:szCs w:val="22"/>
        </w:rPr>
        <w:t xml:space="preserve">, </w:t>
      </w:r>
      <w:r w:rsidRPr="006E0274" w:rsidR="00FF6DCC">
        <w:rPr>
          <w:rFonts w:ascii="Verdana" w:hAnsi="Verdana"/>
          <w:sz w:val="22"/>
          <w:szCs w:val="22"/>
        </w:rPr>
        <w:t>and how has the ASA taken this evidence base into account in the exercise of its responsibilities?</w:t>
      </w:r>
    </w:p>
    <w:p w:rsidR="00DA0D06" w:rsidRPr="006E0274" w:rsidP="006B0F9F">
      <w:pPr>
        <w:rPr>
          <w:rFonts w:ascii="Verdana" w:hAnsi="Verdana"/>
          <w:i/>
          <w:iCs/>
        </w:rPr>
      </w:pPr>
      <w:r w:rsidRPr="006E0274">
        <w:rPr>
          <w:rFonts w:ascii="Verdana" w:hAnsi="Verdana"/>
          <w:i/>
          <w:iCs/>
        </w:rPr>
        <w:t>Third party evidence base</w:t>
      </w:r>
    </w:p>
    <w:p w:rsidR="00E642BF" w:rsidRPr="006E0274" w:rsidP="006B0F9F">
      <w:pPr>
        <w:rPr>
          <w:rFonts w:ascii="Verdana" w:hAnsi="Verdana"/>
        </w:rPr>
      </w:pPr>
      <w:r w:rsidRPr="006E0274">
        <w:rPr>
          <w:rFonts w:ascii="Verdana" w:hAnsi="Verdana"/>
        </w:rPr>
        <w:t xml:space="preserve">The ASA recognises concerns </w:t>
      </w:r>
      <w:r w:rsidRPr="006E0274" w:rsidR="7E7559EB">
        <w:rPr>
          <w:rFonts w:ascii="Verdana" w:hAnsi="Verdana"/>
        </w:rPr>
        <w:t xml:space="preserve">about </w:t>
      </w:r>
      <w:r w:rsidRPr="006E0274">
        <w:rPr>
          <w:rFonts w:ascii="Verdana" w:hAnsi="Verdana"/>
        </w:rPr>
        <w:t xml:space="preserve">content marketing, particularly its </w:t>
      </w:r>
      <w:r w:rsidRPr="006E0274" w:rsidR="68B8B8E7">
        <w:rPr>
          <w:rFonts w:ascii="Verdana" w:hAnsi="Verdana"/>
        </w:rPr>
        <w:t xml:space="preserve">potential </w:t>
      </w:r>
      <w:r w:rsidRPr="006E0274">
        <w:rPr>
          <w:rFonts w:ascii="Verdana" w:hAnsi="Verdana"/>
        </w:rPr>
        <w:t>appeal to under 18s and recognisability to children, young people and adults. Regulatory approaches have been informed by available evidence and by ongoing monitoring of evolving online environments.</w:t>
      </w:r>
      <w:r w:rsidRPr="006E0274" w:rsidR="00A01849">
        <w:rPr>
          <w:rFonts w:ascii="Verdana" w:hAnsi="Verdana"/>
        </w:rPr>
        <w:t xml:space="preserve"> </w:t>
      </w:r>
      <w:r w:rsidRPr="006E0274" w:rsidR="00364D72">
        <w:rPr>
          <w:rFonts w:ascii="Verdana" w:hAnsi="Verdana"/>
        </w:rPr>
        <w:t xml:space="preserve">We have reviewed </w:t>
      </w:r>
      <w:r w:rsidRPr="006E0274" w:rsidR="00032069">
        <w:rPr>
          <w:rFonts w:ascii="Verdana" w:hAnsi="Verdana"/>
        </w:rPr>
        <w:t xml:space="preserve">evidence </w:t>
      </w:r>
      <w:r w:rsidRPr="006E0274" w:rsidR="00BE37A5">
        <w:rPr>
          <w:rFonts w:ascii="Verdana" w:hAnsi="Verdana"/>
        </w:rPr>
        <w:t xml:space="preserve">produced by third parties on the issue of content marketing and </w:t>
      </w:r>
      <w:r w:rsidRPr="006E0274" w:rsidR="00B32A3A">
        <w:rPr>
          <w:rFonts w:ascii="Verdana" w:hAnsi="Verdana"/>
        </w:rPr>
        <w:t>taken it into account as appropriate</w:t>
      </w:r>
      <w:r w:rsidRPr="006E0274" w:rsidR="27A2C31B">
        <w:rPr>
          <w:rFonts w:ascii="Verdana" w:hAnsi="Verdana"/>
        </w:rPr>
        <w:t>,</w:t>
      </w:r>
      <w:r w:rsidRPr="006E0274" w:rsidR="00B32A3A">
        <w:rPr>
          <w:rFonts w:ascii="Verdana" w:hAnsi="Verdana"/>
        </w:rPr>
        <w:t xml:space="preserve"> whilst noting</w:t>
      </w:r>
      <w:r w:rsidRPr="006E0274" w:rsidR="00423CAC">
        <w:rPr>
          <w:rFonts w:ascii="Verdana" w:hAnsi="Verdana"/>
        </w:rPr>
        <w:t xml:space="preserve"> that much of the research we have </w:t>
      </w:r>
      <w:r w:rsidRPr="006E0274" w:rsidR="00EE30D6">
        <w:rPr>
          <w:rFonts w:ascii="Verdana" w:hAnsi="Verdana"/>
        </w:rPr>
        <w:t>reviewed</w:t>
      </w:r>
      <w:r w:rsidRPr="006E0274" w:rsidR="00423CAC">
        <w:rPr>
          <w:rFonts w:ascii="Verdana" w:hAnsi="Verdana"/>
        </w:rPr>
        <w:t xml:space="preserve"> </w:t>
      </w:r>
      <w:r w:rsidRPr="006E0274" w:rsidR="00EE30AB">
        <w:rPr>
          <w:rFonts w:ascii="Verdana" w:hAnsi="Verdana"/>
        </w:rPr>
        <w:t>contain</w:t>
      </w:r>
      <w:r w:rsidRPr="006E0274" w:rsidR="00EE30D6">
        <w:rPr>
          <w:rFonts w:ascii="Verdana" w:hAnsi="Verdana"/>
        </w:rPr>
        <w:t>ed</w:t>
      </w:r>
      <w:r w:rsidRPr="006E0274" w:rsidR="00EE30AB">
        <w:rPr>
          <w:rFonts w:ascii="Verdana" w:hAnsi="Verdana"/>
        </w:rPr>
        <w:t xml:space="preserve"> weaknesses </w:t>
      </w:r>
      <w:r w:rsidRPr="006E0274" w:rsidR="0046270D">
        <w:rPr>
          <w:rFonts w:ascii="Verdana" w:hAnsi="Verdana"/>
        </w:rPr>
        <w:t>relating to</w:t>
      </w:r>
      <w:r w:rsidRPr="006E0274" w:rsidR="00BF1414">
        <w:rPr>
          <w:rFonts w:ascii="Verdana" w:hAnsi="Verdana"/>
        </w:rPr>
        <w:t xml:space="preserve"> (for instance)</w:t>
      </w:r>
      <w:r w:rsidRPr="006E0274" w:rsidR="0046270D">
        <w:rPr>
          <w:rFonts w:ascii="Verdana" w:hAnsi="Verdana"/>
        </w:rPr>
        <w:t xml:space="preserve"> </w:t>
      </w:r>
      <w:r w:rsidRPr="006E0274" w:rsidR="00EE30AB">
        <w:rPr>
          <w:rFonts w:ascii="Verdana" w:hAnsi="Verdana"/>
        </w:rPr>
        <w:t>methodology</w:t>
      </w:r>
      <w:r w:rsidRPr="006E0274" w:rsidR="00130866">
        <w:rPr>
          <w:rFonts w:ascii="Verdana" w:hAnsi="Verdana"/>
        </w:rPr>
        <w:t xml:space="preserve">, </w:t>
      </w:r>
      <w:r w:rsidRPr="006E0274" w:rsidR="003C6FBE">
        <w:rPr>
          <w:rFonts w:ascii="Verdana" w:hAnsi="Verdana"/>
        </w:rPr>
        <w:t xml:space="preserve">priming </w:t>
      </w:r>
      <w:r w:rsidRPr="006E0274" w:rsidR="00130866">
        <w:rPr>
          <w:rFonts w:ascii="Verdana" w:hAnsi="Verdana"/>
        </w:rPr>
        <w:t xml:space="preserve">terminology </w:t>
      </w:r>
      <w:r w:rsidRPr="006E0274" w:rsidR="00130866">
        <w:rPr>
          <w:rFonts w:ascii="Verdana" w:hAnsi="Verdana"/>
        </w:rPr>
        <w:t>an</w:t>
      </w:r>
      <w:r w:rsidRPr="006E0274" w:rsidR="00DC6190">
        <w:rPr>
          <w:rFonts w:ascii="Verdana" w:hAnsi="Verdana"/>
        </w:rPr>
        <w:t xml:space="preserve">d </w:t>
      </w:r>
      <w:r w:rsidRPr="006E0274" w:rsidR="00467762">
        <w:rPr>
          <w:rFonts w:ascii="Verdana" w:hAnsi="Verdana"/>
        </w:rPr>
        <w:t xml:space="preserve">the </w:t>
      </w:r>
      <w:r w:rsidRPr="006E0274" w:rsidR="00DC6190">
        <w:rPr>
          <w:rFonts w:ascii="Verdana" w:hAnsi="Verdana"/>
        </w:rPr>
        <w:t>stimulus material</w:t>
      </w:r>
      <w:r w:rsidRPr="006E0274" w:rsidR="00467762">
        <w:rPr>
          <w:rFonts w:ascii="Verdana" w:hAnsi="Verdana"/>
        </w:rPr>
        <w:t xml:space="preserve"> referred to</w:t>
      </w:r>
      <w:r w:rsidRPr="006E0274" w:rsidR="34088819">
        <w:rPr>
          <w:rFonts w:ascii="Verdana" w:hAnsi="Verdana"/>
        </w:rPr>
        <w:t>,</w:t>
      </w:r>
      <w:r w:rsidRPr="006E0274" w:rsidR="00EE30AB">
        <w:rPr>
          <w:rFonts w:ascii="Verdana" w:hAnsi="Verdana"/>
        </w:rPr>
        <w:t xml:space="preserve"> </w:t>
      </w:r>
      <w:r w:rsidRPr="006E0274" w:rsidR="00BF6AF4">
        <w:rPr>
          <w:rFonts w:ascii="Verdana" w:hAnsi="Verdana"/>
        </w:rPr>
        <w:t xml:space="preserve">which has limited </w:t>
      </w:r>
      <w:r w:rsidRPr="006E0274" w:rsidR="003E44FD">
        <w:rPr>
          <w:rFonts w:ascii="Verdana" w:hAnsi="Verdana"/>
        </w:rPr>
        <w:t xml:space="preserve">the </w:t>
      </w:r>
      <w:r w:rsidRPr="006E0274" w:rsidR="00E94B53">
        <w:rPr>
          <w:rFonts w:ascii="Verdana" w:hAnsi="Verdana"/>
        </w:rPr>
        <w:t>weight we can place on</w:t>
      </w:r>
      <w:r w:rsidRPr="006E0274" w:rsidR="003E44FD">
        <w:rPr>
          <w:rFonts w:ascii="Verdana" w:hAnsi="Verdana"/>
        </w:rPr>
        <w:t xml:space="preserve"> such studies</w:t>
      </w:r>
      <w:r w:rsidRPr="006E0274" w:rsidR="00467762">
        <w:rPr>
          <w:rFonts w:ascii="Verdana" w:hAnsi="Verdana"/>
        </w:rPr>
        <w:t xml:space="preserve"> </w:t>
      </w:r>
      <w:r w:rsidRPr="006E0274" w:rsidR="20E0E660">
        <w:rPr>
          <w:rFonts w:ascii="Verdana" w:hAnsi="Verdana"/>
        </w:rPr>
        <w:t>in exercising our responsibilities</w:t>
      </w:r>
      <w:r w:rsidRPr="006E0274" w:rsidR="003E44FD">
        <w:rPr>
          <w:rFonts w:ascii="Verdana" w:hAnsi="Verdana"/>
        </w:rPr>
        <w:t>.</w:t>
      </w:r>
    </w:p>
    <w:p w:rsidR="00BC6D56" w:rsidRPr="006E0274" w:rsidP="006B0F9F">
      <w:pPr>
        <w:rPr>
          <w:rFonts w:ascii="Verdana" w:hAnsi="Verdana"/>
          <w:i/>
          <w:iCs/>
        </w:rPr>
      </w:pPr>
      <w:r w:rsidRPr="006E0274">
        <w:rPr>
          <w:rFonts w:ascii="Verdana" w:hAnsi="Verdana"/>
          <w:i/>
          <w:iCs/>
        </w:rPr>
        <w:t>ASA</w:t>
      </w:r>
      <w:r w:rsidRPr="006E0274" w:rsidR="00DA0D06">
        <w:rPr>
          <w:rFonts w:ascii="Verdana" w:hAnsi="Verdana"/>
          <w:i/>
          <w:iCs/>
        </w:rPr>
        <w:t>s own evidence base and proactive monitoring</w:t>
      </w:r>
    </w:p>
    <w:p w:rsidR="008E761B" w:rsidRPr="006E0274" w:rsidP="006B0F9F">
      <w:pPr>
        <w:rPr>
          <w:rFonts w:ascii="Verdana" w:hAnsi="Verdana"/>
        </w:rPr>
      </w:pPr>
      <w:r w:rsidRPr="006E0274">
        <w:rPr>
          <w:rFonts w:ascii="Verdana" w:hAnsi="Verdana"/>
        </w:rPr>
        <w:t xml:space="preserve">The ASA has been carrying out a proactive sweep of gambling operators’ organic social media posts, covering several months’ worth of content (August 2025 – March 2026) using our </w:t>
      </w:r>
      <w:r w:rsidRPr="006E0274" w:rsidR="0C20B4D6">
        <w:rPr>
          <w:rFonts w:ascii="Verdana" w:hAnsi="Verdana"/>
        </w:rPr>
        <w:t>AI-</w:t>
      </w:r>
      <w:r w:rsidRPr="006E0274">
        <w:rPr>
          <w:rFonts w:ascii="Verdana" w:hAnsi="Verdana"/>
        </w:rPr>
        <w:t xml:space="preserve">driven Active Ad Monitoring System. </w:t>
      </w:r>
      <w:r w:rsidRPr="006E0274" w:rsidR="002F33DB">
        <w:rPr>
          <w:rFonts w:ascii="Verdana" w:hAnsi="Verdana"/>
        </w:rPr>
        <w:t xml:space="preserve">Over 700 posts were marked for review by the Active Ad Monitoring tool covering </w:t>
      </w:r>
      <w:r w:rsidRPr="006E0274" w:rsidR="002F33DB">
        <w:rPr>
          <w:rFonts w:ascii="Verdana" w:hAnsi="Verdana"/>
        </w:rPr>
        <w:t>all of</w:t>
      </w:r>
      <w:r w:rsidRPr="006E0274" w:rsidR="002F33DB">
        <w:rPr>
          <w:rFonts w:ascii="Verdana" w:hAnsi="Verdana"/>
        </w:rPr>
        <w:t xml:space="preserve"> the main licen</w:t>
      </w:r>
      <w:r w:rsidRPr="006E0274" w:rsidR="00734D9B">
        <w:rPr>
          <w:rFonts w:ascii="Verdana" w:hAnsi="Verdana"/>
        </w:rPr>
        <w:t>s</w:t>
      </w:r>
      <w:r w:rsidRPr="006E0274" w:rsidR="002F33DB">
        <w:rPr>
          <w:rFonts w:ascii="Verdana" w:hAnsi="Verdana"/>
        </w:rPr>
        <w:t>ed gambling operators, of which a representative sample of 388 were assessed. Meanwhile, the Executive led a desk-based review of operator posts published on X during February to March.</w:t>
      </w:r>
    </w:p>
    <w:p w:rsidR="00BC6D56" w:rsidRPr="006E0274" w:rsidP="006B0F9F">
      <w:pPr>
        <w:rPr>
          <w:rFonts w:ascii="Verdana" w:hAnsi="Verdana"/>
        </w:rPr>
      </w:pPr>
      <w:r w:rsidRPr="006E0274">
        <w:rPr>
          <w:rFonts w:ascii="Verdana" w:hAnsi="Verdana"/>
        </w:rPr>
        <w:t>The content was assessed by gambling specialists to see whether it was likely to (A) be advertising for the purposes of the CAP Code [via the ‘directly connected’ test], and (B) break the ASA’s rules, primarily by including content that would be of ‘strong appeal’ to children, because of the inclusion of individuals who were or appeared to be U25 or for any other reason.</w:t>
      </w:r>
    </w:p>
    <w:p w:rsidR="00CF7514" w:rsidRPr="006E0274" w:rsidP="006B0F9F">
      <w:pPr>
        <w:rPr>
          <w:rFonts w:ascii="Verdana" w:hAnsi="Verdana"/>
          <w:i/>
          <w:iCs/>
        </w:rPr>
      </w:pPr>
      <w:r w:rsidRPr="006E0274">
        <w:rPr>
          <w:rFonts w:ascii="Verdana" w:hAnsi="Verdana"/>
          <w:i/>
          <w:iCs/>
        </w:rPr>
        <w:t>For the ads we found on Meta:</w:t>
      </w:r>
    </w:p>
    <w:p w:rsidR="00CF7514" w:rsidRPr="006E0274" w:rsidP="006B0F9F">
      <w:pPr>
        <w:pStyle w:val="ListParagraph"/>
        <w:numPr>
          <w:ilvl w:val="0"/>
          <w:numId w:val="47"/>
        </w:numPr>
        <w:rPr>
          <w:rFonts w:ascii="Verdana" w:hAnsi="Verdana"/>
        </w:rPr>
      </w:pPr>
      <w:r w:rsidRPr="006E0274">
        <w:rPr>
          <w:rFonts w:ascii="Verdana" w:hAnsi="Verdana"/>
        </w:rPr>
        <w:t>~ 85% of all posts were found not to be ads or ads that were clearly compliant</w:t>
      </w:r>
    </w:p>
    <w:p w:rsidR="00CF7514" w:rsidRPr="006E0274" w:rsidP="006B0F9F">
      <w:pPr>
        <w:pStyle w:val="ListParagraph"/>
        <w:numPr>
          <w:ilvl w:val="0"/>
          <w:numId w:val="47"/>
        </w:numPr>
        <w:rPr>
          <w:rFonts w:ascii="Verdana" w:hAnsi="Verdana"/>
        </w:rPr>
      </w:pPr>
      <w:r w:rsidRPr="006E0274">
        <w:rPr>
          <w:rFonts w:ascii="Verdana" w:hAnsi="Verdana"/>
        </w:rPr>
        <w:t>~ 10% of all posts were borderline. i.e. would require investigation to establish if they are</w:t>
      </w:r>
      <w:r w:rsidRPr="006E0274">
        <w:rPr>
          <w:rFonts w:ascii="Verdana" w:hAnsi="Verdana"/>
        </w:rPr>
        <w:t xml:space="preserve"> </w:t>
      </w:r>
      <w:r w:rsidRPr="006E0274">
        <w:rPr>
          <w:rFonts w:ascii="Verdana" w:hAnsi="Verdana"/>
        </w:rPr>
        <w:t>ads and</w:t>
      </w:r>
      <w:r w:rsidRPr="006E0274" w:rsidR="00A860C5">
        <w:rPr>
          <w:rFonts w:ascii="Verdana" w:hAnsi="Verdana"/>
        </w:rPr>
        <w:t>/or</w:t>
      </w:r>
      <w:r w:rsidRPr="006E0274">
        <w:rPr>
          <w:rFonts w:ascii="Verdana" w:hAnsi="Verdana"/>
        </w:rPr>
        <w:t xml:space="preserve"> </w:t>
      </w:r>
      <w:r w:rsidRPr="006E0274">
        <w:rPr>
          <w:rFonts w:ascii="Verdana" w:hAnsi="Verdana"/>
        </w:rPr>
        <w:t>a problem under the Code</w:t>
      </w:r>
    </w:p>
    <w:p w:rsidR="00CF7514" w:rsidRPr="006E0274" w:rsidP="006B0F9F">
      <w:pPr>
        <w:pStyle w:val="ListParagraph"/>
        <w:numPr>
          <w:ilvl w:val="0"/>
          <w:numId w:val="47"/>
        </w:numPr>
        <w:rPr>
          <w:rFonts w:ascii="Verdana" w:hAnsi="Verdana"/>
        </w:rPr>
      </w:pPr>
      <w:r w:rsidRPr="006E0274">
        <w:rPr>
          <w:rFonts w:ascii="Verdana" w:hAnsi="Verdana"/>
        </w:rPr>
        <w:t>~ 5% of those scanned were found likely to be both ads AND in breach of the rules</w:t>
      </w:r>
    </w:p>
    <w:p w:rsidR="00CF7514" w:rsidRPr="006E0274" w:rsidP="006B0F9F">
      <w:pPr>
        <w:rPr>
          <w:rFonts w:ascii="Verdana" w:hAnsi="Verdana"/>
        </w:rPr>
      </w:pPr>
      <w:r w:rsidRPr="006E0274">
        <w:rPr>
          <w:rFonts w:ascii="Verdana" w:hAnsi="Verdana"/>
        </w:rPr>
        <w:t xml:space="preserve">This review provides a clear and authoritative baseline for likely current compliance rates of content marketing ads. </w:t>
      </w:r>
      <w:r w:rsidRPr="006E0274" w:rsidR="00BD03BC">
        <w:rPr>
          <w:rFonts w:ascii="Verdana" w:hAnsi="Verdana"/>
        </w:rPr>
        <w:t xml:space="preserve">A more detailed report on our monitoring exercise has been published </w:t>
      </w:r>
      <w:r>
        <w:fldChar w:fldCharType="begin"/>
      </w:r>
      <w:r>
        <w:instrText xml:space="preserve"> HYPERLINK "https://www.asa.org.uk/resource/snapshot-report-gambling-content-marketing.html" </w:instrText>
      </w:r>
      <w:r>
        <w:fldChar w:fldCharType="separate"/>
      </w:r>
      <w:r w:rsidRPr="006E0274" w:rsidR="00BD03BC">
        <w:rPr>
          <w:rStyle w:val="Hyperlink"/>
          <w:rFonts w:ascii="Verdana" w:hAnsi="Verdana"/>
          <w:color w:val="auto"/>
        </w:rPr>
        <w:t>here.</w:t>
      </w:r>
      <w:r>
        <w:fldChar w:fldCharType="end"/>
      </w:r>
      <w:r w:rsidRPr="006E0274" w:rsidR="00BD03BC">
        <w:rPr>
          <w:rFonts w:ascii="Verdana" w:hAnsi="Verdana"/>
        </w:rPr>
        <w:t xml:space="preserve"> </w:t>
      </w:r>
      <w:r w:rsidRPr="006E0274">
        <w:rPr>
          <w:rFonts w:ascii="Verdana" w:hAnsi="Verdana"/>
        </w:rPr>
        <w:t xml:space="preserve"> </w:t>
      </w:r>
      <w:r w:rsidRPr="006E0274" w:rsidR="006F2002">
        <w:rPr>
          <w:rFonts w:ascii="Verdana" w:hAnsi="Verdana"/>
        </w:rPr>
        <w:t>We will progress enforcement action against clearly problematic ads and will investigate borderline cases if we need to establish where to draw the line.</w:t>
      </w:r>
    </w:p>
    <w:p w:rsidR="00131BE4" w:rsidRPr="006E0274" w:rsidP="006B0F9F">
      <w:pPr>
        <w:rPr>
          <w:rFonts w:ascii="Verdana" w:hAnsi="Verdana"/>
        </w:rPr>
      </w:pPr>
      <w:r w:rsidRPr="006E0274">
        <w:rPr>
          <w:rFonts w:ascii="Verdana" w:hAnsi="Verdana"/>
        </w:rPr>
        <w:t xml:space="preserve">We are also undertaking targeted compliance work on: </w:t>
      </w:r>
    </w:p>
    <w:p w:rsidR="00131BE4" w:rsidRPr="006E0274" w:rsidP="006B0F9F">
      <w:pPr>
        <w:pStyle w:val="ListParagraph"/>
        <w:numPr>
          <w:ilvl w:val="0"/>
          <w:numId w:val="48"/>
        </w:numPr>
        <w:rPr>
          <w:rFonts w:ascii="Verdana" w:hAnsi="Verdana"/>
        </w:rPr>
      </w:pPr>
      <w:r w:rsidRPr="006E0274">
        <w:rPr>
          <w:rFonts w:ascii="Verdana" w:hAnsi="Verdana"/>
        </w:rPr>
        <w:t>The use of under</w:t>
      </w:r>
      <w:r w:rsidRPr="006E0274">
        <w:rPr>
          <w:rFonts w:ascii="Cambria Math" w:hAnsi="Cambria Math" w:cs="Cambria Math"/>
        </w:rPr>
        <w:t>‑</w:t>
      </w:r>
      <w:r w:rsidRPr="006E0274">
        <w:rPr>
          <w:rFonts w:ascii="Verdana" w:hAnsi="Verdana"/>
        </w:rPr>
        <w:t xml:space="preserve">25s in gambling advertising </w:t>
      </w:r>
    </w:p>
    <w:p w:rsidR="00131BE4" w:rsidRPr="006E0274" w:rsidP="006B0F9F">
      <w:pPr>
        <w:pStyle w:val="ListParagraph"/>
        <w:numPr>
          <w:ilvl w:val="0"/>
          <w:numId w:val="48"/>
        </w:numPr>
        <w:rPr>
          <w:rFonts w:ascii="Verdana" w:hAnsi="Verdana"/>
        </w:rPr>
      </w:pPr>
      <w:r w:rsidRPr="006E0274">
        <w:rPr>
          <w:rFonts w:ascii="Verdana" w:hAnsi="Verdana"/>
        </w:rPr>
        <w:t xml:space="preserve">Influencer gambling marketing, both paid and organic </w:t>
      </w:r>
    </w:p>
    <w:p w:rsidR="00131BE4" w:rsidRPr="006E0274" w:rsidP="006B0F9F">
      <w:pPr>
        <w:pStyle w:val="ListParagraph"/>
        <w:numPr>
          <w:ilvl w:val="0"/>
          <w:numId w:val="48"/>
        </w:numPr>
        <w:rPr>
          <w:rFonts w:ascii="Verdana" w:hAnsi="Verdana"/>
        </w:rPr>
      </w:pPr>
      <w:r w:rsidRPr="006E0274">
        <w:rPr>
          <w:rFonts w:ascii="Verdana" w:hAnsi="Verdana"/>
        </w:rPr>
        <w:t xml:space="preserve">Advertising on emerging platforms such as livestreaming services </w:t>
      </w:r>
    </w:p>
    <w:p w:rsidR="00090D84" w:rsidRPr="006E0274" w:rsidP="006B0F9F">
      <w:pPr>
        <w:rPr>
          <w:rFonts w:ascii="Verdana" w:hAnsi="Verdana"/>
          <w:i/>
          <w:iCs/>
        </w:rPr>
      </w:pPr>
      <w:r w:rsidRPr="006E0274">
        <w:rPr>
          <w:rFonts w:ascii="Verdana" w:hAnsi="Verdana"/>
          <w:i/>
          <w:iCs/>
        </w:rPr>
        <w:t>Rulings</w:t>
      </w:r>
    </w:p>
    <w:p w:rsidR="00E35A31" w:rsidRPr="006E0274" w:rsidP="006B0F9F">
      <w:pPr>
        <w:rPr>
          <w:rFonts w:ascii="Verdana" w:hAnsi="Verdana"/>
        </w:rPr>
      </w:pPr>
      <w:r w:rsidRPr="006E0274">
        <w:rPr>
          <w:rFonts w:ascii="Verdana" w:hAnsi="Verdana"/>
        </w:rPr>
        <w:t>The ASA has</w:t>
      </w:r>
      <w:r w:rsidRPr="006E0274" w:rsidR="00CA6FBE">
        <w:rPr>
          <w:rFonts w:ascii="Verdana" w:hAnsi="Verdana"/>
        </w:rPr>
        <w:t>, to date,</w:t>
      </w:r>
      <w:r w:rsidRPr="006E0274">
        <w:rPr>
          <w:rFonts w:ascii="Verdana" w:hAnsi="Verdana"/>
        </w:rPr>
        <w:t xml:space="preserve"> published </w:t>
      </w:r>
      <w:r w:rsidRPr="006E0274" w:rsidR="007C7454">
        <w:rPr>
          <w:rFonts w:ascii="Verdana" w:hAnsi="Verdana"/>
        </w:rPr>
        <w:t xml:space="preserve">five rulings in total </w:t>
      </w:r>
      <w:r w:rsidRPr="006E0274" w:rsidR="00950290">
        <w:rPr>
          <w:rFonts w:ascii="Verdana" w:hAnsi="Verdana"/>
        </w:rPr>
        <w:t>on content marketing</w:t>
      </w:r>
      <w:r w:rsidRPr="006E0274" w:rsidR="3A007A23">
        <w:rPr>
          <w:rFonts w:ascii="Verdana" w:hAnsi="Verdana"/>
        </w:rPr>
        <w:t>:</w:t>
      </w:r>
      <w:r w:rsidRPr="006E0274" w:rsidR="003F4DE7">
        <w:rPr>
          <w:rFonts w:ascii="Verdana" w:hAnsi="Verdana"/>
        </w:rPr>
        <w:t xml:space="preserve"> </w:t>
      </w:r>
      <w:r>
        <w:fldChar w:fldCharType="begin"/>
      </w:r>
      <w:r>
        <w:instrText xml:space="preserve"> HYPERLINK "https://www.asa.org.uk/rulings/dribble-media-ltd-g25-1300959-dribble-media-ltd.html" </w:instrText>
      </w:r>
      <w:r>
        <w:fldChar w:fldCharType="separate"/>
      </w:r>
      <w:r w:rsidRPr="006E0274" w:rsidR="003F4DE7">
        <w:rPr>
          <w:rStyle w:val="Hyperlink"/>
          <w:rFonts w:ascii="Verdana" w:hAnsi="Verdana"/>
          <w:color w:val="auto"/>
        </w:rPr>
        <w:t>Dribble Media Ltd t/a Midnite</w:t>
      </w:r>
      <w:r>
        <w:fldChar w:fldCharType="end"/>
      </w:r>
      <w:r w:rsidRPr="006E0274" w:rsidR="003F4DE7">
        <w:rPr>
          <w:rFonts w:ascii="Verdana" w:hAnsi="Verdana"/>
        </w:rPr>
        <w:t>, 2025); (</w:t>
      </w:r>
      <w:r>
        <w:fldChar w:fldCharType="begin"/>
      </w:r>
      <w:r>
        <w:instrText xml:space="preserve"> HYPERLINK "https://www.asa.org.uk/rulings/eaton-gate-gaming-ltd-a24-1252292-eaton-gate-gaming-ltd.htmlhttps:/www.asa.org.uk/rulings/eaton-gate-gaming-ltd-a24-1252292-eaton-gate-gaming-ltd.html" </w:instrText>
      </w:r>
      <w:r>
        <w:fldChar w:fldCharType="separate"/>
      </w:r>
      <w:r w:rsidRPr="006E0274" w:rsidR="003F4DE7">
        <w:rPr>
          <w:rStyle w:val="Hyperlink"/>
          <w:rFonts w:ascii="Verdana" w:hAnsi="Verdana"/>
          <w:color w:val="auto"/>
        </w:rPr>
        <w:t>Eaton Gate Ltd</w:t>
      </w:r>
      <w:r>
        <w:fldChar w:fldCharType="end"/>
      </w:r>
      <w:r w:rsidRPr="006E0274" w:rsidR="003F4DE7">
        <w:rPr>
          <w:rFonts w:ascii="Verdana" w:hAnsi="Verdana"/>
        </w:rPr>
        <w:t>, 2025); (</w:t>
      </w:r>
      <w:r>
        <w:fldChar w:fldCharType="begin"/>
      </w:r>
      <w:r>
        <w:instrText xml:space="preserve"> HYPERLINK "https://www.asa.org.uk/rulings/dribble-media-ltd-a25-1307055-dribble-media-ltd.html" </w:instrText>
      </w:r>
      <w:r>
        <w:fldChar w:fldCharType="separate"/>
      </w:r>
      <w:r w:rsidRPr="006E0274" w:rsidR="003F4DE7">
        <w:rPr>
          <w:rStyle w:val="Hyperlink"/>
          <w:rFonts w:ascii="Verdana" w:hAnsi="Verdana"/>
          <w:color w:val="auto"/>
        </w:rPr>
        <w:t xml:space="preserve">Dribble </w:t>
      </w:r>
      <w:r w:rsidRPr="006E0274" w:rsidR="003F4DE7">
        <w:rPr>
          <w:rStyle w:val="Hyperlink"/>
          <w:rFonts w:ascii="Verdana" w:hAnsi="Verdana"/>
          <w:color w:val="auto"/>
        </w:rPr>
        <w:t>Media Ltd t/a Midnite</w:t>
      </w:r>
      <w:r>
        <w:fldChar w:fldCharType="end"/>
      </w:r>
      <w:r w:rsidRPr="006E0274" w:rsidR="003F4DE7">
        <w:rPr>
          <w:rFonts w:ascii="Verdana" w:hAnsi="Verdana"/>
        </w:rPr>
        <w:t>, 2025; (</w:t>
      </w:r>
      <w:r>
        <w:fldChar w:fldCharType="begin"/>
      </w:r>
      <w:r>
        <w:instrText xml:space="preserve"> HYPERLINK "https://www.asa.org.uk/rulings/betway-ltd-a25-1319927-betway-ltd.html" </w:instrText>
      </w:r>
      <w:r>
        <w:fldChar w:fldCharType="separate"/>
      </w:r>
      <w:r w:rsidRPr="006E0274" w:rsidR="003F4DE7">
        <w:rPr>
          <w:rStyle w:val="Hyperlink"/>
          <w:rFonts w:ascii="Verdana" w:hAnsi="Verdana"/>
          <w:color w:val="auto"/>
        </w:rPr>
        <w:t>Thierry Henry</w:t>
      </w:r>
      <w:r>
        <w:fldChar w:fldCharType="end"/>
      </w:r>
      <w:r w:rsidRPr="006E0274" w:rsidR="003F4DE7">
        <w:rPr>
          <w:rFonts w:ascii="Verdana" w:hAnsi="Verdana"/>
        </w:rPr>
        <w:t xml:space="preserve">, 2026) and </w:t>
      </w:r>
      <w:r w:rsidRPr="006E0274" w:rsidR="005929D6">
        <w:rPr>
          <w:rFonts w:ascii="Verdana" w:hAnsi="Verdana"/>
        </w:rPr>
        <w:t>(</w:t>
      </w:r>
      <w:r w:rsidRPr="006E0274" w:rsidR="003F4DE7">
        <w:rPr>
          <w:rFonts w:ascii="Verdana" w:hAnsi="Verdana"/>
        </w:rPr>
        <w:t xml:space="preserve">Erling </w:t>
      </w:r>
      <w:r w:rsidRPr="006E0274" w:rsidR="003F4DE7">
        <w:rPr>
          <w:rFonts w:ascii="Verdana" w:hAnsi="Verdana"/>
        </w:rPr>
        <w:t>Haar</w:t>
      </w:r>
      <w:r w:rsidRPr="006E0274" w:rsidR="00CF5D64">
        <w:rPr>
          <w:rFonts w:ascii="Verdana" w:hAnsi="Verdana"/>
        </w:rPr>
        <w:t>land</w:t>
      </w:r>
      <w:r w:rsidRPr="006E0274" w:rsidR="00CF5D64">
        <w:rPr>
          <w:rFonts w:ascii="Verdana" w:hAnsi="Verdana"/>
        </w:rPr>
        <w:t xml:space="preserve"> and </w:t>
      </w:r>
      <w:r>
        <w:fldChar w:fldCharType="begin"/>
      </w:r>
      <w:r>
        <w:instrText xml:space="preserve"> HYPERLINK "https://www.asa.org.uk/rulings/cyan-blue-odds-ltd--a25-1319924-cyan-blue-odds-ltd.html" </w:instrText>
      </w:r>
      <w:r>
        <w:fldChar w:fldCharType="separate"/>
      </w:r>
      <w:r w:rsidRPr="006E0274" w:rsidR="00CF5D64">
        <w:rPr>
          <w:rStyle w:val="Hyperlink"/>
          <w:rFonts w:ascii="Verdana" w:hAnsi="Verdana"/>
          <w:color w:val="auto"/>
        </w:rPr>
        <w:t>Harry Kane</w:t>
      </w:r>
      <w:r>
        <w:fldChar w:fldCharType="end"/>
      </w:r>
      <w:r w:rsidRPr="006E0274" w:rsidR="005929D6">
        <w:rPr>
          <w:rFonts w:ascii="Verdana" w:hAnsi="Verdana"/>
        </w:rPr>
        <w:t xml:space="preserve">, 2026). </w:t>
      </w:r>
      <w:r w:rsidRPr="006E0274" w:rsidR="00883F3F">
        <w:rPr>
          <w:rFonts w:ascii="Verdana" w:hAnsi="Verdana"/>
        </w:rPr>
        <w:t xml:space="preserve">Each </w:t>
      </w:r>
      <w:r>
        <w:fldChar w:fldCharType="begin"/>
      </w:r>
      <w:r>
        <w:instrText xml:space="preserve"> HYPERLINK "https://www.asa.org.uk/news/the-odds-are-it-s-an-ad-gambling-content-marketing-and-the-code.html" </w:instrText>
      </w:r>
      <w:r>
        <w:fldChar w:fldCharType="separate"/>
      </w:r>
      <w:r w:rsidRPr="006E0274" w:rsidR="00883F3F">
        <w:rPr>
          <w:rStyle w:val="Hyperlink"/>
          <w:rFonts w:ascii="Verdana" w:hAnsi="Verdana"/>
          <w:color w:val="auto"/>
        </w:rPr>
        <w:t>ruling</w:t>
      </w:r>
      <w:r>
        <w:fldChar w:fldCharType="end"/>
      </w:r>
      <w:r w:rsidRPr="006E0274" w:rsidR="00883F3F">
        <w:rPr>
          <w:rFonts w:ascii="Verdana" w:hAnsi="Verdana"/>
        </w:rPr>
        <w:t xml:space="preserve"> firstly addresses the remit of the posts and why we consider them to be an ad and secondly whether the celebrity featured was of strong appeal to U18s. </w:t>
      </w:r>
      <w:r w:rsidRPr="006E0274" w:rsidR="00E95877">
        <w:rPr>
          <w:rFonts w:ascii="Verdana" w:hAnsi="Verdana"/>
        </w:rPr>
        <w:t xml:space="preserve">The </w:t>
      </w:r>
      <w:r w:rsidRPr="006E0274" w:rsidR="00AF6279">
        <w:rPr>
          <w:rFonts w:ascii="Verdana" w:hAnsi="Verdana"/>
        </w:rPr>
        <w:t>Thierry Henry</w:t>
      </w:r>
      <w:r w:rsidRPr="006E0274" w:rsidR="00E95877">
        <w:rPr>
          <w:rFonts w:ascii="Verdana" w:hAnsi="Verdana"/>
        </w:rPr>
        <w:t xml:space="preserve"> ruling</w:t>
      </w:r>
      <w:r w:rsidRPr="006E0274" w:rsidR="006242F5">
        <w:rPr>
          <w:rFonts w:ascii="Verdana" w:hAnsi="Verdana"/>
        </w:rPr>
        <w:t xml:space="preserve"> (and our wider recent proactive sweep)</w:t>
      </w:r>
      <w:r w:rsidRPr="006E0274" w:rsidR="00E95877">
        <w:rPr>
          <w:rFonts w:ascii="Verdana" w:hAnsi="Verdana"/>
        </w:rPr>
        <w:t xml:space="preserve"> is instructive in demonstrating that </w:t>
      </w:r>
      <w:r w:rsidRPr="006E0274" w:rsidR="00F94BFA">
        <w:rPr>
          <w:rFonts w:ascii="Verdana" w:hAnsi="Verdana"/>
        </w:rPr>
        <w:t>not all content marketing</w:t>
      </w:r>
      <w:r w:rsidRPr="006E0274" w:rsidR="0078497C">
        <w:rPr>
          <w:rFonts w:ascii="Verdana" w:hAnsi="Verdana"/>
        </w:rPr>
        <w:t xml:space="preserve"> advertising</w:t>
      </w:r>
      <w:r w:rsidRPr="006E0274" w:rsidR="00F94BFA">
        <w:rPr>
          <w:rFonts w:ascii="Verdana" w:hAnsi="Verdana"/>
        </w:rPr>
        <w:t xml:space="preserve"> </w:t>
      </w:r>
      <w:r w:rsidRPr="006E0274" w:rsidR="00BC7E14">
        <w:rPr>
          <w:rFonts w:ascii="Verdana" w:hAnsi="Verdana"/>
        </w:rPr>
        <w:t>is inherently</w:t>
      </w:r>
      <w:r w:rsidRPr="006E0274" w:rsidR="0099185F">
        <w:rPr>
          <w:rFonts w:ascii="Verdana" w:hAnsi="Verdana"/>
        </w:rPr>
        <w:t xml:space="preserve"> </w:t>
      </w:r>
      <w:r w:rsidRPr="006E0274" w:rsidR="00BC7E14">
        <w:rPr>
          <w:rFonts w:ascii="Verdana" w:hAnsi="Verdana"/>
        </w:rPr>
        <w:t xml:space="preserve">in breach of gambling rules such as strong appeal. It is possible for gambling operators to construct </w:t>
      </w:r>
      <w:r w:rsidRPr="006E0274" w:rsidR="00B5490E">
        <w:rPr>
          <w:rFonts w:ascii="Verdana" w:hAnsi="Verdana"/>
        </w:rPr>
        <w:t>content marketing</w:t>
      </w:r>
      <w:r w:rsidRPr="006E0274" w:rsidR="00BC7E14">
        <w:rPr>
          <w:rFonts w:ascii="Verdana" w:hAnsi="Verdana"/>
        </w:rPr>
        <w:t xml:space="preserve"> ads</w:t>
      </w:r>
      <w:r w:rsidRPr="006E0274" w:rsidR="0099185F">
        <w:rPr>
          <w:rFonts w:ascii="Verdana" w:hAnsi="Verdana"/>
        </w:rPr>
        <w:t xml:space="preserve"> </w:t>
      </w:r>
      <w:r w:rsidRPr="006E0274" w:rsidR="00BC7E14">
        <w:rPr>
          <w:rFonts w:ascii="Verdana" w:hAnsi="Verdana"/>
        </w:rPr>
        <w:t>which comply with our strict rules</w:t>
      </w:r>
      <w:r w:rsidRPr="006E0274" w:rsidR="00B97373">
        <w:rPr>
          <w:rFonts w:ascii="Verdana" w:hAnsi="Verdana"/>
        </w:rPr>
        <w:t>;</w:t>
      </w:r>
      <w:r w:rsidRPr="006E0274" w:rsidR="003B7A0C">
        <w:rPr>
          <w:rFonts w:ascii="Verdana" w:hAnsi="Verdana"/>
        </w:rPr>
        <w:t xml:space="preserve"> or</w:t>
      </w:r>
      <w:r w:rsidRPr="006E0274" w:rsidR="00B97373">
        <w:rPr>
          <w:rFonts w:ascii="Verdana" w:hAnsi="Verdana"/>
        </w:rPr>
        <w:t xml:space="preserve"> </w:t>
      </w:r>
      <w:r w:rsidRPr="006E0274" w:rsidR="00B97373">
        <w:rPr>
          <w:rFonts w:ascii="Verdana" w:hAnsi="Verdana"/>
        </w:rPr>
        <w:t>otherwise</w:t>
      </w:r>
      <w:r w:rsidRPr="006E0274" w:rsidR="003B7A0C">
        <w:rPr>
          <w:rFonts w:ascii="Verdana" w:hAnsi="Verdana"/>
        </w:rPr>
        <w:t xml:space="preserve"> to </w:t>
      </w:r>
      <w:r w:rsidRPr="006E0274" w:rsidR="00B97373">
        <w:rPr>
          <w:rFonts w:ascii="Verdana" w:hAnsi="Verdana"/>
        </w:rPr>
        <w:t>post content marketing that is outside our remit</w:t>
      </w:r>
      <w:r w:rsidRPr="006E0274" w:rsidR="003B7A0C">
        <w:rPr>
          <w:rFonts w:ascii="Verdana" w:hAnsi="Verdana"/>
        </w:rPr>
        <w:t xml:space="preserve"> that would not be a likely breach of our </w:t>
      </w:r>
      <w:r w:rsidRPr="006E0274" w:rsidR="171DF7F6">
        <w:rPr>
          <w:rFonts w:ascii="Verdana" w:hAnsi="Verdana"/>
        </w:rPr>
        <w:t>C</w:t>
      </w:r>
      <w:r w:rsidRPr="006E0274" w:rsidR="003B7A0C">
        <w:rPr>
          <w:rFonts w:ascii="Verdana" w:hAnsi="Verdana"/>
        </w:rPr>
        <w:t>ode were it to be an ad</w:t>
      </w:r>
      <w:r w:rsidRPr="006E0274" w:rsidR="00BC7E14">
        <w:rPr>
          <w:rFonts w:ascii="Verdana" w:hAnsi="Verdana"/>
        </w:rPr>
        <w:t>.</w:t>
      </w:r>
      <w:r w:rsidRPr="006E0274" w:rsidR="003B7A0C">
        <w:rPr>
          <w:rFonts w:ascii="Verdana" w:hAnsi="Verdana"/>
        </w:rPr>
        <w:t xml:space="preserve"> </w:t>
      </w:r>
    </w:p>
    <w:p w:rsidR="00B028BE" w:rsidRPr="006E0274" w:rsidP="006B0F9F">
      <w:pPr>
        <w:rPr>
          <w:rFonts w:ascii="Verdana" w:hAnsi="Verdana"/>
          <w:i/>
          <w:iCs/>
        </w:rPr>
      </w:pPr>
      <w:r w:rsidRPr="006E0274">
        <w:rPr>
          <w:rFonts w:ascii="Verdana" w:hAnsi="Verdana"/>
          <w:i/>
          <w:iCs/>
        </w:rPr>
        <w:t>Enforcement</w:t>
      </w:r>
    </w:p>
    <w:p w:rsidR="00B028BE" w:rsidRPr="006E0274" w:rsidP="006B0F9F">
      <w:pPr>
        <w:rPr>
          <w:rFonts w:ascii="Verdana" w:hAnsi="Verdana"/>
        </w:rPr>
      </w:pPr>
      <w:r w:rsidRPr="006E0274">
        <w:rPr>
          <w:rFonts w:ascii="Verdana" w:hAnsi="Verdana"/>
        </w:rPr>
        <w:t xml:space="preserve">In June 2026, we also published an </w:t>
      </w:r>
      <w:r>
        <w:fldChar w:fldCharType="begin"/>
      </w:r>
      <w:r>
        <w:instrText xml:space="preserve"> HYPERLINK "https://www.asa.org.uk/resource/enforcement-notice-gambling-ads-with-strong-appeal-to-under-18s.html" </w:instrText>
      </w:r>
      <w:r>
        <w:fldChar w:fldCharType="separate"/>
      </w:r>
      <w:r w:rsidRPr="006E0274">
        <w:rPr>
          <w:rStyle w:val="Hyperlink"/>
          <w:rFonts w:ascii="Verdana" w:hAnsi="Verdana"/>
          <w:color w:val="auto"/>
        </w:rPr>
        <w:t>Enforcement Notice</w:t>
      </w:r>
      <w:r>
        <w:fldChar w:fldCharType="end"/>
      </w:r>
      <w:r w:rsidRPr="006E0274">
        <w:rPr>
          <w:rFonts w:ascii="Verdana" w:hAnsi="Verdana"/>
        </w:rPr>
        <w:t xml:space="preserve"> which applies to gambling ads, primarily on social media and including those posted on an advertiser’s own social media account. The notice outlines aspects advertisers should consider when determining if their content is likely to be of strong appeal to under-18s, referencing recent ASA rulings. We began actively monitoring from 11 June 2026, and </w:t>
      </w:r>
      <w:r w:rsidRPr="006E0274" w:rsidR="2C682F3B">
        <w:rPr>
          <w:rFonts w:ascii="Verdana" w:hAnsi="Verdana"/>
        </w:rPr>
        <w:t xml:space="preserve">that </w:t>
      </w:r>
      <w:r w:rsidRPr="006E0274">
        <w:rPr>
          <w:rFonts w:ascii="Verdana" w:hAnsi="Verdana"/>
        </w:rPr>
        <w:t xml:space="preserve">will </w:t>
      </w:r>
      <w:r w:rsidRPr="006E0274" w:rsidR="556E237E">
        <w:rPr>
          <w:rFonts w:ascii="Verdana" w:hAnsi="Verdana"/>
        </w:rPr>
        <w:t>be</w:t>
      </w:r>
      <w:r w:rsidRPr="006E0274">
        <w:rPr>
          <w:rFonts w:ascii="Verdana" w:hAnsi="Verdana"/>
        </w:rPr>
        <w:t xml:space="preserve"> followed by targeting enforcement action where needed.</w:t>
      </w:r>
    </w:p>
    <w:p w:rsidR="00C47058" w:rsidRPr="006E0274" w:rsidP="006B0F9F">
      <w:pPr>
        <w:pStyle w:val="ListParagraph"/>
        <w:numPr>
          <w:ilvl w:val="0"/>
          <w:numId w:val="29"/>
        </w:numPr>
        <w:ind w:hanging="357"/>
        <w:contextualSpacing w:val="0"/>
        <w:rPr>
          <w:rFonts w:ascii="Verdana" w:hAnsi="Verdana"/>
          <w:sz w:val="22"/>
          <w:szCs w:val="22"/>
        </w:rPr>
      </w:pPr>
      <w:r w:rsidRPr="006E0274">
        <w:rPr>
          <w:rFonts w:ascii="Verdana" w:hAnsi="Verdana"/>
          <w:sz w:val="22"/>
          <w:szCs w:val="22"/>
        </w:rPr>
        <w:t>The ASA’s 2022 remit statement noted that social media content posted by gambling operators that is not “directly connected with the supply of the gambling product” constitutes “editorial content” rather than “advertising”, and is therefore outside the ASA’s remit</w:t>
      </w:r>
      <w:r w:rsidRPr="006E0274" w:rsidR="003B446D">
        <w:rPr>
          <w:rFonts w:ascii="Verdana" w:hAnsi="Verdana"/>
          <w:sz w:val="22"/>
          <w:szCs w:val="22"/>
        </w:rPr>
        <w:t>.</w:t>
      </w:r>
      <w:r w:rsidRPr="006E0274" w:rsidR="003B446D">
        <w:rPr>
          <w:rStyle w:val="FootnoteReference"/>
          <w:rFonts w:ascii="Verdana" w:hAnsi="Verdana"/>
          <w:sz w:val="22"/>
          <w:szCs w:val="22"/>
        </w:rPr>
        <w:t xml:space="preserve"> </w:t>
      </w:r>
      <w:r w:rsidRPr="006E0274">
        <w:rPr>
          <w:rFonts w:ascii="Verdana" w:hAnsi="Verdana"/>
          <w:sz w:val="22"/>
          <w:szCs w:val="22"/>
        </w:rPr>
        <w:t xml:space="preserve">The </w:t>
      </w:r>
      <w:r w:rsidRPr="006E0274" w:rsidR="00AA7B6C">
        <w:rPr>
          <w:rFonts w:ascii="Verdana" w:hAnsi="Verdana"/>
          <w:sz w:val="22"/>
          <w:szCs w:val="22"/>
        </w:rPr>
        <w:t>r</w:t>
      </w:r>
      <w:r w:rsidRPr="006E0274">
        <w:rPr>
          <w:rFonts w:ascii="Verdana" w:hAnsi="Verdana"/>
          <w:sz w:val="22"/>
          <w:szCs w:val="22"/>
        </w:rPr>
        <w:t xml:space="preserve">emit statement </w:t>
      </w:r>
      <w:r w:rsidRPr="006E0274" w:rsidR="00AA7B6C">
        <w:rPr>
          <w:rFonts w:ascii="Verdana" w:hAnsi="Verdana"/>
          <w:sz w:val="22"/>
          <w:szCs w:val="22"/>
        </w:rPr>
        <w:t>also</w:t>
      </w:r>
      <w:r w:rsidRPr="006E0274">
        <w:rPr>
          <w:rFonts w:ascii="Verdana" w:hAnsi="Verdana"/>
          <w:sz w:val="22"/>
          <w:szCs w:val="22"/>
        </w:rPr>
        <w:t xml:space="preserve"> observed that the exclusion of “editorial content” from the ASA’s remit is “inspired in large part by the need to protect freedom of expression”</w:t>
      </w:r>
      <w:r w:rsidRPr="006E0274">
        <w:rPr>
          <w:rFonts w:ascii="Verdana" w:hAnsi="Verdana"/>
          <w:sz w:val="22"/>
          <w:szCs w:val="22"/>
        </w:rPr>
        <w:t xml:space="preserve">, but noted that “[the vast majority of ‘content marketing’ is effectively deemed by the ASA to </w:t>
      </w:r>
      <w:r w:rsidRPr="006E0274" w:rsidR="00A21C17">
        <w:rPr>
          <w:rFonts w:ascii="Verdana" w:hAnsi="Verdana"/>
          <w:sz w:val="22"/>
          <w:szCs w:val="22"/>
        </w:rPr>
        <w:t>‘</w:t>
      </w:r>
      <w:r w:rsidRPr="006E0274">
        <w:rPr>
          <w:rFonts w:ascii="Verdana" w:hAnsi="Verdana"/>
          <w:sz w:val="22"/>
          <w:szCs w:val="22"/>
        </w:rPr>
        <w:t>sell something</w:t>
      </w:r>
      <w:r w:rsidRPr="006E0274" w:rsidR="00A21C17">
        <w:rPr>
          <w:rFonts w:ascii="Verdana" w:hAnsi="Verdana"/>
          <w:sz w:val="22"/>
          <w:szCs w:val="22"/>
        </w:rPr>
        <w:t xml:space="preserve">’ </w:t>
      </w:r>
      <w:r w:rsidRPr="006E0274">
        <w:rPr>
          <w:rFonts w:ascii="Verdana" w:hAnsi="Verdana"/>
          <w:sz w:val="22"/>
          <w:szCs w:val="22"/>
        </w:rPr>
        <w:t>and is, therefore, regulated under the CAP Code.”</w:t>
      </w:r>
      <w:r>
        <w:rPr>
          <w:rStyle w:val="FootnoteReference"/>
          <w:rFonts w:ascii="Verdana" w:hAnsi="Verdana"/>
          <w:sz w:val="22"/>
          <w:szCs w:val="22"/>
        </w:rPr>
        <w:footnoteReference w:id="6"/>
      </w:r>
    </w:p>
    <w:p w:rsidR="00B92712" w:rsidRPr="006E0274" w:rsidP="006B0F9F">
      <w:pPr>
        <w:pStyle w:val="ListParagraph"/>
        <w:numPr>
          <w:ilvl w:val="0"/>
          <w:numId w:val="20"/>
        </w:numPr>
        <w:ind w:hanging="357"/>
        <w:contextualSpacing w:val="0"/>
        <w:rPr>
          <w:rFonts w:ascii="Verdana" w:hAnsi="Verdana"/>
          <w:sz w:val="22"/>
          <w:szCs w:val="22"/>
        </w:rPr>
      </w:pPr>
      <w:r w:rsidRPr="006E0274">
        <w:rPr>
          <w:rFonts w:ascii="Verdana" w:hAnsi="Verdana"/>
          <w:sz w:val="22"/>
          <w:szCs w:val="22"/>
        </w:rPr>
        <w:t>Does the ASA consider that social media posts by gambling operators falling under its definition of “editorial content” are in no way intended to promote the products of that operator?</w:t>
      </w:r>
    </w:p>
    <w:p w:rsidR="00AF4E24" w:rsidRPr="006E0274" w:rsidP="006B0F9F">
      <w:pPr>
        <w:rPr>
          <w:rFonts w:ascii="Verdana" w:hAnsi="Verdana"/>
        </w:rPr>
      </w:pPr>
      <w:r w:rsidRPr="006E0274">
        <w:rPr>
          <w:rFonts w:ascii="Verdana" w:hAnsi="Verdana"/>
        </w:rPr>
        <w:t>The ASA recognise</w:t>
      </w:r>
      <w:r w:rsidRPr="006E0274" w:rsidR="00EB1CD7">
        <w:rPr>
          <w:rFonts w:ascii="Verdana" w:hAnsi="Verdana"/>
        </w:rPr>
        <w:t>s</w:t>
      </w:r>
      <w:r w:rsidRPr="006E0274">
        <w:rPr>
          <w:rFonts w:ascii="Verdana" w:hAnsi="Verdana"/>
        </w:rPr>
        <w:t xml:space="preserve"> that such content may </w:t>
      </w:r>
      <w:r w:rsidRPr="006E0274" w:rsidR="002320CF">
        <w:rPr>
          <w:rFonts w:ascii="Verdana" w:hAnsi="Verdana"/>
        </w:rPr>
        <w:t xml:space="preserve">have commercial intent in that it </w:t>
      </w:r>
      <w:r w:rsidRPr="006E0274">
        <w:rPr>
          <w:rFonts w:ascii="Verdana" w:hAnsi="Verdana"/>
        </w:rPr>
        <w:t>contribute</w:t>
      </w:r>
      <w:r w:rsidRPr="006E0274" w:rsidR="002320CF">
        <w:rPr>
          <w:rFonts w:ascii="Verdana" w:hAnsi="Verdana"/>
        </w:rPr>
        <w:t>s</w:t>
      </w:r>
      <w:r w:rsidRPr="006E0274">
        <w:rPr>
          <w:rFonts w:ascii="Verdana" w:hAnsi="Verdana"/>
        </w:rPr>
        <w:t xml:space="preserve"> to broader brand-building</w:t>
      </w:r>
      <w:r w:rsidRPr="006E0274" w:rsidR="002320CF">
        <w:rPr>
          <w:rFonts w:ascii="Verdana" w:hAnsi="Verdana"/>
        </w:rPr>
        <w:t xml:space="preserve"> or</w:t>
      </w:r>
      <w:r w:rsidRPr="006E0274" w:rsidR="00DE2E46">
        <w:rPr>
          <w:rFonts w:ascii="Verdana" w:hAnsi="Verdana"/>
        </w:rPr>
        <w:t xml:space="preserve"> brand </w:t>
      </w:r>
      <w:r w:rsidRPr="006E0274" w:rsidR="002320CF">
        <w:rPr>
          <w:rFonts w:ascii="Verdana" w:hAnsi="Verdana"/>
        </w:rPr>
        <w:t>engagement</w:t>
      </w:r>
      <w:r w:rsidRPr="006E0274">
        <w:rPr>
          <w:rFonts w:ascii="Verdana" w:hAnsi="Verdana"/>
        </w:rPr>
        <w:t xml:space="preserve"> objectives, but the</w:t>
      </w:r>
      <w:r w:rsidRPr="006E0274" w:rsidR="00D84B11">
        <w:rPr>
          <w:rFonts w:ascii="Verdana" w:hAnsi="Verdana"/>
        </w:rPr>
        <w:t xml:space="preserve"> ASAs long-standing</w:t>
      </w:r>
      <w:r w:rsidRPr="006E0274">
        <w:rPr>
          <w:rFonts w:ascii="Verdana" w:hAnsi="Verdana"/>
        </w:rPr>
        <w:t xml:space="preserve"> remit assessment focuses on whether a communication is directly connected to the supply or transfer of goods, services or opportunities</w:t>
      </w:r>
      <w:r w:rsidRPr="006E0274" w:rsidR="008A2F1D">
        <w:rPr>
          <w:rFonts w:ascii="Verdana" w:hAnsi="Verdana"/>
        </w:rPr>
        <w:t xml:space="preserve">. </w:t>
      </w:r>
      <w:r w:rsidRPr="006E0274" w:rsidR="00433AFB">
        <w:rPr>
          <w:rFonts w:ascii="Verdana" w:hAnsi="Verdana"/>
        </w:rPr>
        <w:t>This test recognises that there is a</w:t>
      </w:r>
      <w:r w:rsidRPr="006E0274" w:rsidR="002436B0">
        <w:rPr>
          <w:rFonts w:ascii="Verdana" w:hAnsi="Verdana"/>
        </w:rPr>
        <w:t xml:space="preserve"> necessary</w:t>
      </w:r>
      <w:r w:rsidRPr="006E0274" w:rsidR="00433AFB">
        <w:rPr>
          <w:rFonts w:ascii="Verdana" w:hAnsi="Verdana"/>
        </w:rPr>
        <w:t xml:space="preserve"> boundary </w:t>
      </w:r>
      <w:r w:rsidRPr="006E0274" w:rsidR="0093733A">
        <w:rPr>
          <w:rFonts w:ascii="Verdana" w:hAnsi="Verdana"/>
        </w:rPr>
        <w:t xml:space="preserve">between editorial and advertising </w:t>
      </w:r>
      <w:r w:rsidRPr="006E0274" w:rsidR="00AB0EB7">
        <w:rPr>
          <w:rFonts w:ascii="Verdana" w:hAnsi="Verdana"/>
        </w:rPr>
        <w:t>content</w:t>
      </w:r>
      <w:r w:rsidRPr="006E0274">
        <w:rPr>
          <w:rFonts w:ascii="Verdana" w:hAnsi="Verdana"/>
        </w:rPr>
        <w:t xml:space="preserve"> </w:t>
      </w:r>
      <w:r w:rsidRPr="006E0274" w:rsidR="00806FF8">
        <w:rPr>
          <w:rFonts w:ascii="Verdana" w:hAnsi="Verdana"/>
        </w:rPr>
        <w:t xml:space="preserve">and the test </w:t>
      </w:r>
      <w:r w:rsidRPr="006E0274">
        <w:rPr>
          <w:rFonts w:ascii="Verdana" w:hAnsi="Verdana"/>
        </w:rPr>
        <w:t xml:space="preserve">appropriately </w:t>
      </w:r>
      <w:r w:rsidRPr="006E0274" w:rsidR="2B65B6D2">
        <w:rPr>
          <w:rFonts w:ascii="Verdana" w:hAnsi="Verdana"/>
        </w:rPr>
        <w:t>defines</w:t>
      </w:r>
      <w:r w:rsidRPr="006E0274" w:rsidR="00D40AA0">
        <w:rPr>
          <w:rFonts w:ascii="Verdana" w:hAnsi="Verdana"/>
        </w:rPr>
        <w:t xml:space="preserve"> </w:t>
      </w:r>
      <w:r w:rsidRPr="006E0274">
        <w:rPr>
          <w:rFonts w:ascii="Verdana" w:hAnsi="Verdana"/>
        </w:rPr>
        <w:t>the role of the ad regulator in non-paid-for space online</w:t>
      </w:r>
      <w:r w:rsidRPr="006E0274" w:rsidR="00806FF8">
        <w:rPr>
          <w:rFonts w:ascii="Verdana" w:hAnsi="Verdana"/>
        </w:rPr>
        <w:t xml:space="preserve"> to ensure we do not </w:t>
      </w:r>
      <w:r w:rsidRPr="006E0274" w:rsidR="00766BE2">
        <w:rPr>
          <w:rFonts w:ascii="Verdana" w:hAnsi="Verdana"/>
        </w:rPr>
        <w:t>unduly limit or interfere in</w:t>
      </w:r>
      <w:r w:rsidRPr="006E0274" w:rsidR="00E46628">
        <w:rPr>
          <w:rFonts w:ascii="Verdana" w:hAnsi="Verdana"/>
        </w:rPr>
        <w:t xml:space="preserve"> </w:t>
      </w:r>
      <w:r w:rsidRPr="006E0274" w:rsidR="005D1556">
        <w:rPr>
          <w:rFonts w:ascii="Verdana" w:hAnsi="Verdana"/>
        </w:rPr>
        <w:t xml:space="preserve">the </w:t>
      </w:r>
      <w:r w:rsidRPr="006E0274" w:rsidR="006E0453">
        <w:rPr>
          <w:rFonts w:ascii="Verdana" w:hAnsi="Verdana"/>
        </w:rPr>
        <w:t xml:space="preserve">legal </w:t>
      </w:r>
      <w:r w:rsidRPr="006E0274" w:rsidR="005D1556">
        <w:rPr>
          <w:rFonts w:ascii="Verdana" w:hAnsi="Verdana"/>
        </w:rPr>
        <w:t xml:space="preserve">rights of a </w:t>
      </w:r>
      <w:r w:rsidRPr="006E0274" w:rsidR="005D1556">
        <w:rPr>
          <w:rFonts w:ascii="Verdana" w:hAnsi="Verdana"/>
        </w:rPr>
        <w:t xml:space="preserve">company to exercise their </w:t>
      </w:r>
      <w:r w:rsidRPr="006E0274" w:rsidR="00766BE2">
        <w:rPr>
          <w:rFonts w:ascii="Verdana" w:hAnsi="Verdana"/>
        </w:rPr>
        <w:t>commercial freedom of speech</w:t>
      </w:r>
      <w:r w:rsidRPr="006E0274" w:rsidR="00D90F03">
        <w:rPr>
          <w:rFonts w:ascii="Verdana" w:hAnsi="Verdana"/>
        </w:rPr>
        <w:t xml:space="preserve"> which is editorial in nature</w:t>
      </w:r>
      <w:r w:rsidRPr="006E0274">
        <w:rPr>
          <w:rFonts w:ascii="Verdana" w:hAnsi="Verdana"/>
        </w:rPr>
        <w:t xml:space="preserve">. </w:t>
      </w:r>
    </w:p>
    <w:p w:rsidR="00E642BF" w:rsidRPr="006E0274" w:rsidP="006B0F9F">
      <w:pPr>
        <w:rPr>
          <w:rFonts w:ascii="Verdana" w:hAnsi="Verdana"/>
        </w:rPr>
      </w:pPr>
      <w:r w:rsidRPr="006E0274">
        <w:rPr>
          <w:rFonts w:ascii="Verdana" w:hAnsi="Verdana"/>
        </w:rPr>
        <w:t>Nevertheless, i</w:t>
      </w:r>
      <w:r w:rsidRPr="006E0274">
        <w:rPr>
          <w:rFonts w:ascii="Verdana" w:hAnsi="Verdana"/>
        </w:rPr>
        <w:t xml:space="preserve">n circumstances where such content falls out of </w:t>
      </w:r>
      <w:r w:rsidRPr="006E0274" w:rsidR="005A1A8B">
        <w:rPr>
          <w:rFonts w:ascii="Verdana" w:hAnsi="Verdana"/>
        </w:rPr>
        <w:t xml:space="preserve">our </w:t>
      </w:r>
      <w:r w:rsidRPr="006E0274">
        <w:rPr>
          <w:rFonts w:ascii="Verdana" w:hAnsi="Verdana"/>
        </w:rPr>
        <w:t>remit, the ASA refers</w:t>
      </w:r>
      <w:r w:rsidRPr="006E0274" w:rsidR="00477962">
        <w:rPr>
          <w:rFonts w:ascii="Verdana" w:hAnsi="Verdana"/>
        </w:rPr>
        <w:t xml:space="preserve"> </w:t>
      </w:r>
      <w:r w:rsidRPr="006E0274" w:rsidR="004D51F4">
        <w:rPr>
          <w:rFonts w:ascii="Verdana" w:hAnsi="Verdana"/>
        </w:rPr>
        <w:t xml:space="preserve">to the Gambling Commission </w:t>
      </w:r>
      <w:r w:rsidRPr="006E0274" w:rsidR="17E8B5E2">
        <w:rPr>
          <w:rFonts w:ascii="Verdana" w:hAnsi="Verdana"/>
        </w:rPr>
        <w:t xml:space="preserve">content </w:t>
      </w:r>
      <w:r w:rsidRPr="006E0274">
        <w:rPr>
          <w:rFonts w:ascii="Verdana" w:hAnsi="Verdana"/>
        </w:rPr>
        <w:t xml:space="preserve">that – had it featured in ads falling within the ASA’s remit – would very likely </w:t>
      </w:r>
      <w:r w:rsidRPr="006E0274" w:rsidR="2A17D18C">
        <w:rPr>
          <w:rFonts w:ascii="Verdana" w:hAnsi="Verdana"/>
        </w:rPr>
        <w:t>have</w:t>
      </w:r>
      <w:r w:rsidRPr="006E0274">
        <w:rPr>
          <w:rFonts w:ascii="Verdana" w:hAnsi="Verdana"/>
        </w:rPr>
        <w:t xml:space="preserve"> breached the Code. </w:t>
      </w:r>
    </w:p>
    <w:p w:rsidR="007F6B75" w:rsidRPr="006E0274" w:rsidP="006B0F9F">
      <w:pPr>
        <w:pStyle w:val="ListParagraph"/>
        <w:numPr>
          <w:ilvl w:val="0"/>
          <w:numId w:val="20"/>
        </w:numPr>
        <w:contextualSpacing w:val="0"/>
        <w:rPr>
          <w:rFonts w:ascii="Verdana" w:hAnsi="Verdana"/>
          <w:sz w:val="22"/>
          <w:szCs w:val="22"/>
        </w:rPr>
      </w:pPr>
      <w:r w:rsidRPr="006E0274">
        <w:rPr>
          <w:rFonts w:ascii="Verdana" w:hAnsi="Verdana"/>
          <w:sz w:val="22"/>
          <w:szCs w:val="22"/>
        </w:rPr>
        <w:t xml:space="preserve">Since 2020, how many complaints has the ASA received </w:t>
      </w:r>
      <w:r w:rsidRPr="006E0274" w:rsidR="00A36977">
        <w:rPr>
          <w:rFonts w:ascii="Verdana" w:hAnsi="Verdana"/>
          <w:sz w:val="22"/>
          <w:szCs w:val="22"/>
        </w:rPr>
        <w:t xml:space="preserve">about </w:t>
      </w:r>
      <w:r w:rsidRPr="006E0274" w:rsidR="009B1A3D">
        <w:rPr>
          <w:rFonts w:ascii="Verdana" w:hAnsi="Verdana"/>
          <w:sz w:val="22"/>
          <w:szCs w:val="22"/>
        </w:rPr>
        <w:t xml:space="preserve">communications </w:t>
      </w:r>
      <w:r w:rsidRPr="006E0274">
        <w:rPr>
          <w:rFonts w:ascii="Verdana" w:hAnsi="Verdana"/>
          <w:sz w:val="22"/>
          <w:szCs w:val="22"/>
        </w:rPr>
        <w:t xml:space="preserve">which it has assessed to </w:t>
      </w:r>
      <w:r w:rsidRPr="006E0274" w:rsidR="00B8039E">
        <w:rPr>
          <w:rFonts w:ascii="Verdana" w:hAnsi="Verdana"/>
          <w:sz w:val="22"/>
          <w:szCs w:val="22"/>
        </w:rPr>
        <w:t>be</w:t>
      </w:r>
      <w:r w:rsidRPr="006E0274">
        <w:rPr>
          <w:rFonts w:ascii="Verdana" w:hAnsi="Verdana"/>
          <w:sz w:val="22"/>
          <w:szCs w:val="22"/>
        </w:rPr>
        <w:t xml:space="preserve"> “editorial content” and thus to fall outside its remit</w:t>
      </w:r>
      <w:r w:rsidRPr="006E0274" w:rsidR="00CD7F9F">
        <w:rPr>
          <w:rFonts w:ascii="Verdana" w:hAnsi="Verdana"/>
          <w:sz w:val="22"/>
          <w:szCs w:val="22"/>
        </w:rPr>
        <w:t>, and does this include cases which it previously confir</w:t>
      </w:r>
      <w:r w:rsidRPr="006E0274" w:rsidR="005F68FE">
        <w:rPr>
          <w:rFonts w:ascii="Verdana" w:hAnsi="Verdana"/>
          <w:sz w:val="22"/>
          <w:szCs w:val="22"/>
        </w:rPr>
        <w:t>m</w:t>
      </w:r>
      <w:r w:rsidRPr="006E0274" w:rsidR="00CD7F9F">
        <w:rPr>
          <w:rFonts w:ascii="Verdana" w:hAnsi="Verdana"/>
          <w:sz w:val="22"/>
          <w:szCs w:val="22"/>
        </w:rPr>
        <w:t>ed it was</w:t>
      </w:r>
      <w:r w:rsidRPr="006E0274" w:rsidR="005F68FE">
        <w:rPr>
          <w:rFonts w:ascii="Verdana" w:hAnsi="Verdana"/>
          <w:sz w:val="22"/>
          <w:szCs w:val="22"/>
        </w:rPr>
        <w:t xml:space="preserve"> reviewing</w:t>
      </w:r>
      <w:r w:rsidRPr="006E0274">
        <w:rPr>
          <w:rFonts w:ascii="Verdana" w:hAnsi="Verdana"/>
          <w:sz w:val="22"/>
          <w:szCs w:val="22"/>
        </w:rPr>
        <w:t>?</w:t>
      </w:r>
      <w:r>
        <w:rPr>
          <w:rStyle w:val="FootnoteReference"/>
          <w:rFonts w:ascii="Verdana" w:hAnsi="Verdana"/>
          <w:sz w:val="22"/>
          <w:szCs w:val="22"/>
        </w:rPr>
        <w:footnoteReference w:id="7"/>
      </w:r>
    </w:p>
    <w:p w:rsidR="00D7039F" w:rsidRPr="006E0274" w:rsidP="006B0F9F">
      <w:pPr>
        <w:rPr>
          <w:rFonts w:ascii="Verdana" w:hAnsi="Verdana"/>
        </w:rPr>
      </w:pPr>
      <w:r w:rsidRPr="006E0274">
        <w:rPr>
          <w:rFonts w:ascii="Verdana" w:hAnsi="Verdana"/>
        </w:rPr>
        <w:t>Since January 2020</w:t>
      </w:r>
      <w:r w:rsidRPr="006E0274" w:rsidR="0062371F">
        <w:rPr>
          <w:rFonts w:ascii="Verdana" w:hAnsi="Verdana"/>
        </w:rPr>
        <w:t>:</w:t>
      </w:r>
    </w:p>
    <w:p w:rsidR="000C21E6" w:rsidRPr="006E0274" w:rsidP="006B0F9F">
      <w:pPr>
        <w:pStyle w:val="ListParagraph"/>
        <w:numPr>
          <w:ilvl w:val="0"/>
          <w:numId w:val="49"/>
        </w:numPr>
        <w:rPr>
          <w:rFonts w:ascii="Verdana" w:hAnsi="Verdana"/>
        </w:rPr>
      </w:pPr>
      <w:r w:rsidRPr="006E0274">
        <w:rPr>
          <w:rFonts w:ascii="Verdana" w:hAnsi="Verdana"/>
        </w:rPr>
        <w:t>10 cases about gambling social media posts were marked as O</w:t>
      </w:r>
      <w:r w:rsidRPr="006E0274" w:rsidR="001C2043">
        <w:rPr>
          <w:rFonts w:ascii="Verdana" w:hAnsi="Verdana"/>
        </w:rPr>
        <w:t xml:space="preserve">utside </w:t>
      </w:r>
      <w:r w:rsidRPr="006E0274">
        <w:rPr>
          <w:rFonts w:ascii="Verdana" w:hAnsi="Verdana"/>
        </w:rPr>
        <w:t>R</w:t>
      </w:r>
      <w:r w:rsidRPr="006E0274" w:rsidR="001C2043">
        <w:rPr>
          <w:rFonts w:ascii="Verdana" w:hAnsi="Verdana"/>
        </w:rPr>
        <w:t>emit</w:t>
      </w:r>
      <w:r w:rsidRPr="006E0274">
        <w:rPr>
          <w:rFonts w:ascii="Verdana" w:hAnsi="Verdana"/>
        </w:rPr>
        <w:t xml:space="preserve"> on editorial grounds</w:t>
      </w:r>
      <w:r w:rsidRPr="006E0274" w:rsidR="009A6E4F">
        <w:rPr>
          <w:rFonts w:ascii="Verdana" w:hAnsi="Verdana"/>
        </w:rPr>
        <w:t xml:space="preserve">. </w:t>
      </w:r>
      <w:r w:rsidRPr="006E0274">
        <w:rPr>
          <w:rFonts w:ascii="Verdana" w:hAnsi="Verdana"/>
        </w:rPr>
        <w:t>4 of the cases were referred to the Gambling Commission</w:t>
      </w:r>
      <w:r w:rsidRPr="006E0274" w:rsidR="00ED180F">
        <w:rPr>
          <w:rFonts w:ascii="Verdana" w:hAnsi="Verdana"/>
        </w:rPr>
        <w:t xml:space="preserve">, as these would </w:t>
      </w:r>
      <w:r w:rsidRPr="006E0274" w:rsidR="3AABFFB3">
        <w:rPr>
          <w:rFonts w:ascii="Verdana" w:hAnsi="Verdana"/>
        </w:rPr>
        <w:t xml:space="preserve">very likely </w:t>
      </w:r>
      <w:r w:rsidRPr="006E0274" w:rsidR="00ED180F">
        <w:rPr>
          <w:rFonts w:ascii="Verdana" w:hAnsi="Verdana"/>
        </w:rPr>
        <w:t>have breached the Code had they been in remit</w:t>
      </w:r>
      <w:r w:rsidRPr="006E0274">
        <w:rPr>
          <w:rFonts w:ascii="Verdana" w:hAnsi="Verdana"/>
        </w:rPr>
        <w:t xml:space="preserve"> </w:t>
      </w:r>
    </w:p>
    <w:p w:rsidR="00B92712" w:rsidRPr="006E0274" w:rsidP="006B0F9F">
      <w:pPr>
        <w:pStyle w:val="ListParagraph"/>
        <w:numPr>
          <w:ilvl w:val="0"/>
          <w:numId w:val="20"/>
        </w:numPr>
        <w:rPr>
          <w:rFonts w:ascii="Verdana" w:hAnsi="Verdana"/>
        </w:rPr>
      </w:pPr>
      <w:r w:rsidRPr="006E0274">
        <w:rPr>
          <w:rFonts w:ascii="Verdana" w:hAnsi="Verdana"/>
        </w:rPr>
        <w:t>Does the exclusion of “editorial content” risk undermining the ASA’s ability to regulate content marketing effectively?</w:t>
      </w:r>
    </w:p>
    <w:p w:rsidR="004F748C" w:rsidRPr="006E0274" w:rsidP="006B0F9F">
      <w:pPr>
        <w:rPr>
          <w:rFonts w:ascii="Verdana" w:hAnsi="Verdana"/>
          <w:sz w:val="22"/>
          <w:szCs w:val="22"/>
        </w:rPr>
      </w:pPr>
      <w:r w:rsidRPr="006E0274">
        <w:rPr>
          <w:rFonts w:ascii="Verdana" w:hAnsi="Verdana"/>
        </w:rPr>
        <w:t xml:space="preserve">The advertising </w:t>
      </w:r>
      <w:r w:rsidRPr="006E0274" w:rsidR="00E06798">
        <w:rPr>
          <w:rFonts w:ascii="Verdana" w:hAnsi="Verdana"/>
        </w:rPr>
        <w:t>and</w:t>
      </w:r>
      <w:r w:rsidRPr="006E0274">
        <w:rPr>
          <w:rFonts w:ascii="Verdana" w:hAnsi="Verdana"/>
        </w:rPr>
        <w:t xml:space="preserve"> editorial distinction presents challenges but remains an </w:t>
      </w:r>
      <w:r w:rsidRPr="006E0274">
        <w:rPr>
          <w:rFonts w:ascii="Verdana" w:hAnsi="Verdana"/>
          <w:sz w:val="22"/>
          <w:szCs w:val="22"/>
        </w:rPr>
        <w:t>important principle maintaining a clear boundary between advertising and non-advertising content</w:t>
      </w:r>
      <w:r w:rsidRPr="006E0274" w:rsidR="0090089B">
        <w:rPr>
          <w:rFonts w:ascii="Verdana" w:hAnsi="Verdana"/>
          <w:sz w:val="22"/>
          <w:szCs w:val="22"/>
        </w:rPr>
        <w:t xml:space="preserve"> </w:t>
      </w:r>
      <w:r w:rsidRPr="006E0274" w:rsidR="00DE57E0">
        <w:rPr>
          <w:rFonts w:ascii="Verdana" w:hAnsi="Verdana"/>
          <w:sz w:val="22"/>
          <w:szCs w:val="22"/>
        </w:rPr>
        <w:t xml:space="preserve">as explained in </w:t>
      </w:r>
      <w:r w:rsidRPr="006E0274" w:rsidR="0008662A">
        <w:rPr>
          <w:rFonts w:ascii="Verdana" w:hAnsi="Verdana"/>
          <w:sz w:val="22"/>
          <w:szCs w:val="22"/>
        </w:rPr>
        <w:t xml:space="preserve">our response under </w:t>
      </w:r>
      <w:r w:rsidRPr="006E0274" w:rsidR="00DE57E0">
        <w:rPr>
          <w:rFonts w:ascii="Verdana" w:hAnsi="Verdana"/>
          <w:sz w:val="22"/>
          <w:szCs w:val="22"/>
        </w:rPr>
        <w:t xml:space="preserve">section </w:t>
      </w:r>
      <w:r w:rsidRPr="006E0274" w:rsidR="00AF6B73">
        <w:rPr>
          <w:rFonts w:ascii="Verdana" w:hAnsi="Verdana"/>
          <w:sz w:val="22"/>
          <w:szCs w:val="22"/>
        </w:rPr>
        <w:t>8 (a) above</w:t>
      </w:r>
      <w:r w:rsidRPr="006E0274">
        <w:rPr>
          <w:rFonts w:ascii="Verdana" w:hAnsi="Verdana"/>
          <w:sz w:val="22"/>
          <w:szCs w:val="22"/>
        </w:rPr>
        <w:t xml:space="preserve">. </w:t>
      </w:r>
    </w:p>
    <w:p w:rsidR="00B92712" w:rsidRPr="006E0274" w:rsidP="006B0F9F">
      <w:pPr>
        <w:pStyle w:val="ListParagraph"/>
        <w:numPr>
          <w:ilvl w:val="0"/>
          <w:numId w:val="29"/>
        </w:numPr>
        <w:ind w:hanging="357"/>
        <w:contextualSpacing w:val="0"/>
        <w:rPr>
          <w:rFonts w:ascii="Verdana" w:hAnsi="Verdana"/>
          <w:sz w:val="22"/>
          <w:szCs w:val="22"/>
        </w:rPr>
      </w:pPr>
      <w:r w:rsidRPr="006E0274">
        <w:rPr>
          <w:rFonts w:ascii="Verdana" w:hAnsi="Verdana"/>
          <w:sz w:val="22"/>
          <w:szCs w:val="22"/>
        </w:rPr>
        <w:t>In its 2022 remit statement, the ASA stated that “</w:t>
      </w:r>
      <w:r w:rsidRPr="006E0274" w:rsidR="003C10A0">
        <w:rPr>
          <w:rFonts w:ascii="Verdana" w:hAnsi="Verdana"/>
          <w:sz w:val="22"/>
          <w:szCs w:val="22"/>
        </w:rPr>
        <w:t>i</w:t>
      </w:r>
      <w:r w:rsidRPr="006E0274">
        <w:rPr>
          <w:rFonts w:ascii="Verdana" w:hAnsi="Verdana"/>
          <w:sz w:val="22"/>
          <w:szCs w:val="22"/>
        </w:rPr>
        <w:t>n the limited scenarios where complaints about operators’ social media are deemed not to be within remit, the ASA will refer them to the Gambling Commission.”</w:t>
      </w:r>
      <w:r>
        <w:rPr>
          <w:rStyle w:val="FootnoteReference"/>
          <w:rFonts w:ascii="Verdana" w:hAnsi="Verdana"/>
          <w:sz w:val="22"/>
          <w:szCs w:val="22"/>
        </w:rPr>
        <w:footnoteReference w:id="8"/>
      </w:r>
    </w:p>
    <w:p w:rsidR="00B92712" w:rsidRPr="006E0274" w:rsidP="006B0F9F">
      <w:pPr>
        <w:pStyle w:val="ListParagraph"/>
        <w:numPr>
          <w:ilvl w:val="0"/>
          <w:numId w:val="21"/>
        </w:numPr>
        <w:ind w:hanging="357"/>
        <w:contextualSpacing w:val="0"/>
        <w:rPr>
          <w:rFonts w:ascii="Verdana" w:hAnsi="Verdana"/>
          <w:sz w:val="22"/>
          <w:szCs w:val="22"/>
        </w:rPr>
      </w:pPr>
      <w:r w:rsidRPr="006E0274">
        <w:rPr>
          <w:rFonts w:ascii="Verdana" w:hAnsi="Verdana"/>
          <w:sz w:val="22"/>
          <w:szCs w:val="22"/>
        </w:rPr>
        <w:t>Can the ASA confirm that, in all instances since then in which complaints received about gambling operators’ content marketing were judged by the ASA to fall outside its remit, such a referral to the Gambling Commission took place?</w:t>
      </w:r>
    </w:p>
    <w:p w:rsidR="004F748C" w:rsidRPr="006E0274" w:rsidP="006B0F9F">
      <w:pPr>
        <w:rPr>
          <w:rFonts w:ascii="Verdana" w:hAnsi="Verdana"/>
          <w:sz w:val="22"/>
          <w:szCs w:val="22"/>
        </w:rPr>
      </w:pPr>
      <w:r w:rsidRPr="006E0274">
        <w:rPr>
          <w:rFonts w:ascii="Verdana" w:hAnsi="Verdana"/>
          <w:sz w:val="22"/>
          <w:szCs w:val="22"/>
        </w:rPr>
        <w:t xml:space="preserve">No. </w:t>
      </w:r>
      <w:r w:rsidRPr="006E0274">
        <w:rPr>
          <w:rFonts w:ascii="Verdana" w:hAnsi="Verdana"/>
          <w:sz w:val="22"/>
          <w:szCs w:val="22"/>
        </w:rPr>
        <w:t xml:space="preserve">The ASA's policy is to refer relevant concerns about gambling operators' social media activity to the Gambling Commission where appropriate. Any such complaints received by the ASA are referred to the Gambling Commission where the content – had it featured in ads falling within the ASA’s remit – would very likely </w:t>
      </w:r>
      <w:r w:rsidRPr="006E0274" w:rsidR="3853DAAB">
        <w:rPr>
          <w:rFonts w:ascii="Verdana" w:hAnsi="Verdana"/>
          <w:sz w:val="22"/>
          <w:szCs w:val="22"/>
        </w:rPr>
        <w:t xml:space="preserve">have </w:t>
      </w:r>
      <w:r w:rsidRPr="006E0274">
        <w:rPr>
          <w:rFonts w:ascii="Verdana" w:hAnsi="Verdana"/>
          <w:sz w:val="22"/>
          <w:szCs w:val="22"/>
        </w:rPr>
        <w:t xml:space="preserve">breached the Code. </w:t>
      </w:r>
    </w:p>
    <w:p w:rsidR="00FA0471" w:rsidRPr="006E0274" w:rsidP="006B0F9F">
      <w:pPr>
        <w:pStyle w:val="ListParagraph"/>
        <w:numPr>
          <w:ilvl w:val="0"/>
          <w:numId w:val="21"/>
        </w:numPr>
        <w:contextualSpacing w:val="0"/>
        <w:rPr>
          <w:rFonts w:ascii="Verdana" w:hAnsi="Verdana"/>
          <w:sz w:val="22"/>
          <w:szCs w:val="22"/>
        </w:rPr>
      </w:pPr>
      <w:r w:rsidRPr="006E0274">
        <w:rPr>
          <w:rFonts w:ascii="Verdana" w:hAnsi="Verdana"/>
          <w:sz w:val="22"/>
          <w:szCs w:val="22"/>
        </w:rPr>
        <w:t>Following referral, what subsequent action was taken by the ASA and the Gambling Commission in these cases?</w:t>
      </w:r>
    </w:p>
    <w:p w:rsidR="00A11DC5" w:rsidRPr="006E0274" w:rsidP="006B0F9F">
      <w:pPr>
        <w:rPr>
          <w:rFonts w:ascii="Verdana" w:hAnsi="Verdana"/>
          <w:sz w:val="22"/>
          <w:szCs w:val="22"/>
        </w:rPr>
      </w:pPr>
      <w:r w:rsidRPr="006E0274">
        <w:rPr>
          <w:rFonts w:ascii="Verdana" w:hAnsi="Verdana"/>
          <w:sz w:val="22"/>
          <w:szCs w:val="22"/>
        </w:rPr>
        <w:t xml:space="preserve">No action was taken by the ASA after referral. It is for the Gambling Commission to say what action, if any, </w:t>
      </w:r>
      <w:r w:rsidRPr="006E0274" w:rsidR="103F8C43">
        <w:rPr>
          <w:rFonts w:ascii="Verdana" w:hAnsi="Verdana"/>
          <w:sz w:val="22"/>
          <w:szCs w:val="22"/>
        </w:rPr>
        <w:t xml:space="preserve">it took post ASA referral. </w:t>
      </w:r>
    </w:p>
    <w:p w:rsidR="008663FB" w:rsidRPr="006E0274" w:rsidP="006B0F9F">
      <w:pPr>
        <w:rPr>
          <w:rFonts w:ascii="Verdana" w:hAnsi="Verdana"/>
          <w:i/>
          <w:iCs/>
          <w:sz w:val="22"/>
          <w:szCs w:val="22"/>
        </w:rPr>
      </w:pPr>
      <w:r w:rsidRPr="006E0274">
        <w:rPr>
          <w:rFonts w:ascii="Verdana" w:hAnsi="Verdana"/>
          <w:i/>
          <w:iCs/>
          <w:sz w:val="22"/>
          <w:szCs w:val="22"/>
        </w:rPr>
        <w:t>Potential reform</w:t>
      </w:r>
    </w:p>
    <w:p w:rsidR="008663FB"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 xml:space="preserve">What consideration has </w:t>
      </w:r>
      <w:r w:rsidRPr="006E0274" w:rsidR="00993C84">
        <w:rPr>
          <w:rFonts w:ascii="Verdana" w:hAnsi="Verdana"/>
          <w:sz w:val="22"/>
          <w:szCs w:val="22"/>
        </w:rPr>
        <w:t xml:space="preserve">the </w:t>
      </w:r>
      <w:r w:rsidRPr="006E0274" w:rsidR="00D65E3C">
        <w:rPr>
          <w:rFonts w:ascii="Verdana" w:hAnsi="Verdana"/>
          <w:sz w:val="22"/>
          <w:szCs w:val="22"/>
        </w:rPr>
        <w:t>ASA</w:t>
      </w:r>
      <w:r w:rsidRPr="006E0274">
        <w:rPr>
          <w:rFonts w:ascii="Verdana" w:hAnsi="Verdana"/>
          <w:sz w:val="22"/>
          <w:szCs w:val="22"/>
        </w:rPr>
        <w:t xml:space="preserve"> given to the benefits and risks of the following possible measures:</w:t>
      </w:r>
    </w:p>
    <w:p w:rsidR="008663FB" w:rsidRPr="006E0274" w:rsidP="006B0F9F">
      <w:pPr>
        <w:pStyle w:val="ListParagraph"/>
        <w:numPr>
          <w:ilvl w:val="0"/>
          <w:numId w:val="23"/>
        </w:numPr>
        <w:contextualSpacing w:val="0"/>
        <w:rPr>
          <w:rFonts w:ascii="Verdana" w:hAnsi="Verdana"/>
          <w:sz w:val="22"/>
          <w:szCs w:val="22"/>
        </w:rPr>
      </w:pPr>
      <w:r w:rsidRPr="006E0274">
        <w:rPr>
          <w:rFonts w:ascii="Verdana" w:hAnsi="Verdana"/>
          <w:sz w:val="22"/>
          <w:szCs w:val="22"/>
        </w:rPr>
        <w:t xml:space="preserve">Revising its remit to include what it currently defines as </w:t>
      </w:r>
      <w:r w:rsidRPr="006E0274" w:rsidR="00C672B2">
        <w:rPr>
          <w:rFonts w:ascii="Verdana" w:hAnsi="Verdana"/>
          <w:sz w:val="22"/>
          <w:szCs w:val="22"/>
        </w:rPr>
        <w:t>‘</w:t>
      </w:r>
      <w:r w:rsidRPr="006E0274">
        <w:rPr>
          <w:rFonts w:ascii="Verdana" w:hAnsi="Verdana"/>
          <w:sz w:val="22"/>
          <w:szCs w:val="22"/>
        </w:rPr>
        <w:t>editorial content’ posted on social media by gambling operators;</w:t>
      </w:r>
    </w:p>
    <w:p w:rsidR="00011782" w:rsidRPr="006E0274" w:rsidP="006B0F9F">
      <w:pPr>
        <w:rPr>
          <w:rFonts w:ascii="Verdana" w:hAnsi="Verdana"/>
          <w:sz w:val="22"/>
          <w:szCs w:val="22"/>
        </w:rPr>
      </w:pPr>
      <w:r w:rsidRPr="006E0274">
        <w:rPr>
          <w:rFonts w:ascii="Verdana" w:hAnsi="Verdana"/>
          <w:sz w:val="22"/>
          <w:szCs w:val="22"/>
        </w:rPr>
        <w:t xml:space="preserve">One of the key exclusions from </w:t>
      </w:r>
      <w:r w:rsidRPr="006E0274" w:rsidR="00A11DC5">
        <w:rPr>
          <w:rFonts w:ascii="Verdana" w:hAnsi="Verdana"/>
          <w:sz w:val="22"/>
          <w:szCs w:val="22"/>
        </w:rPr>
        <w:t>the ASA’s</w:t>
      </w:r>
      <w:r w:rsidRPr="006E0274">
        <w:rPr>
          <w:rFonts w:ascii="Verdana" w:hAnsi="Verdana"/>
          <w:sz w:val="22"/>
          <w:szCs w:val="22"/>
        </w:rPr>
        <w:t xml:space="preserve"> remit – necessitated by the need to restrict our interventions to material which can </w:t>
      </w:r>
      <w:r w:rsidRPr="006E0274" w:rsidR="2A467CEA">
        <w:rPr>
          <w:rFonts w:ascii="Verdana" w:hAnsi="Verdana"/>
          <w:sz w:val="22"/>
          <w:szCs w:val="22"/>
        </w:rPr>
        <w:t xml:space="preserve">reasonably </w:t>
      </w:r>
      <w:r w:rsidRPr="006E0274">
        <w:rPr>
          <w:rFonts w:ascii="Verdana" w:hAnsi="Verdana"/>
          <w:sz w:val="22"/>
          <w:szCs w:val="22"/>
        </w:rPr>
        <w:t xml:space="preserve">be </w:t>
      </w:r>
      <w:r w:rsidRPr="006E0274" w:rsidR="16DD1832">
        <w:rPr>
          <w:rFonts w:ascii="Verdana" w:hAnsi="Verdana"/>
          <w:sz w:val="22"/>
          <w:szCs w:val="22"/>
        </w:rPr>
        <w:t>determined to be</w:t>
      </w:r>
      <w:r w:rsidRPr="006E0274">
        <w:rPr>
          <w:rFonts w:ascii="Verdana" w:hAnsi="Verdana"/>
          <w:sz w:val="22"/>
          <w:szCs w:val="22"/>
        </w:rPr>
        <w:t xml:space="preserve"> an advertisement or other marketing communication – is editorial content. Therefore, in advertiser-controlled non-paid for space online, for content to be considered advertising material within the remit of the CAP Code, it must meet the “directly connected” test.</w:t>
      </w:r>
    </w:p>
    <w:p w:rsidR="00C70CE1" w:rsidRPr="006E0274" w:rsidP="006B0F9F">
      <w:pPr>
        <w:rPr>
          <w:rFonts w:ascii="Verdana" w:hAnsi="Verdana"/>
          <w:sz w:val="22"/>
          <w:szCs w:val="22"/>
        </w:rPr>
      </w:pPr>
      <w:r w:rsidRPr="006E0274">
        <w:rPr>
          <w:rFonts w:ascii="Verdana" w:hAnsi="Verdana"/>
          <w:sz w:val="22"/>
          <w:szCs w:val="22"/>
        </w:rPr>
        <w:t>S</w:t>
      </w:r>
      <w:r w:rsidRPr="006E0274">
        <w:rPr>
          <w:rFonts w:ascii="Verdana" w:hAnsi="Verdana"/>
          <w:sz w:val="22"/>
          <w:szCs w:val="22"/>
        </w:rPr>
        <w:t xml:space="preserve">ocial media posts by licensed gambling operators will </w:t>
      </w:r>
      <w:r>
        <w:fldChar w:fldCharType="begin"/>
      </w:r>
      <w:r>
        <w:instrText xml:space="preserve"> HYPERLINK "https://www.asa.org.uk/news/the-odds-are-it-s-an-ad-gambling-content-marketing-and-the-code.html" </w:instrText>
      </w:r>
      <w:r>
        <w:fldChar w:fldCharType="separate"/>
      </w:r>
      <w:r w:rsidRPr="006E0274">
        <w:rPr>
          <w:rStyle w:val="Hyperlink"/>
          <w:rFonts w:ascii="Verdana" w:hAnsi="Verdana"/>
          <w:color w:val="auto"/>
          <w:sz w:val="22"/>
          <w:szCs w:val="22"/>
        </w:rPr>
        <w:t>generally</w:t>
      </w:r>
      <w:r>
        <w:fldChar w:fldCharType="end"/>
      </w:r>
      <w:r w:rsidRPr="006E0274">
        <w:rPr>
          <w:rFonts w:ascii="Verdana" w:hAnsi="Verdana"/>
          <w:sz w:val="22"/>
          <w:szCs w:val="22"/>
        </w:rPr>
        <w:t xml:space="preserve"> fall within scope if they are directly connected to their services or intended to stimulate consumer interest in them. While there is an exclusion for genuinely editorial content</w:t>
      </w:r>
      <w:r w:rsidRPr="006E0274" w:rsidR="00F3559B">
        <w:rPr>
          <w:rFonts w:ascii="Verdana" w:hAnsi="Verdana"/>
          <w:sz w:val="22"/>
          <w:szCs w:val="22"/>
        </w:rPr>
        <w:t>,</w:t>
      </w:r>
      <w:r w:rsidRPr="006E0274">
        <w:rPr>
          <w:rFonts w:ascii="Verdana" w:hAnsi="Verdana"/>
          <w:sz w:val="22"/>
          <w:szCs w:val="22"/>
        </w:rPr>
        <w:t xml:space="preserve"> such as independent commentary or opinion</w:t>
      </w:r>
      <w:r w:rsidRPr="006E0274" w:rsidR="00F3559B">
        <w:rPr>
          <w:rFonts w:ascii="Verdana" w:hAnsi="Verdana"/>
          <w:sz w:val="22"/>
          <w:szCs w:val="22"/>
        </w:rPr>
        <w:t>,</w:t>
      </w:r>
      <w:r w:rsidRPr="006E0274">
        <w:rPr>
          <w:rFonts w:ascii="Verdana" w:hAnsi="Verdana"/>
          <w:sz w:val="22"/>
          <w:szCs w:val="22"/>
        </w:rPr>
        <w:t xml:space="preserve"> a lot of content marketing does not qualify for that exemption. Posts can be considered ads within the ASA’s remit where they include </w:t>
      </w:r>
      <w:r>
        <w:fldChar w:fldCharType="begin"/>
      </w:r>
      <w:r>
        <w:instrText xml:space="preserve"> HYPERLINK "https://www.asa.org.uk/rulings/dribble-media-ltd-a25-1307055-dribble-media-ltd.html" </w:instrText>
      </w:r>
      <w:r>
        <w:fldChar w:fldCharType="separate"/>
      </w:r>
      <w:r w:rsidRPr="006E0274">
        <w:rPr>
          <w:rStyle w:val="Hyperlink"/>
          <w:rFonts w:ascii="Verdana" w:hAnsi="Verdana"/>
          <w:color w:val="auto"/>
          <w:sz w:val="22"/>
          <w:szCs w:val="22"/>
        </w:rPr>
        <w:t>direct references</w:t>
      </w:r>
      <w:r>
        <w:fldChar w:fldCharType="end"/>
      </w:r>
      <w:r w:rsidRPr="006E0274">
        <w:rPr>
          <w:rFonts w:ascii="Verdana" w:hAnsi="Verdana"/>
          <w:sz w:val="22"/>
          <w:szCs w:val="22"/>
        </w:rPr>
        <w:t xml:space="preserve"> to gambling products, odds or related services, but also where they include indirect references, such as by seeking to generate interest in </w:t>
      </w:r>
      <w:r>
        <w:fldChar w:fldCharType="begin"/>
      </w:r>
      <w:r>
        <w:instrText xml:space="preserve"> HYPERLINK "https://www.asa.org.uk/rulings/betway-ltd-a25-1319927-betway-ltd.html" </w:instrText>
      </w:r>
      <w:r>
        <w:fldChar w:fldCharType="separate"/>
      </w:r>
      <w:r w:rsidRPr="006E0274">
        <w:rPr>
          <w:rStyle w:val="Hyperlink"/>
          <w:rFonts w:ascii="Verdana" w:hAnsi="Verdana"/>
          <w:color w:val="auto"/>
          <w:sz w:val="22"/>
          <w:szCs w:val="22"/>
        </w:rPr>
        <w:t>events</w:t>
      </w:r>
      <w:r>
        <w:fldChar w:fldCharType="end"/>
      </w:r>
      <w:r w:rsidRPr="006E0274">
        <w:rPr>
          <w:rFonts w:ascii="Verdana" w:hAnsi="Verdana"/>
          <w:sz w:val="22"/>
          <w:szCs w:val="22"/>
        </w:rPr>
        <w:t xml:space="preserve"> that the operator offers bets on (without directly referencing that fact).  </w:t>
      </w:r>
    </w:p>
    <w:p w:rsidR="004F748C" w:rsidRPr="006E0274" w:rsidP="006B0F9F">
      <w:pPr>
        <w:rPr>
          <w:rFonts w:ascii="Verdana" w:hAnsi="Verdana"/>
          <w:sz w:val="22"/>
          <w:szCs w:val="22"/>
        </w:rPr>
      </w:pPr>
      <w:r w:rsidRPr="006E0274">
        <w:rPr>
          <w:rFonts w:ascii="Verdana" w:hAnsi="Verdana"/>
          <w:sz w:val="22"/>
          <w:szCs w:val="22"/>
        </w:rPr>
        <w:t xml:space="preserve">Arguably the biggest risk of extending the ASA’s remit to include editorial content would be the </w:t>
      </w:r>
      <w:r w:rsidRPr="006E0274" w:rsidR="00B56665">
        <w:rPr>
          <w:rFonts w:ascii="Verdana" w:hAnsi="Verdana"/>
          <w:sz w:val="22"/>
          <w:szCs w:val="22"/>
        </w:rPr>
        <w:t>challenge</w:t>
      </w:r>
      <w:r w:rsidRPr="006E0274">
        <w:rPr>
          <w:rFonts w:ascii="Verdana" w:hAnsi="Verdana"/>
          <w:sz w:val="22"/>
          <w:szCs w:val="22"/>
        </w:rPr>
        <w:t xml:space="preserve"> around </w:t>
      </w:r>
      <w:r w:rsidRPr="006E0274" w:rsidR="00B56665">
        <w:rPr>
          <w:rFonts w:ascii="Verdana" w:hAnsi="Verdana"/>
          <w:sz w:val="22"/>
          <w:szCs w:val="22"/>
        </w:rPr>
        <w:t xml:space="preserve">balancing regulation with </w:t>
      </w:r>
      <w:r w:rsidRPr="006E0274">
        <w:rPr>
          <w:rFonts w:ascii="Verdana" w:hAnsi="Verdana"/>
          <w:sz w:val="22"/>
          <w:szCs w:val="22"/>
        </w:rPr>
        <w:t>commercial freedom of expression</w:t>
      </w:r>
      <w:r w:rsidRPr="006E0274" w:rsidR="007C2DD9">
        <w:rPr>
          <w:rFonts w:ascii="Verdana" w:hAnsi="Verdana"/>
          <w:sz w:val="22"/>
          <w:szCs w:val="22"/>
        </w:rPr>
        <w:t xml:space="preserve"> as discussed at </w:t>
      </w:r>
      <w:r w:rsidRPr="006E0274" w:rsidR="009A2628">
        <w:rPr>
          <w:rFonts w:ascii="Verdana" w:hAnsi="Verdana"/>
          <w:sz w:val="22"/>
          <w:szCs w:val="22"/>
        </w:rPr>
        <w:t>8 (a) above</w:t>
      </w:r>
      <w:r w:rsidRPr="006E0274">
        <w:rPr>
          <w:rFonts w:ascii="Verdana" w:hAnsi="Verdana"/>
          <w:sz w:val="22"/>
          <w:szCs w:val="22"/>
        </w:rPr>
        <w:t xml:space="preserve">. </w:t>
      </w:r>
      <w:r w:rsidRPr="006E0274" w:rsidR="4384BAEF">
        <w:rPr>
          <w:rFonts w:ascii="Verdana" w:hAnsi="Verdana"/>
          <w:sz w:val="22"/>
          <w:szCs w:val="22"/>
        </w:rPr>
        <w:t>Another risk would be</w:t>
      </w:r>
      <w:r w:rsidRPr="006E0274">
        <w:rPr>
          <w:rFonts w:ascii="Verdana" w:hAnsi="Verdana"/>
          <w:sz w:val="22"/>
          <w:szCs w:val="22"/>
        </w:rPr>
        <w:t xml:space="preserve"> the</w:t>
      </w:r>
      <w:r w:rsidRPr="006E0274">
        <w:rPr>
          <w:rFonts w:ascii="Verdana" w:hAnsi="Verdana"/>
          <w:sz w:val="22"/>
          <w:szCs w:val="22"/>
        </w:rPr>
        <w:t xml:space="preserve"> </w:t>
      </w:r>
      <w:r w:rsidRPr="006E0274">
        <w:rPr>
          <w:rFonts w:ascii="Verdana" w:hAnsi="Verdana"/>
          <w:sz w:val="22"/>
          <w:szCs w:val="22"/>
        </w:rPr>
        <w:t>significant expansion of ASA’s advertising remit into online communications not directly connected with the supply or transfer of good and services.</w:t>
      </w:r>
    </w:p>
    <w:p w:rsidR="00BD3BEC" w:rsidRPr="006E0274" w:rsidP="006B0F9F">
      <w:pPr>
        <w:pStyle w:val="ListParagraph"/>
        <w:numPr>
          <w:ilvl w:val="0"/>
          <w:numId w:val="23"/>
        </w:numPr>
        <w:contextualSpacing w:val="0"/>
        <w:rPr>
          <w:rFonts w:ascii="Verdana" w:hAnsi="Verdana"/>
          <w:sz w:val="22"/>
          <w:szCs w:val="22"/>
        </w:rPr>
      </w:pPr>
      <w:r w:rsidRPr="006E0274">
        <w:rPr>
          <w:rFonts w:ascii="Verdana" w:hAnsi="Verdana"/>
          <w:sz w:val="22"/>
          <w:szCs w:val="22"/>
        </w:rPr>
        <w:t>Introducing a requirement that all social media content posted by gambling operators carr</w:t>
      </w:r>
      <w:r w:rsidRPr="006E0274" w:rsidR="001219E5">
        <w:rPr>
          <w:rFonts w:ascii="Verdana" w:hAnsi="Verdana"/>
          <w:sz w:val="22"/>
          <w:szCs w:val="22"/>
        </w:rPr>
        <w:t xml:space="preserve">ies </w:t>
      </w:r>
      <w:r w:rsidRPr="006E0274">
        <w:rPr>
          <w:rFonts w:ascii="Verdana" w:hAnsi="Verdana"/>
          <w:sz w:val="22"/>
          <w:szCs w:val="22"/>
        </w:rPr>
        <w:t>a clearly visible banner identifying it as advertising;</w:t>
      </w:r>
    </w:p>
    <w:p w:rsidR="00BD6B80" w:rsidRPr="006E0274" w:rsidP="006B0F9F">
      <w:pPr>
        <w:rPr>
          <w:rFonts w:ascii="Verdana" w:hAnsi="Verdana"/>
          <w:sz w:val="22"/>
          <w:szCs w:val="22"/>
        </w:rPr>
      </w:pPr>
      <w:r w:rsidRPr="006E0274">
        <w:rPr>
          <w:rFonts w:ascii="Verdana" w:hAnsi="Verdana"/>
          <w:sz w:val="22"/>
          <w:szCs w:val="22"/>
        </w:rPr>
        <w:t xml:space="preserve">CAP Code Rule 2.1 </w:t>
      </w:r>
      <w:r>
        <w:fldChar w:fldCharType="begin"/>
      </w:r>
      <w:r>
        <w:instrText xml:space="preserve"> HYPERLINK "https://www.asa.org.uk/type/non_broadcast/code_section/02.html" </w:instrText>
      </w:r>
      <w:r>
        <w:fldChar w:fldCharType="separate"/>
      </w:r>
      <w:r w:rsidRPr="006E0274">
        <w:rPr>
          <w:rStyle w:val="Hyperlink"/>
          <w:rFonts w:ascii="Verdana" w:hAnsi="Verdana"/>
          <w:color w:val="auto"/>
          <w:sz w:val="22"/>
          <w:szCs w:val="22"/>
        </w:rPr>
        <w:t>requires</w:t>
      </w:r>
      <w:r>
        <w:fldChar w:fldCharType="end"/>
      </w:r>
      <w:r w:rsidRPr="006E0274">
        <w:rPr>
          <w:rFonts w:ascii="Verdana" w:hAnsi="Verdana"/>
          <w:sz w:val="22"/>
          <w:szCs w:val="22"/>
        </w:rPr>
        <w:t xml:space="preserve"> that marketing communications are obviously identifiable as such. It </w:t>
      </w:r>
      <w:r w:rsidRPr="006E0274" w:rsidR="69A3C881">
        <w:rPr>
          <w:rFonts w:ascii="Verdana" w:hAnsi="Verdana"/>
          <w:sz w:val="22"/>
          <w:szCs w:val="22"/>
        </w:rPr>
        <w:t xml:space="preserve">reflects underpinning law. Both </w:t>
      </w:r>
      <w:r w:rsidRPr="006E0274">
        <w:rPr>
          <w:rFonts w:ascii="Verdana" w:hAnsi="Verdana"/>
          <w:sz w:val="22"/>
          <w:szCs w:val="22"/>
        </w:rPr>
        <w:t>recognise the importance of consumers knowing when they are being sold to, which – in turn – raises their cognitive defences and triggers resistance to persuasive appeals.</w:t>
      </w:r>
    </w:p>
    <w:p w:rsidR="009317E2" w:rsidRPr="006E0274" w:rsidP="006B0F9F">
      <w:pPr>
        <w:rPr>
          <w:rFonts w:ascii="Verdana" w:hAnsi="Verdana"/>
          <w:sz w:val="22"/>
          <w:szCs w:val="22"/>
        </w:rPr>
      </w:pPr>
      <w:r w:rsidRPr="006E0274">
        <w:rPr>
          <w:rFonts w:ascii="Verdana" w:hAnsi="Verdana"/>
          <w:sz w:val="22"/>
          <w:szCs w:val="22"/>
        </w:rPr>
        <w:t xml:space="preserve">In January 2025, in response to concerns from the University of Bristol related to their dossier of 100 content marketing posts (80 of which concerned the issue of recognisability), we asked </w:t>
      </w:r>
      <w:r w:rsidRPr="006E0274" w:rsidR="6288B6FD">
        <w:rPr>
          <w:rFonts w:ascii="Verdana" w:hAnsi="Verdana"/>
          <w:sz w:val="22"/>
          <w:szCs w:val="22"/>
        </w:rPr>
        <w:t xml:space="preserve">the ASA </w:t>
      </w:r>
      <w:r w:rsidRPr="006E0274">
        <w:rPr>
          <w:rFonts w:ascii="Verdana" w:hAnsi="Verdana"/>
          <w:sz w:val="22"/>
          <w:szCs w:val="22"/>
        </w:rPr>
        <w:t xml:space="preserve">Council for a steer on whether </w:t>
      </w:r>
      <w:r w:rsidRPr="006E0274" w:rsidR="2DE6D3DB">
        <w:rPr>
          <w:rFonts w:ascii="Verdana" w:hAnsi="Verdana"/>
          <w:sz w:val="22"/>
          <w:szCs w:val="22"/>
        </w:rPr>
        <w:t>it</w:t>
      </w:r>
      <w:r w:rsidRPr="006E0274">
        <w:rPr>
          <w:rFonts w:ascii="Verdana" w:hAnsi="Verdana"/>
          <w:sz w:val="22"/>
          <w:szCs w:val="22"/>
        </w:rPr>
        <w:t xml:space="preserve"> consider</w:t>
      </w:r>
      <w:r w:rsidRPr="006E0274" w:rsidR="4CE7CDD1">
        <w:rPr>
          <w:rFonts w:ascii="Verdana" w:hAnsi="Verdana"/>
          <w:sz w:val="22"/>
          <w:szCs w:val="22"/>
        </w:rPr>
        <w:t>ed</w:t>
      </w:r>
      <w:r w:rsidRPr="006E0274">
        <w:rPr>
          <w:rFonts w:ascii="Verdana" w:hAnsi="Verdana"/>
          <w:sz w:val="22"/>
          <w:szCs w:val="22"/>
        </w:rPr>
        <w:t xml:space="preserve"> the audience of the posts were likely to recognise them as ads.</w:t>
      </w:r>
      <w:r w:rsidRPr="006E0274" w:rsidR="00BD3BEC">
        <w:rPr>
          <w:rFonts w:ascii="Verdana" w:hAnsi="Verdana"/>
          <w:sz w:val="22"/>
          <w:szCs w:val="22"/>
        </w:rPr>
        <w:t xml:space="preserve"> </w:t>
      </w:r>
      <w:r w:rsidRPr="006E0274">
        <w:rPr>
          <w:rFonts w:ascii="Verdana" w:hAnsi="Verdana"/>
          <w:sz w:val="22"/>
          <w:szCs w:val="22"/>
        </w:rPr>
        <w:t xml:space="preserve">The ASA Council’s discussion confirmed our position that “When businesses or brands post about their own products or services on their own social media accounts, and </w:t>
      </w:r>
      <w:r w:rsidRPr="006E0274">
        <w:rPr>
          <w:rFonts w:ascii="Verdana" w:hAnsi="Verdana"/>
          <w:sz w:val="22"/>
          <w:szCs w:val="22"/>
        </w:rPr>
        <w:t>they are identifiable as the entity that posted the content (i.e. their brand username is displayed), this content is generally considered to be obviously identifiable as advertising for that brand”.</w:t>
      </w:r>
    </w:p>
    <w:p w:rsidR="001802C2" w:rsidRPr="006E0274" w:rsidP="006B0F9F">
      <w:pPr>
        <w:rPr>
          <w:rFonts w:ascii="Verdana" w:hAnsi="Verdana"/>
          <w:sz w:val="22"/>
          <w:szCs w:val="22"/>
        </w:rPr>
      </w:pPr>
      <w:r w:rsidRPr="006E0274">
        <w:rPr>
          <w:rFonts w:ascii="Verdana" w:hAnsi="Verdana"/>
          <w:sz w:val="22"/>
          <w:szCs w:val="22"/>
        </w:rPr>
        <w:t>That position, however, doesn’t determine that everything posted by businesses on their own social media accounts is advertising within the remit of the CAP Code. Instead, it confirms that where social media content is posted by a business, people are likely to recognise that the account posting the communication is a commercial entity.</w:t>
      </w:r>
      <w:r w:rsidRPr="006E0274" w:rsidR="00316C44">
        <w:rPr>
          <w:rFonts w:ascii="Verdana" w:hAnsi="Verdana"/>
          <w:sz w:val="22"/>
          <w:szCs w:val="22"/>
        </w:rPr>
        <w:t xml:space="preserve"> This can be contrasted to influencer posts, </w:t>
      </w:r>
      <w:r w:rsidRPr="006E0274" w:rsidR="1F861E91">
        <w:rPr>
          <w:rFonts w:ascii="Verdana" w:hAnsi="Verdana"/>
          <w:sz w:val="22"/>
          <w:szCs w:val="22"/>
        </w:rPr>
        <w:t xml:space="preserve">including </w:t>
      </w:r>
      <w:r w:rsidRPr="006E0274" w:rsidR="00316C44">
        <w:rPr>
          <w:rFonts w:ascii="Verdana" w:hAnsi="Verdana"/>
          <w:sz w:val="22"/>
          <w:szCs w:val="22"/>
        </w:rPr>
        <w:t>from celebrities, who will often post a mixture of genuinely personal or editorial conte</w:t>
      </w:r>
      <w:r w:rsidRPr="006E0274" w:rsidR="74344D03">
        <w:rPr>
          <w:rFonts w:ascii="Verdana" w:hAnsi="Verdana"/>
          <w:sz w:val="22"/>
          <w:szCs w:val="22"/>
        </w:rPr>
        <w:t>n</w:t>
      </w:r>
      <w:r w:rsidRPr="006E0274" w:rsidR="00316C44">
        <w:rPr>
          <w:rFonts w:ascii="Verdana" w:hAnsi="Verdana"/>
          <w:sz w:val="22"/>
          <w:szCs w:val="22"/>
        </w:rPr>
        <w:t xml:space="preserve">t </w:t>
      </w:r>
      <w:r w:rsidRPr="006E0274" w:rsidR="455F3268">
        <w:rPr>
          <w:rFonts w:ascii="Verdana" w:hAnsi="Verdana"/>
          <w:sz w:val="22"/>
          <w:szCs w:val="22"/>
        </w:rPr>
        <w:t>as well as ads. The ads can thus be</w:t>
      </w:r>
      <w:r w:rsidRPr="006E0274" w:rsidR="00316C44">
        <w:rPr>
          <w:rFonts w:ascii="Verdana" w:hAnsi="Verdana"/>
          <w:sz w:val="22"/>
          <w:szCs w:val="22"/>
        </w:rPr>
        <w:t xml:space="preserve"> harder to distinguish. This is why we typically require such </w:t>
      </w:r>
      <w:r w:rsidRPr="006E0274" w:rsidR="0034DE39">
        <w:rPr>
          <w:rFonts w:ascii="Verdana" w:hAnsi="Verdana"/>
          <w:sz w:val="22"/>
          <w:szCs w:val="22"/>
        </w:rPr>
        <w:t>a</w:t>
      </w:r>
      <w:r w:rsidRPr="006E0274" w:rsidR="2680363E">
        <w:rPr>
          <w:rFonts w:ascii="Verdana" w:hAnsi="Verdana"/>
          <w:sz w:val="22"/>
          <w:szCs w:val="22"/>
        </w:rPr>
        <w:t xml:space="preserve">dvertising </w:t>
      </w:r>
      <w:r w:rsidRPr="006E0274" w:rsidR="00316C44">
        <w:rPr>
          <w:rFonts w:ascii="Verdana" w:hAnsi="Verdana"/>
          <w:sz w:val="22"/>
          <w:szCs w:val="22"/>
        </w:rPr>
        <w:t xml:space="preserve">content from influencers to </w:t>
      </w:r>
      <w:r w:rsidRPr="006E0274" w:rsidR="63A28BB0">
        <w:rPr>
          <w:rFonts w:ascii="Verdana" w:hAnsi="Verdana"/>
          <w:sz w:val="22"/>
          <w:szCs w:val="22"/>
        </w:rPr>
        <w:t xml:space="preserve">be </w:t>
      </w:r>
      <w:r w:rsidRPr="006E0274" w:rsidR="00316C44">
        <w:rPr>
          <w:rFonts w:ascii="Verdana" w:hAnsi="Verdana"/>
          <w:sz w:val="22"/>
          <w:szCs w:val="22"/>
        </w:rPr>
        <w:t>prominently labelled as ads.</w:t>
      </w:r>
    </w:p>
    <w:p w:rsidR="008C6F3D" w:rsidRPr="006E0274" w:rsidP="006B0F9F">
      <w:pPr>
        <w:rPr>
          <w:rFonts w:ascii="Verdana" w:hAnsi="Verdana"/>
          <w:sz w:val="22"/>
          <w:szCs w:val="22"/>
        </w:rPr>
      </w:pPr>
      <w:r w:rsidRPr="006E0274">
        <w:rPr>
          <w:rFonts w:ascii="Verdana" w:hAnsi="Verdana"/>
          <w:sz w:val="22"/>
          <w:szCs w:val="22"/>
        </w:rPr>
        <w:t>Crucially, a</w:t>
      </w:r>
      <w:r w:rsidRPr="006E0274">
        <w:rPr>
          <w:rFonts w:ascii="Verdana" w:hAnsi="Verdana"/>
          <w:sz w:val="22"/>
          <w:szCs w:val="22"/>
        </w:rPr>
        <w:t xml:space="preserve"> blanket labelling requirement would require careful consideration of the evidence of harm and </w:t>
      </w:r>
      <w:r w:rsidRPr="006E0274" w:rsidR="207FD6AB">
        <w:rPr>
          <w:rFonts w:ascii="Verdana" w:hAnsi="Verdana"/>
          <w:sz w:val="22"/>
          <w:szCs w:val="22"/>
        </w:rPr>
        <w:t>whether</w:t>
      </w:r>
      <w:r w:rsidRPr="006E0274">
        <w:rPr>
          <w:rFonts w:ascii="Verdana" w:hAnsi="Verdana"/>
          <w:sz w:val="22"/>
          <w:szCs w:val="22"/>
        </w:rPr>
        <w:t xml:space="preserve"> such</w:t>
      </w:r>
      <w:r w:rsidRPr="006E0274" w:rsidR="4395802C">
        <w:rPr>
          <w:rFonts w:ascii="Verdana" w:hAnsi="Verdana"/>
          <w:sz w:val="22"/>
          <w:szCs w:val="22"/>
        </w:rPr>
        <w:t xml:space="preserve"> a</w:t>
      </w:r>
      <w:r w:rsidRPr="006E0274" w:rsidR="01AE6C60">
        <w:rPr>
          <w:rFonts w:ascii="Verdana" w:hAnsi="Verdana"/>
          <w:sz w:val="22"/>
          <w:szCs w:val="22"/>
        </w:rPr>
        <w:t xml:space="preserve"> requirement</w:t>
      </w:r>
      <w:r w:rsidRPr="006E0274" w:rsidR="6CEAD8AD">
        <w:rPr>
          <w:rFonts w:ascii="Verdana" w:hAnsi="Verdana"/>
          <w:sz w:val="22"/>
          <w:szCs w:val="22"/>
        </w:rPr>
        <w:t xml:space="preserve"> was a targeted and proportionate response to that harm</w:t>
      </w:r>
      <w:r w:rsidRPr="006E0274">
        <w:rPr>
          <w:rFonts w:ascii="Verdana" w:hAnsi="Verdana"/>
          <w:sz w:val="22"/>
          <w:szCs w:val="22"/>
        </w:rPr>
        <w:t>.</w:t>
      </w:r>
    </w:p>
    <w:p w:rsidR="008663FB" w:rsidRPr="006E0274" w:rsidP="006B0F9F">
      <w:pPr>
        <w:pStyle w:val="ListParagraph"/>
        <w:numPr>
          <w:ilvl w:val="0"/>
          <w:numId w:val="23"/>
        </w:numPr>
        <w:contextualSpacing w:val="0"/>
        <w:rPr>
          <w:rFonts w:ascii="Verdana" w:hAnsi="Verdana"/>
          <w:sz w:val="22"/>
          <w:szCs w:val="22"/>
        </w:rPr>
      </w:pPr>
      <w:r w:rsidRPr="006E0274">
        <w:rPr>
          <w:rFonts w:ascii="Verdana" w:hAnsi="Verdana"/>
          <w:sz w:val="22"/>
          <w:szCs w:val="22"/>
        </w:rPr>
        <w:t>Prohibiting</w:t>
      </w:r>
      <w:r w:rsidRPr="006E0274">
        <w:rPr>
          <w:rFonts w:ascii="Verdana" w:hAnsi="Verdana"/>
          <w:sz w:val="22"/>
          <w:szCs w:val="22"/>
        </w:rPr>
        <w:t xml:space="preserve"> all gambling content marketing on social media (and particularly that which the ASA currently defines as </w:t>
      </w:r>
      <w:r w:rsidRPr="006E0274" w:rsidR="00316031">
        <w:rPr>
          <w:rFonts w:ascii="Verdana" w:hAnsi="Verdana"/>
          <w:sz w:val="22"/>
          <w:szCs w:val="22"/>
        </w:rPr>
        <w:t>‘</w:t>
      </w:r>
      <w:r w:rsidRPr="006E0274">
        <w:rPr>
          <w:rFonts w:ascii="Verdana" w:hAnsi="Verdana"/>
          <w:sz w:val="22"/>
          <w:szCs w:val="22"/>
        </w:rPr>
        <w:t>editorial content</w:t>
      </w:r>
      <w:r w:rsidRPr="006E0274" w:rsidR="00316031">
        <w:rPr>
          <w:rFonts w:ascii="Verdana" w:hAnsi="Verdana"/>
          <w:sz w:val="22"/>
          <w:szCs w:val="22"/>
        </w:rPr>
        <w:t>’</w:t>
      </w:r>
      <w:r w:rsidRPr="006E0274">
        <w:rPr>
          <w:rFonts w:ascii="Verdana" w:hAnsi="Verdana"/>
          <w:sz w:val="22"/>
          <w:szCs w:val="22"/>
        </w:rPr>
        <w:t xml:space="preserve">) and stipulating that all </w:t>
      </w:r>
      <w:r w:rsidRPr="006E0274" w:rsidR="007F22AE">
        <w:rPr>
          <w:rFonts w:ascii="Verdana" w:hAnsi="Verdana"/>
          <w:sz w:val="22"/>
          <w:szCs w:val="22"/>
        </w:rPr>
        <w:t xml:space="preserve">promotional </w:t>
      </w:r>
      <w:r w:rsidRPr="006E0274">
        <w:rPr>
          <w:rFonts w:ascii="Verdana" w:hAnsi="Verdana"/>
          <w:sz w:val="22"/>
          <w:szCs w:val="22"/>
        </w:rPr>
        <w:t>social media communications by gambling operators contain explicit reference to promoting their products?</w:t>
      </w:r>
    </w:p>
    <w:p w:rsidR="008C6F3D" w:rsidRPr="006E0274" w:rsidP="006B0F9F">
      <w:pPr>
        <w:rPr>
          <w:rFonts w:ascii="Verdana" w:hAnsi="Verdana"/>
          <w:sz w:val="22"/>
          <w:szCs w:val="22"/>
        </w:rPr>
      </w:pPr>
      <w:r w:rsidRPr="006E0274">
        <w:rPr>
          <w:rFonts w:ascii="Verdana" w:hAnsi="Verdana"/>
          <w:sz w:val="22"/>
          <w:szCs w:val="22"/>
        </w:rPr>
        <w:t>See above</w:t>
      </w:r>
      <w:r w:rsidRPr="006E0274">
        <w:rPr>
          <w:rFonts w:ascii="Verdana" w:hAnsi="Verdana"/>
          <w:sz w:val="22"/>
          <w:szCs w:val="22"/>
        </w:rPr>
        <w:t>.</w:t>
      </w:r>
    </w:p>
    <w:p w:rsidR="00B92712" w:rsidRPr="006E0274" w:rsidP="006B0F9F">
      <w:pPr>
        <w:rPr>
          <w:rFonts w:ascii="Verdana" w:hAnsi="Verdana"/>
          <w:i/>
          <w:iCs/>
          <w:sz w:val="22"/>
          <w:szCs w:val="22"/>
        </w:rPr>
      </w:pPr>
      <w:r w:rsidRPr="006E0274">
        <w:rPr>
          <w:rFonts w:ascii="Verdana" w:hAnsi="Verdana"/>
          <w:i/>
          <w:iCs/>
          <w:sz w:val="22"/>
          <w:szCs w:val="22"/>
        </w:rPr>
        <w:t>Overseas jurisdiction</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In September 2025, the ASA clarified that non-paid</w:t>
      </w:r>
      <w:r w:rsidRPr="006E0274" w:rsidR="00865D03">
        <w:rPr>
          <w:rFonts w:ascii="Verdana" w:hAnsi="Verdana"/>
          <w:sz w:val="22"/>
          <w:szCs w:val="22"/>
        </w:rPr>
        <w:t>-for</w:t>
      </w:r>
      <w:r w:rsidRPr="006E0274">
        <w:rPr>
          <w:rFonts w:ascii="Verdana" w:hAnsi="Verdana"/>
          <w:sz w:val="22"/>
          <w:szCs w:val="22"/>
        </w:rPr>
        <w:t xml:space="preserve"> </w:t>
      </w:r>
      <w:r w:rsidRPr="006E0274" w:rsidR="009F3014">
        <w:rPr>
          <w:rFonts w:ascii="Verdana" w:hAnsi="Verdana"/>
          <w:sz w:val="22"/>
          <w:szCs w:val="22"/>
        </w:rPr>
        <w:t xml:space="preserve">online </w:t>
      </w:r>
      <w:r w:rsidRPr="006E0274">
        <w:rPr>
          <w:rFonts w:ascii="Verdana" w:hAnsi="Verdana"/>
          <w:sz w:val="22"/>
          <w:szCs w:val="22"/>
        </w:rPr>
        <w:t xml:space="preserve">advertising by </w:t>
      </w:r>
      <w:r w:rsidRPr="006E0274" w:rsidR="00677558">
        <w:rPr>
          <w:rFonts w:ascii="Verdana" w:hAnsi="Verdana"/>
          <w:sz w:val="22"/>
          <w:szCs w:val="22"/>
        </w:rPr>
        <w:t xml:space="preserve">UK-licensed </w:t>
      </w:r>
      <w:r w:rsidRPr="006E0274">
        <w:rPr>
          <w:rFonts w:ascii="Verdana" w:hAnsi="Verdana"/>
          <w:sz w:val="22"/>
          <w:szCs w:val="22"/>
        </w:rPr>
        <w:t>gambling operators registered overseas</w:t>
      </w:r>
      <w:r w:rsidRPr="006E0274" w:rsidR="00311E22">
        <w:rPr>
          <w:rFonts w:ascii="Verdana" w:hAnsi="Verdana"/>
          <w:sz w:val="22"/>
          <w:szCs w:val="22"/>
        </w:rPr>
        <w:t xml:space="preserve"> fell within its remit</w:t>
      </w:r>
      <w:r w:rsidRPr="006E0274">
        <w:rPr>
          <w:rFonts w:ascii="Verdana" w:hAnsi="Verdana"/>
          <w:sz w:val="22"/>
          <w:szCs w:val="22"/>
        </w:rPr>
        <w:t>. The ASA termed this an “extension” of its remit.</w:t>
      </w:r>
      <w:r>
        <w:rPr>
          <w:rStyle w:val="FootnoteReference"/>
          <w:rFonts w:ascii="Verdana" w:hAnsi="Verdana"/>
          <w:sz w:val="22"/>
          <w:szCs w:val="22"/>
        </w:rPr>
        <w:footnoteReference w:id="9"/>
      </w:r>
    </w:p>
    <w:p w:rsidR="00B92712" w:rsidRPr="006E0274" w:rsidP="006B0F9F">
      <w:pPr>
        <w:pStyle w:val="ListParagraph"/>
        <w:numPr>
          <w:ilvl w:val="0"/>
          <w:numId w:val="22"/>
        </w:numPr>
        <w:contextualSpacing w:val="0"/>
        <w:rPr>
          <w:rFonts w:ascii="Verdana" w:hAnsi="Verdana"/>
          <w:sz w:val="22"/>
          <w:szCs w:val="22"/>
        </w:rPr>
      </w:pPr>
      <w:r w:rsidRPr="006E0274">
        <w:rPr>
          <w:rFonts w:ascii="Verdana" w:hAnsi="Verdana"/>
          <w:sz w:val="22"/>
          <w:szCs w:val="22"/>
        </w:rPr>
        <w:t xml:space="preserve">Prior to this change of policy, the Gambling Commission’s Licence Conditions and the ASA’s interpretation of its remit were therefore incompatible. Before the change of policy, did the ASA dismiss complaints regarding non-paid-for </w:t>
      </w:r>
      <w:r w:rsidRPr="006E0274" w:rsidR="00644EEA">
        <w:rPr>
          <w:rFonts w:ascii="Verdana" w:hAnsi="Verdana"/>
          <w:sz w:val="22"/>
          <w:szCs w:val="22"/>
        </w:rPr>
        <w:t xml:space="preserve">online </w:t>
      </w:r>
      <w:r w:rsidRPr="006E0274">
        <w:rPr>
          <w:rFonts w:ascii="Verdana" w:hAnsi="Verdana"/>
          <w:sz w:val="22"/>
          <w:szCs w:val="22"/>
        </w:rPr>
        <w:t>advertising by non-UK-registered (but UK-licensed) gambling operators on the ground</w:t>
      </w:r>
      <w:r w:rsidRPr="006E0274" w:rsidR="00B316C7">
        <w:rPr>
          <w:rFonts w:ascii="Verdana" w:hAnsi="Verdana"/>
          <w:sz w:val="22"/>
          <w:szCs w:val="22"/>
        </w:rPr>
        <w:t xml:space="preserve">s </w:t>
      </w:r>
      <w:r w:rsidRPr="006E0274">
        <w:rPr>
          <w:rFonts w:ascii="Verdana" w:hAnsi="Verdana"/>
          <w:sz w:val="22"/>
          <w:szCs w:val="22"/>
        </w:rPr>
        <w:t>that they were outside its remit? If so, how many?</w:t>
      </w:r>
    </w:p>
    <w:p w:rsidR="000C259A" w:rsidRPr="006E0274" w:rsidP="006B0F9F">
      <w:pPr>
        <w:rPr>
          <w:rFonts w:ascii="Verdana" w:hAnsi="Verdana"/>
          <w:sz w:val="22"/>
          <w:szCs w:val="22"/>
        </w:rPr>
      </w:pPr>
      <w:r w:rsidRPr="006E0274">
        <w:rPr>
          <w:rFonts w:ascii="Verdana" w:hAnsi="Verdana"/>
          <w:sz w:val="22"/>
          <w:szCs w:val="22"/>
        </w:rPr>
        <w:t xml:space="preserve">Most </w:t>
      </w:r>
      <w:r w:rsidRPr="006E0274" w:rsidR="00D86FD1">
        <w:rPr>
          <w:rFonts w:ascii="Verdana" w:hAnsi="Verdana"/>
          <w:sz w:val="22"/>
          <w:szCs w:val="22"/>
        </w:rPr>
        <w:t>complaints</w:t>
      </w:r>
      <w:r w:rsidRPr="006E0274">
        <w:rPr>
          <w:rFonts w:ascii="Verdana" w:hAnsi="Verdana"/>
          <w:sz w:val="22"/>
          <w:szCs w:val="22"/>
        </w:rPr>
        <w:t xml:space="preserve"> </w:t>
      </w:r>
      <w:r w:rsidRPr="006E0274" w:rsidR="00A32AE6">
        <w:rPr>
          <w:rFonts w:ascii="Verdana" w:hAnsi="Verdana"/>
          <w:sz w:val="22"/>
          <w:szCs w:val="22"/>
        </w:rPr>
        <w:t>that the ASA has investigated</w:t>
      </w:r>
      <w:r w:rsidRPr="006E0274">
        <w:rPr>
          <w:rFonts w:ascii="Verdana" w:hAnsi="Verdana"/>
          <w:sz w:val="22"/>
          <w:szCs w:val="22"/>
        </w:rPr>
        <w:t xml:space="preserve"> and </w:t>
      </w:r>
      <w:r w:rsidRPr="006E0274" w:rsidR="00A32AE6">
        <w:rPr>
          <w:rFonts w:ascii="Verdana" w:hAnsi="Verdana"/>
          <w:sz w:val="22"/>
          <w:szCs w:val="22"/>
        </w:rPr>
        <w:t>issued rulings</w:t>
      </w:r>
      <w:r w:rsidRPr="006E0274">
        <w:rPr>
          <w:rFonts w:ascii="Verdana" w:hAnsi="Verdana"/>
          <w:sz w:val="22"/>
          <w:szCs w:val="22"/>
        </w:rPr>
        <w:t xml:space="preserve"> on in recent years have appeared in paid-for </w:t>
      </w:r>
      <w:r w:rsidRPr="006E0274" w:rsidR="00A32AE6">
        <w:rPr>
          <w:rFonts w:ascii="Verdana" w:hAnsi="Verdana"/>
          <w:sz w:val="22"/>
          <w:szCs w:val="22"/>
        </w:rPr>
        <w:t>advertising space.</w:t>
      </w:r>
      <w:r w:rsidRPr="006E0274">
        <w:rPr>
          <w:rFonts w:ascii="Verdana" w:hAnsi="Verdana"/>
          <w:sz w:val="22"/>
          <w:szCs w:val="22"/>
        </w:rPr>
        <w:t xml:space="preserve"> When an ad appears in paid-for space there is no question that the ASA has jurisdiction over those that target UK consumers.</w:t>
      </w:r>
    </w:p>
    <w:p w:rsidR="00A42C06" w:rsidRPr="006E0274" w:rsidP="006B0F9F">
      <w:pPr>
        <w:rPr>
          <w:rFonts w:ascii="Verdana" w:hAnsi="Verdana"/>
          <w:sz w:val="22"/>
          <w:szCs w:val="22"/>
        </w:rPr>
      </w:pPr>
      <w:r w:rsidRPr="006E0274">
        <w:rPr>
          <w:rFonts w:ascii="Verdana" w:hAnsi="Verdana"/>
          <w:sz w:val="22"/>
          <w:szCs w:val="22"/>
        </w:rPr>
        <w:t>Up until recent</w:t>
      </w:r>
      <w:r w:rsidRPr="006E0274" w:rsidR="0094617A">
        <w:rPr>
          <w:rFonts w:ascii="Verdana" w:hAnsi="Verdana"/>
          <w:sz w:val="22"/>
          <w:szCs w:val="22"/>
        </w:rPr>
        <w:t>ly</w:t>
      </w:r>
      <w:r w:rsidRPr="006E0274">
        <w:rPr>
          <w:rFonts w:ascii="Verdana" w:hAnsi="Verdana"/>
          <w:sz w:val="22"/>
          <w:szCs w:val="22"/>
        </w:rPr>
        <w:t>, the picture has been more complex for ads that appear in non-paid for space, such as</w:t>
      </w:r>
      <w:r w:rsidRPr="006E0274" w:rsidR="08CBE3E8">
        <w:rPr>
          <w:rFonts w:ascii="Verdana" w:hAnsi="Verdana"/>
          <w:sz w:val="22"/>
          <w:szCs w:val="22"/>
        </w:rPr>
        <w:t xml:space="preserve"> on o</w:t>
      </w:r>
      <w:r w:rsidRPr="006E0274" w:rsidR="046FE074">
        <w:rPr>
          <w:rFonts w:ascii="Verdana" w:hAnsi="Verdana"/>
          <w:sz w:val="22"/>
          <w:szCs w:val="22"/>
        </w:rPr>
        <w:t xml:space="preserve">perators’ </w:t>
      </w:r>
      <w:r w:rsidRPr="006E0274">
        <w:rPr>
          <w:rFonts w:ascii="Verdana" w:hAnsi="Verdana"/>
          <w:sz w:val="22"/>
          <w:szCs w:val="22"/>
        </w:rPr>
        <w:t xml:space="preserve">websites or social media feeds. The </w:t>
      </w:r>
      <w:r>
        <w:fldChar w:fldCharType="begin"/>
      </w:r>
      <w:r>
        <w:instrText xml:space="preserve"> HYPERLINK "https://www.asa.org.uk/advice-online/remit-country-of-origin.html" </w:instrText>
      </w:r>
      <w:r>
        <w:fldChar w:fldCharType="separate"/>
      </w:r>
      <w:r w:rsidRPr="006E0274">
        <w:rPr>
          <w:rStyle w:val="Hyperlink"/>
          <w:rFonts w:ascii="Verdana" w:hAnsi="Verdana"/>
          <w:color w:val="auto"/>
          <w:sz w:val="22"/>
          <w:szCs w:val="22"/>
        </w:rPr>
        <w:t>factors</w:t>
      </w:r>
      <w:r>
        <w:fldChar w:fldCharType="end"/>
      </w:r>
      <w:r w:rsidRPr="006E0274">
        <w:rPr>
          <w:rFonts w:ascii="Verdana" w:hAnsi="Verdana"/>
          <w:sz w:val="22"/>
          <w:szCs w:val="22"/>
        </w:rPr>
        <w:t xml:space="preserve"> that might bring a social media post into jurisdiction were complex and</w:t>
      </w:r>
      <w:r w:rsidRPr="006E0274" w:rsidR="00035DAB">
        <w:rPr>
          <w:rFonts w:ascii="Verdana" w:hAnsi="Verdana"/>
          <w:sz w:val="22"/>
          <w:szCs w:val="22"/>
        </w:rPr>
        <w:t xml:space="preserve"> included</w:t>
      </w:r>
      <w:r w:rsidRPr="006E0274">
        <w:rPr>
          <w:rFonts w:ascii="Verdana" w:hAnsi="Verdana"/>
          <w:sz w:val="22"/>
          <w:szCs w:val="22"/>
        </w:rPr>
        <w:t xml:space="preserve"> </w:t>
      </w:r>
      <w:r w:rsidRPr="006E0274">
        <w:rPr>
          <w:rFonts w:ascii="Verdana" w:hAnsi="Verdana"/>
          <w:sz w:val="22"/>
          <w:szCs w:val="22"/>
        </w:rPr>
        <w:t xml:space="preserve">the registered country of the parent company and whether companies based in non-UK jurisdictions had an equivalent advertising regulator that we could refer cases to. </w:t>
      </w:r>
      <w:r w:rsidRPr="006E0274" w:rsidR="00A32AE6">
        <w:rPr>
          <w:rFonts w:ascii="Verdana" w:hAnsi="Verdana"/>
          <w:sz w:val="22"/>
          <w:szCs w:val="22"/>
        </w:rPr>
        <w:t>Consequently</w:t>
      </w:r>
      <w:r w:rsidRPr="006E0274">
        <w:rPr>
          <w:rFonts w:ascii="Verdana" w:hAnsi="Verdana"/>
          <w:sz w:val="22"/>
          <w:szCs w:val="22"/>
        </w:rPr>
        <w:t>,</w:t>
      </w:r>
      <w:r w:rsidRPr="006E0274" w:rsidR="00BA0D11">
        <w:rPr>
          <w:rFonts w:ascii="Verdana" w:hAnsi="Verdana"/>
          <w:sz w:val="22"/>
          <w:szCs w:val="22"/>
        </w:rPr>
        <w:t xml:space="preserve"> the ASA</w:t>
      </w:r>
      <w:r w:rsidRPr="006E0274">
        <w:rPr>
          <w:rFonts w:ascii="Verdana" w:hAnsi="Verdana"/>
          <w:sz w:val="22"/>
          <w:szCs w:val="22"/>
        </w:rPr>
        <w:t xml:space="preserve"> had jurisdiction to regulate the non-paid for social media ads of UK-registered gambling operators but not operators registered in non-UK jurisdictions. </w:t>
      </w:r>
      <w:r w:rsidRPr="006E0274" w:rsidR="002843B6">
        <w:rPr>
          <w:rFonts w:ascii="Verdana" w:hAnsi="Verdana"/>
          <w:sz w:val="22"/>
          <w:szCs w:val="22"/>
        </w:rPr>
        <w:t xml:space="preserve">But where an equivalent </w:t>
      </w:r>
      <w:r w:rsidRPr="006E0274" w:rsidR="005268FD">
        <w:rPr>
          <w:rFonts w:ascii="Verdana" w:hAnsi="Verdana"/>
          <w:sz w:val="22"/>
          <w:szCs w:val="22"/>
        </w:rPr>
        <w:t xml:space="preserve">advertising regulator </w:t>
      </w:r>
      <w:r w:rsidRPr="006E0274" w:rsidR="00552275">
        <w:rPr>
          <w:rFonts w:ascii="Verdana" w:hAnsi="Verdana"/>
          <w:sz w:val="22"/>
          <w:szCs w:val="22"/>
        </w:rPr>
        <w:t xml:space="preserve">existed which had a cross-border referral process with us in place we would refer the complaints to the relevant authority in the country in which the marketer </w:t>
      </w:r>
      <w:r w:rsidRPr="006E0274" w:rsidR="5EF2D786">
        <w:rPr>
          <w:rFonts w:ascii="Verdana" w:hAnsi="Verdana"/>
          <w:sz w:val="22"/>
          <w:szCs w:val="22"/>
        </w:rPr>
        <w:t>wa</w:t>
      </w:r>
      <w:r w:rsidRPr="006E0274" w:rsidR="00552275">
        <w:rPr>
          <w:rFonts w:ascii="Verdana" w:hAnsi="Verdana"/>
          <w:sz w:val="22"/>
          <w:szCs w:val="22"/>
        </w:rPr>
        <w:t>s registered</w:t>
      </w:r>
      <w:r w:rsidRPr="006E0274" w:rsidR="00621227">
        <w:rPr>
          <w:rFonts w:ascii="Verdana" w:hAnsi="Verdana"/>
          <w:sz w:val="22"/>
          <w:szCs w:val="22"/>
        </w:rPr>
        <w:t xml:space="preserve">. </w:t>
      </w:r>
    </w:p>
    <w:p w:rsidR="00A42C06" w:rsidRPr="006E0274" w:rsidP="006B0F9F">
      <w:pPr>
        <w:rPr>
          <w:rFonts w:ascii="Verdana" w:hAnsi="Verdana"/>
          <w:sz w:val="22"/>
          <w:szCs w:val="22"/>
        </w:rPr>
      </w:pPr>
      <w:r w:rsidRPr="006E0274">
        <w:rPr>
          <w:rFonts w:ascii="Verdana" w:hAnsi="Verdana"/>
          <w:sz w:val="22"/>
          <w:szCs w:val="22"/>
        </w:rPr>
        <w:t>Between 2019 and</w:t>
      </w:r>
      <w:r w:rsidRPr="006E0274">
        <w:rPr>
          <w:rFonts w:ascii="Verdana" w:hAnsi="Verdana"/>
          <w:sz w:val="22"/>
          <w:szCs w:val="22"/>
        </w:rPr>
        <w:t xml:space="preserve"> the clarification</w:t>
      </w:r>
      <w:r w:rsidRPr="006E0274" w:rsidR="00A035BB">
        <w:rPr>
          <w:rFonts w:ascii="Verdana" w:hAnsi="Verdana"/>
          <w:sz w:val="22"/>
          <w:szCs w:val="22"/>
        </w:rPr>
        <w:t xml:space="preserve"> in September 2025</w:t>
      </w:r>
      <w:r w:rsidRPr="006E0274">
        <w:rPr>
          <w:rFonts w:ascii="Verdana" w:hAnsi="Verdana"/>
          <w:sz w:val="22"/>
          <w:szCs w:val="22"/>
        </w:rPr>
        <w:t>,</w:t>
      </w:r>
      <w:r w:rsidRPr="006E0274" w:rsidR="009855E0">
        <w:rPr>
          <w:rFonts w:ascii="Verdana" w:hAnsi="Verdana"/>
          <w:sz w:val="22"/>
          <w:szCs w:val="22"/>
        </w:rPr>
        <w:t xml:space="preserve"> 17 complaints</w:t>
      </w:r>
      <w:r w:rsidRPr="006E0274">
        <w:rPr>
          <w:rFonts w:ascii="Verdana" w:hAnsi="Verdana"/>
          <w:sz w:val="22"/>
          <w:szCs w:val="22"/>
        </w:rPr>
        <w:t xml:space="preserve"> concerning non-paid-for online advertising by overseas-registered operators</w:t>
      </w:r>
      <w:r w:rsidRPr="006E0274" w:rsidR="0071779C">
        <w:rPr>
          <w:rFonts w:ascii="Verdana" w:hAnsi="Verdana"/>
          <w:sz w:val="22"/>
          <w:szCs w:val="22"/>
        </w:rPr>
        <w:t xml:space="preserve"> were </w:t>
      </w:r>
      <w:r w:rsidRPr="006E0274">
        <w:rPr>
          <w:rFonts w:ascii="Verdana" w:hAnsi="Verdana"/>
          <w:sz w:val="22"/>
          <w:szCs w:val="22"/>
        </w:rPr>
        <w:t>outside the ASA's remit. For non-UK registered companies</w:t>
      </w:r>
      <w:r w:rsidRPr="006E0274" w:rsidR="6833A3B6">
        <w:rPr>
          <w:rFonts w:ascii="Verdana" w:hAnsi="Verdana"/>
          <w:sz w:val="22"/>
          <w:szCs w:val="22"/>
        </w:rPr>
        <w:t>’</w:t>
      </w:r>
      <w:r w:rsidRPr="006E0274">
        <w:rPr>
          <w:rFonts w:ascii="Verdana" w:hAnsi="Verdana"/>
          <w:sz w:val="22"/>
          <w:szCs w:val="22"/>
        </w:rPr>
        <w:t xml:space="preserve"> non-paid for advertising, </w:t>
      </w:r>
      <w:r w:rsidRPr="006E0274" w:rsidR="58D4A8A1">
        <w:rPr>
          <w:rFonts w:ascii="Verdana" w:hAnsi="Verdana"/>
          <w:sz w:val="22"/>
          <w:szCs w:val="22"/>
        </w:rPr>
        <w:t xml:space="preserve">whether </w:t>
      </w:r>
      <w:r w:rsidRPr="006E0274" w:rsidR="0071779C">
        <w:rPr>
          <w:rFonts w:ascii="Verdana" w:hAnsi="Verdana"/>
          <w:sz w:val="22"/>
          <w:szCs w:val="22"/>
        </w:rPr>
        <w:t xml:space="preserve">we </w:t>
      </w:r>
      <w:r w:rsidRPr="006E0274">
        <w:rPr>
          <w:rFonts w:ascii="Verdana" w:hAnsi="Verdana"/>
          <w:sz w:val="22"/>
          <w:szCs w:val="22"/>
        </w:rPr>
        <w:t xml:space="preserve">took alternative actions </w:t>
      </w:r>
      <w:r w:rsidRPr="006E0274" w:rsidR="20163840">
        <w:rPr>
          <w:rFonts w:ascii="Verdana" w:hAnsi="Verdana"/>
          <w:sz w:val="22"/>
          <w:szCs w:val="22"/>
        </w:rPr>
        <w:t>was</w:t>
      </w:r>
      <w:r w:rsidRPr="006E0274">
        <w:rPr>
          <w:rFonts w:ascii="Verdana" w:hAnsi="Verdana"/>
          <w:sz w:val="22"/>
          <w:szCs w:val="22"/>
        </w:rPr>
        <w:t xml:space="preserve"> dependent on the geographic location of the registered gambling operator. </w:t>
      </w:r>
      <w:r w:rsidRPr="006E0274" w:rsidR="00A76834">
        <w:rPr>
          <w:rFonts w:ascii="Verdana" w:hAnsi="Verdana"/>
          <w:sz w:val="22"/>
          <w:szCs w:val="22"/>
        </w:rPr>
        <w:t>In many cases, we referred to</w:t>
      </w:r>
      <w:r w:rsidRPr="006E0274" w:rsidR="001D2817">
        <w:rPr>
          <w:rFonts w:ascii="Verdana" w:hAnsi="Verdana"/>
          <w:sz w:val="22"/>
          <w:szCs w:val="22"/>
        </w:rPr>
        <w:t xml:space="preserve"> </w:t>
      </w:r>
      <w:r w:rsidRPr="006E0274" w:rsidR="0070793C">
        <w:rPr>
          <w:rFonts w:ascii="Verdana" w:hAnsi="Verdana"/>
          <w:sz w:val="22"/>
          <w:szCs w:val="22"/>
        </w:rPr>
        <w:t xml:space="preserve">an equivalent advertising regulator oversees via </w:t>
      </w:r>
      <w:r w:rsidRPr="006E0274" w:rsidR="001D2817">
        <w:rPr>
          <w:rFonts w:ascii="Verdana" w:hAnsi="Verdana"/>
          <w:sz w:val="22"/>
          <w:szCs w:val="22"/>
        </w:rPr>
        <w:t>the European Advertising Standards Alliance</w:t>
      </w:r>
      <w:r w:rsidRPr="006E0274" w:rsidR="00A76834">
        <w:rPr>
          <w:rFonts w:ascii="Verdana" w:hAnsi="Verdana"/>
          <w:sz w:val="22"/>
          <w:szCs w:val="22"/>
        </w:rPr>
        <w:t xml:space="preserve"> </w:t>
      </w:r>
      <w:r w:rsidRPr="006E0274" w:rsidR="001D2817">
        <w:rPr>
          <w:rFonts w:ascii="Verdana" w:hAnsi="Verdana"/>
          <w:sz w:val="22"/>
          <w:szCs w:val="22"/>
        </w:rPr>
        <w:t>(</w:t>
      </w:r>
      <w:r w:rsidRPr="006E0274" w:rsidR="00A76834">
        <w:rPr>
          <w:rFonts w:ascii="Verdana" w:hAnsi="Verdana"/>
          <w:sz w:val="22"/>
          <w:szCs w:val="22"/>
        </w:rPr>
        <w:t>EASA</w:t>
      </w:r>
      <w:r w:rsidRPr="006E0274" w:rsidR="001D2817">
        <w:rPr>
          <w:rFonts w:ascii="Verdana" w:hAnsi="Verdana"/>
          <w:sz w:val="22"/>
          <w:szCs w:val="22"/>
        </w:rPr>
        <w:t>)</w:t>
      </w:r>
      <w:r w:rsidRPr="006E0274" w:rsidR="00A76834">
        <w:rPr>
          <w:rFonts w:ascii="Verdana" w:hAnsi="Verdana"/>
          <w:sz w:val="22"/>
          <w:szCs w:val="22"/>
        </w:rPr>
        <w:t xml:space="preserve">. </w:t>
      </w:r>
      <w:r w:rsidRPr="006E0274" w:rsidR="00F40382">
        <w:rPr>
          <w:rFonts w:ascii="Verdana" w:hAnsi="Verdana"/>
          <w:sz w:val="22"/>
          <w:szCs w:val="22"/>
        </w:rPr>
        <w:t xml:space="preserve">There </w:t>
      </w:r>
      <w:r w:rsidRPr="006E0274" w:rsidR="004102BC">
        <w:rPr>
          <w:rFonts w:ascii="Verdana" w:hAnsi="Verdana"/>
          <w:sz w:val="22"/>
          <w:szCs w:val="22"/>
        </w:rPr>
        <w:t>were</w:t>
      </w:r>
      <w:r w:rsidRPr="006E0274" w:rsidR="00F40382">
        <w:rPr>
          <w:rFonts w:ascii="Verdana" w:hAnsi="Verdana"/>
          <w:sz w:val="22"/>
          <w:szCs w:val="22"/>
        </w:rPr>
        <w:t xml:space="preserve"> 14 </w:t>
      </w:r>
      <w:r w:rsidRPr="006E0274" w:rsidR="0070793C">
        <w:rPr>
          <w:rFonts w:ascii="Verdana" w:hAnsi="Verdana"/>
          <w:sz w:val="22"/>
          <w:szCs w:val="22"/>
        </w:rPr>
        <w:t>such</w:t>
      </w:r>
      <w:r w:rsidRPr="006E0274" w:rsidR="00F40382">
        <w:rPr>
          <w:rFonts w:ascii="Verdana" w:hAnsi="Verdana"/>
          <w:sz w:val="22"/>
          <w:szCs w:val="22"/>
        </w:rPr>
        <w:t xml:space="preserve"> referrals </w:t>
      </w:r>
      <w:r w:rsidRPr="006E0274" w:rsidR="007A034B">
        <w:rPr>
          <w:rFonts w:ascii="Verdana" w:hAnsi="Verdana"/>
          <w:sz w:val="22"/>
          <w:szCs w:val="22"/>
        </w:rPr>
        <w:t xml:space="preserve">between 2019-2025. </w:t>
      </w:r>
      <w:r w:rsidRPr="006E0274">
        <w:rPr>
          <w:rFonts w:ascii="Verdana" w:hAnsi="Verdana"/>
          <w:sz w:val="22"/>
          <w:szCs w:val="22"/>
        </w:rPr>
        <w:t xml:space="preserve">  </w:t>
      </w:r>
    </w:p>
    <w:p w:rsidR="00B92712" w:rsidRPr="006E0274" w:rsidP="006B0F9F">
      <w:pPr>
        <w:pStyle w:val="ListParagraph"/>
        <w:numPr>
          <w:ilvl w:val="0"/>
          <w:numId w:val="22"/>
        </w:numPr>
        <w:contextualSpacing w:val="0"/>
        <w:rPr>
          <w:rFonts w:ascii="Verdana" w:hAnsi="Verdana"/>
          <w:sz w:val="22"/>
          <w:szCs w:val="22"/>
        </w:rPr>
      </w:pPr>
      <w:r w:rsidRPr="006E0274">
        <w:rPr>
          <w:rFonts w:ascii="Verdana" w:hAnsi="Verdana"/>
          <w:sz w:val="22"/>
          <w:szCs w:val="22"/>
        </w:rPr>
        <w:t xml:space="preserve">Can the ASA provide an estimate of the </w:t>
      </w:r>
      <w:r w:rsidRPr="006E0274" w:rsidR="00BD0DE3">
        <w:rPr>
          <w:rFonts w:ascii="Verdana" w:hAnsi="Verdana"/>
          <w:sz w:val="22"/>
          <w:szCs w:val="22"/>
        </w:rPr>
        <w:t xml:space="preserve">total number of online gambling </w:t>
      </w:r>
      <w:r w:rsidRPr="006E0274" w:rsidR="00857ECD">
        <w:rPr>
          <w:rFonts w:ascii="Verdana" w:hAnsi="Verdana"/>
          <w:sz w:val="22"/>
          <w:szCs w:val="22"/>
        </w:rPr>
        <w:t>advertisements</w:t>
      </w:r>
      <w:r w:rsidRPr="006E0274" w:rsidR="00BD0DE3">
        <w:rPr>
          <w:rFonts w:ascii="Verdana" w:hAnsi="Verdana"/>
          <w:sz w:val="22"/>
          <w:szCs w:val="22"/>
        </w:rPr>
        <w:t xml:space="preserve"> </w:t>
      </w:r>
      <w:r w:rsidRPr="006E0274" w:rsidR="00A07C26">
        <w:rPr>
          <w:rFonts w:ascii="Verdana" w:hAnsi="Verdana"/>
          <w:sz w:val="22"/>
          <w:szCs w:val="22"/>
        </w:rPr>
        <w:t xml:space="preserve">by UK-licensed gambling operators registered overseas </w:t>
      </w:r>
      <w:r w:rsidRPr="006E0274">
        <w:rPr>
          <w:rFonts w:ascii="Verdana" w:hAnsi="Verdana"/>
          <w:sz w:val="22"/>
          <w:szCs w:val="22"/>
        </w:rPr>
        <w:t>that it defined as outside its remit prior to September 2025</w:t>
      </w:r>
      <w:r w:rsidRPr="006E0274" w:rsidR="00857ECD">
        <w:rPr>
          <w:rFonts w:ascii="Verdana" w:hAnsi="Verdana"/>
          <w:sz w:val="22"/>
          <w:szCs w:val="22"/>
        </w:rPr>
        <w:t xml:space="preserve">, and </w:t>
      </w:r>
      <w:r w:rsidRPr="006E0274" w:rsidR="00DC08A6">
        <w:rPr>
          <w:rFonts w:ascii="Verdana" w:hAnsi="Verdana"/>
          <w:sz w:val="22"/>
          <w:szCs w:val="22"/>
        </w:rPr>
        <w:t xml:space="preserve">an estimate </w:t>
      </w:r>
      <w:r w:rsidRPr="006E0274" w:rsidR="00377A42">
        <w:rPr>
          <w:rFonts w:ascii="Verdana" w:hAnsi="Verdana"/>
          <w:sz w:val="22"/>
          <w:szCs w:val="22"/>
        </w:rPr>
        <w:t xml:space="preserve">of </w:t>
      </w:r>
      <w:r w:rsidRPr="006E0274" w:rsidR="00857ECD">
        <w:rPr>
          <w:rFonts w:ascii="Verdana" w:hAnsi="Verdana"/>
          <w:sz w:val="22"/>
          <w:szCs w:val="22"/>
        </w:rPr>
        <w:t xml:space="preserve">what this represented as a proportion of </w:t>
      </w:r>
      <w:r w:rsidRPr="006E0274" w:rsidR="00B33E1F">
        <w:rPr>
          <w:rFonts w:ascii="Verdana" w:hAnsi="Verdana"/>
          <w:sz w:val="22"/>
          <w:szCs w:val="22"/>
        </w:rPr>
        <w:t xml:space="preserve">all </w:t>
      </w:r>
      <w:r w:rsidRPr="006E0274" w:rsidR="00857ECD">
        <w:rPr>
          <w:rFonts w:ascii="Verdana" w:hAnsi="Verdana"/>
          <w:sz w:val="22"/>
          <w:szCs w:val="22"/>
        </w:rPr>
        <w:t>online gambling advertising</w:t>
      </w:r>
      <w:r w:rsidRPr="006E0274" w:rsidR="00D80798">
        <w:rPr>
          <w:rFonts w:ascii="Verdana" w:hAnsi="Verdana"/>
          <w:sz w:val="22"/>
          <w:szCs w:val="22"/>
        </w:rPr>
        <w:t xml:space="preserve"> by UK-licensed gambling operators</w:t>
      </w:r>
      <w:r w:rsidRPr="006E0274">
        <w:rPr>
          <w:rFonts w:ascii="Verdana" w:hAnsi="Verdana"/>
          <w:sz w:val="22"/>
          <w:szCs w:val="22"/>
        </w:rPr>
        <w:t>?</w:t>
      </w:r>
    </w:p>
    <w:p w:rsidR="00920A6A" w:rsidRPr="006E0274" w:rsidP="006B0F9F">
      <w:pPr>
        <w:rPr>
          <w:rFonts w:ascii="Verdana" w:hAnsi="Verdana"/>
          <w:sz w:val="22"/>
          <w:szCs w:val="22"/>
        </w:rPr>
      </w:pPr>
      <w:r w:rsidRPr="006E0274">
        <w:rPr>
          <w:rFonts w:ascii="Verdana" w:hAnsi="Verdana"/>
          <w:sz w:val="22"/>
          <w:szCs w:val="22"/>
        </w:rPr>
        <w:t xml:space="preserve">No. </w:t>
      </w:r>
      <w:r w:rsidRPr="006E0274" w:rsidR="00ED04BC">
        <w:rPr>
          <w:rFonts w:ascii="Verdana" w:hAnsi="Verdana"/>
          <w:sz w:val="22"/>
          <w:szCs w:val="22"/>
        </w:rPr>
        <w:t>The ASA does</w:t>
      </w:r>
      <w:r w:rsidRPr="006E0274" w:rsidR="1AC5D09B">
        <w:rPr>
          <w:rFonts w:ascii="Verdana" w:hAnsi="Verdana"/>
          <w:sz w:val="22"/>
          <w:szCs w:val="22"/>
        </w:rPr>
        <w:t xml:space="preserve"> not capture that information.</w:t>
      </w:r>
      <w:r w:rsidRPr="006E0274" w:rsidR="004D1393">
        <w:rPr>
          <w:rFonts w:ascii="Verdana" w:hAnsi="Verdana"/>
          <w:sz w:val="22"/>
          <w:szCs w:val="22"/>
        </w:rPr>
        <w:t xml:space="preserve"> </w:t>
      </w:r>
    </w:p>
    <w:p w:rsidR="00B92712" w:rsidRPr="006E0274" w:rsidP="006B0F9F">
      <w:pPr>
        <w:pStyle w:val="ListParagraph"/>
        <w:numPr>
          <w:ilvl w:val="0"/>
          <w:numId w:val="22"/>
        </w:numPr>
        <w:contextualSpacing w:val="0"/>
        <w:rPr>
          <w:rFonts w:ascii="Verdana" w:hAnsi="Verdana"/>
          <w:sz w:val="22"/>
          <w:szCs w:val="22"/>
        </w:rPr>
      </w:pPr>
      <w:r w:rsidRPr="006E0274">
        <w:rPr>
          <w:rFonts w:ascii="Verdana" w:hAnsi="Verdana"/>
          <w:sz w:val="22"/>
          <w:szCs w:val="22"/>
        </w:rPr>
        <w:t>When did the ASA first become aware of this incompatibility? Why did it not act to correct this before September 2025?</w:t>
      </w:r>
    </w:p>
    <w:p w:rsidR="00BE202C" w:rsidRPr="006E0274" w:rsidP="006B0F9F">
      <w:pPr>
        <w:rPr>
          <w:rFonts w:ascii="Verdana" w:hAnsi="Verdana"/>
          <w:sz w:val="22"/>
          <w:szCs w:val="22"/>
        </w:rPr>
      </w:pPr>
      <w:r w:rsidRPr="006E0274">
        <w:rPr>
          <w:rFonts w:ascii="Verdana" w:hAnsi="Verdana"/>
          <w:sz w:val="22"/>
          <w:szCs w:val="22"/>
        </w:rPr>
        <w:t>Some</w:t>
      </w:r>
      <w:r w:rsidRPr="006E0274">
        <w:rPr>
          <w:rFonts w:ascii="Verdana" w:hAnsi="Verdana"/>
          <w:sz w:val="22"/>
          <w:szCs w:val="22"/>
        </w:rPr>
        <w:t xml:space="preserve"> gambling operators who advertise to UK consumers are registered outside the UK and </w:t>
      </w:r>
      <w:r w:rsidRPr="006E0274" w:rsidR="0088771B">
        <w:rPr>
          <w:rFonts w:ascii="Verdana" w:hAnsi="Verdana"/>
          <w:sz w:val="22"/>
          <w:szCs w:val="22"/>
        </w:rPr>
        <w:t>some</w:t>
      </w:r>
      <w:r w:rsidRPr="006E0274">
        <w:rPr>
          <w:rFonts w:ascii="Verdana" w:hAnsi="Verdana"/>
          <w:sz w:val="22"/>
          <w:szCs w:val="22"/>
        </w:rPr>
        <w:t xml:space="preserve"> of those are registered in Malta or Gibraltar</w:t>
      </w:r>
      <w:r w:rsidRPr="006E0274" w:rsidR="24872296">
        <w:rPr>
          <w:rFonts w:ascii="Verdana" w:hAnsi="Verdana"/>
          <w:sz w:val="22"/>
          <w:szCs w:val="22"/>
        </w:rPr>
        <w:t>,</w:t>
      </w:r>
      <w:r w:rsidRPr="006E0274">
        <w:rPr>
          <w:rFonts w:ascii="Verdana" w:hAnsi="Verdana"/>
          <w:sz w:val="22"/>
          <w:szCs w:val="22"/>
        </w:rPr>
        <w:t xml:space="preserve"> which have no suitable advertising regulator that we can refer concerns to.</w:t>
      </w:r>
      <w:r w:rsidRPr="006E0274" w:rsidR="002B666A">
        <w:rPr>
          <w:rFonts w:ascii="Verdana" w:hAnsi="Verdana"/>
          <w:sz w:val="22"/>
          <w:szCs w:val="22"/>
        </w:rPr>
        <w:t xml:space="preserve"> In such</w:t>
      </w:r>
      <w:r w:rsidRPr="006E0274" w:rsidR="00EA0C6F">
        <w:rPr>
          <w:rFonts w:ascii="Verdana" w:hAnsi="Verdana"/>
          <w:sz w:val="22"/>
          <w:szCs w:val="22"/>
        </w:rPr>
        <w:t xml:space="preserve"> jurisdictional</w:t>
      </w:r>
      <w:r w:rsidRPr="006E0274" w:rsidR="002B666A">
        <w:rPr>
          <w:rFonts w:ascii="Verdana" w:hAnsi="Verdana"/>
          <w:sz w:val="22"/>
          <w:szCs w:val="22"/>
        </w:rPr>
        <w:t xml:space="preserve"> cases the ASA</w:t>
      </w:r>
      <w:r w:rsidRPr="006E0274" w:rsidR="00EA0C6F">
        <w:rPr>
          <w:rFonts w:ascii="Verdana" w:hAnsi="Verdana"/>
          <w:sz w:val="22"/>
          <w:szCs w:val="22"/>
        </w:rPr>
        <w:t xml:space="preserve"> </w:t>
      </w:r>
      <w:r w:rsidRPr="006E0274" w:rsidR="00424325">
        <w:rPr>
          <w:rFonts w:ascii="Verdana" w:hAnsi="Verdana"/>
          <w:sz w:val="22"/>
          <w:szCs w:val="22"/>
        </w:rPr>
        <w:t>instead had a long</w:t>
      </w:r>
      <w:r w:rsidRPr="006E0274" w:rsidR="005730E5">
        <w:rPr>
          <w:rFonts w:ascii="Verdana" w:hAnsi="Verdana"/>
          <w:sz w:val="22"/>
          <w:szCs w:val="22"/>
        </w:rPr>
        <w:t>-</w:t>
      </w:r>
      <w:r w:rsidRPr="006E0274" w:rsidR="00424325">
        <w:rPr>
          <w:rFonts w:ascii="Verdana" w:hAnsi="Verdana"/>
          <w:sz w:val="22"/>
          <w:szCs w:val="22"/>
        </w:rPr>
        <w:t>standing approach</w:t>
      </w:r>
      <w:r w:rsidRPr="006E0274" w:rsidR="00BA6B7F">
        <w:rPr>
          <w:rFonts w:ascii="Verdana" w:hAnsi="Verdana"/>
          <w:sz w:val="22"/>
          <w:szCs w:val="22"/>
        </w:rPr>
        <w:t xml:space="preserve"> of </w:t>
      </w:r>
      <w:r w:rsidRPr="006E0274" w:rsidR="006D6C56">
        <w:rPr>
          <w:rFonts w:ascii="Verdana" w:hAnsi="Verdana"/>
          <w:sz w:val="22"/>
          <w:szCs w:val="22"/>
        </w:rPr>
        <w:t>“</w:t>
      </w:r>
      <w:r w:rsidRPr="006E0274" w:rsidR="00DC10E7">
        <w:rPr>
          <w:rFonts w:ascii="Verdana" w:hAnsi="Verdana"/>
          <w:sz w:val="22"/>
          <w:szCs w:val="22"/>
        </w:rPr>
        <w:t>tak</w:t>
      </w:r>
      <w:r w:rsidRPr="006E0274" w:rsidR="00BA6B7F">
        <w:rPr>
          <w:rFonts w:ascii="Verdana" w:hAnsi="Verdana"/>
          <w:sz w:val="22"/>
          <w:szCs w:val="22"/>
        </w:rPr>
        <w:t>ing</w:t>
      </w:r>
      <w:r w:rsidRPr="006E0274" w:rsidR="00EA0C6F">
        <w:rPr>
          <w:rFonts w:ascii="Verdana" w:hAnsi="Verdana"/>
          <w:sz w:val="22"/>
          <w:szCs w:val="22"/>
        </w:rPr>
        <w:t xml:space="preserve"> what action </w:t>
      </w:r>
      <w:r w:rsidRPr="006E0274" w:rsidR="00A613AF">
        <w:rPr>
          <w:rFonts w:ascii="Verdana" w:hAnsi="Verdana"/>
          <w:sz w:val="22"/>
          <w:szCs w:val="22"/>
        </w:rPr>
        <w:t>it c</w:t>
      </w:r>
      <w:r w:rsidRPr="006E0274" w:rsidR="00BA6B7F">
        <w:rPr>
          <w:rFonts w:ascii="Verdana" w:hAnsi="Verdana"/>
          <w:sz w:val="22"/>
          <w:szCs w:val="22"/>
        </w:rPr>
        <w:t>ould</w:t>
      </w:r>
      <w:r w:rsidRPr="006E0274" w:rsidR="006D6C56">
        <w:rPr>
          <w:rFonts w:ascii="Verdana" w:hAnsi="Verdana"/>
          <w:sz w:val="22"/>
          <w:szCs w:val="22"/>
        </w:rPr>
        <w:t>”</w:t>
      </w:r>
      <w:r w:rsidRPr="006E0274" w:rsidR="00A613AF">
        <w:rPr>
          <w:rFonts w:ascii="Verdana" w:hAnsi="Verdana"/>
          <w:sz w:val="22"/>
          <w:szCs w:val="22"/>
        </w:rPr>
        <w:t>.</w:t>
      </w:r>
      <w:r w:rsidRPr="006E0274" w:rsidR="00BA6B7F">
        <w:rPr>
          <w:rFonts w:ascii="Verdana" w:hAnsi="Verdana"/>
          <w:sz w:val="22"/>
          <w:szCs w:val="22"/>
        </w:rPr>
        <w:t xml:space="preserve"> This meant in practice that we would </w:t>
      </w:r>
      <w:r w:rsidRPr="006E0274" w:rsidR="0071741E">
        <w:rPr>
          <w:rFonts w:ascii="Verdana" w:hAnsi="Verdana"/>
          <w:sz w:val="22"/>
          <w:szCs w:val="22"/>
        </w:rPr>
        <w:t xml:space="preserve">assess the complaint ourselves and </w:t>
      </w:r>
      <w:r w:rsidRPr="006E0274" w:rsidR="008A6D2A">
        <w:rPr>
          <w:rFonts w:ascii="Verdana" w:hAnsi="Verdana"/>
          <w:sz w:val="22"/>
          <w:szCs w:val="22"/>
        </w:rPr>
        <w:t>take action</w:t>
      </w:r>
      <w:r w:rsidRPr="006E0274" w:rsidR="008A6D2A">
        <w:rPr>
          <w:rFonts w:ascii="Verdana" w:hAnsi="Verdana"/>
          <w:sz w:val="22"/>
          <w:szCs w:val="22"/>
        </w:rPr>
        <w:t xml:space="preserve"> including</w:t>
      </w:r>
      <w:r w:rsidRPr="006E0274" w:rsidR="004D7CBE">
        <w:rPr>
          <w:rFonts w:ascii="Verdana" w:hAnsi="Verdana"/>
          <w:sz w:val="22"/>
          <w:szCs w:val="22"/>
        </w:rPr>
        <w:t xml:space="preserve"> by</w:t>
      </w:r>
      <w:r w:rsidRPr="006E0274" w:rsidR="008A6D2A">
        <w:rPr>
          <w:rFonts w:ascii="Verdana" w:hAnsi="Verdana"/>
          <w:sz w:val="22"/>
          <w:szCs w:val="22"/>
        </w:rPr>
        <w:t xml:space="preserve"> investigating </w:t>
      </w:r>
      <w:r w:rsidRPr="006E0274" w:rsidR="0092563C">
        <w:rPr>
          <w:rFonts w:ascii="Verdana" w:hAnsi="Verdana"/>
          <w:sz w:val="22"/>
          <w:szCs w:val="22"/>
        </w:rPr>
        <w:t>and publishing rulings on it</w:t>
      </w:r>
      <w:r w:rsidRPr="006E0274" w:rsidR="00A613AF">
        <w:rPr>
          <w:rFonts w:ascii="Verdana" w:hAnsi="Verdana"/>
          <w:sz w:val="22"/>
          <w:szCs w:val="22"/>
        </w:rPr>
        <w:t>.</w:t>
      </w:r>
    </w:p>
    <w:p w:rsidR="00CD4E15" w:rsidRPr="006E0274" w:rsidP="006B0F9F">
      <w:pPr>
        <w:rPr>
          <w:rFonts w:ascii="Verdana" w:hAnsi="Verdana"/>
          <w:sz w:val="22"/>
          <w:szCs w:val="22"/>
        </w:rPr>
      </w:pPr>
      <w:r w:rsidRPr="006E0274">
        <w:rPr>
          <w:rFonts w:ascii="Verdana" w:hAnsi="Verdana"/>
          <w:sz w:val="22"/>
          <w:szCs w:val="22"/>
        </w:rPr>
        <w:t xml:space="preserve">In </w:t>
      </w:r>
      <w:r w:rsidRPr="006E0274" w:rsidR="003D30D3">
        <w:rPr>
          <w:rFonts w:ascii="Verdana" w:hAnsi="Verdana"/>
          <w:sz w:val="22"/>
          <w:szCs w:val="22"/>
        </w:rPr>
        <w:t xml:space="preserve">the summer of </w:t>
      </w:r>
      <w:r w:rsidRPr="006E0274">
        <w:rPr>
          <w:rFonts w:ascii="Verdana" w:hAnsi="Verdana"/>
          <w:sz w:val="22"/>
          <w:szCs w:val="22"/>
        </w:rPr>
        <w:t xml:space="preserve">2025, the ASA's assessment of a </w:t>
      </w:r>
      <w:r w:rsidRPr="006E0274" w:rsidR="00E72E58">
        <w:rPr>
          <w:rFonts w:ascii="Verdana" w:hAnsi="Verdana"/>
          <w:sz w:val="22"/>
          <w:szCs w:val="22"/>
        </w:rPr>
        <w:t>soon to be published ruling</w:t>
      </w:r>
      <w:r w:rsidRPr="006E0274">
        <w:rPr>
          <w:rFonts w:ascii="Verdana" w:hAnsi="Verdana"/>
          <w:sz w:val="22"/>
          <w:szCs w:val="22"/>
        </w:rPr>
        <w:t xml:space="preserve"> </w:t>
      </w:r>
      <w:r w:rsidRPr="006E0274" w:rsidR="00FE1862">
        <w:rPr>
          <w:rFonts w:ascii="Verdana" w:hAnsi="Verdana"/>
          <w:sz w:val="22"/>
          <w:szCs w:val="22"/>
        </w:rPr>
        <w:t>concerning</w:t>
      </w:r>
      <w:r w:rsidRPr="006E0274">
        <w:rPr>
          <w:rFonts w:ascii="Verdana" w:hAnsi="Verdana"/>
          <w:sz w:val="22"/>
          <w:szCs w:val="22"/>
        </w:rPr>
        <w:t xml:space="preserve"> </w:t>
      </w:r>
      <w:r w:rsidRPr="006E0274" w:rsidR="00103613">
        <w:rPr>
          <w:rFonts w:ascii="Verdana" w:hAnsi="Verdana"/>
          <w:sz w:val="22"/>
          <w:szCs w:val="22"/>
        </w:rPr>
        <w:t>a</w:t>
      </w:r>
      <w:r w:rsidRPr="006E0274">
        <w:rPr>
          <w:rFonts w:ascii="Verdana" w:hAnsi="Verdana"/>
          <w:sz w:val="22"/>
          <w:szCs w:val="22"/>
        </w:rPr>
        <w:t xml:space="preserve"> content marketing</w:t>
      </w:r>
      <w:r w:rsidRPr="006E0274" w:rsidR="00103613">
        <w:rPr>
          <w:rFonts w:ascii="Verdana" w:hAnsi="Verdana"/>
          <w:sz w:val="22"/>
          <w:szCs w:val="22"/>
        </w:rPr>
        <w:t xml:space="preserve"> ad</w:t>
      </w:r>
      <w:r w:rsidRPr="006E0274">
        <w:rPr>
          <w:rFonts w:ascii="Verdana" w:hAnsi="Verdana"/>
          <w:sz w:val="22"/>
          <w:szCs w:val="22"/>
        </w:rPr>
        <w:t>, which had been proactively identified for investigation</w:t>
      </w:r>
      <w:r w:rsidRPr="006E0274" w:rsidR="13F5D686">
        <w:rPr>
          <w:rFonts w:ascii="Verdana" w:hAnsi="Verdana"/>
          <w:sz w:val="22"/>
          <w:szCs w:val="22"/>
        </w:rPr>
        <w:t>,</w:t>
      </w:r>
      <w:r w:rsidRPr="006E0274" w:rsidR="00195269">
        <w:rPr>
          <w:rFonts w:ascii="Verdana" w:hAnsi="Verdana"/>
          <w:sz w:val="22"/>
          <w:szCs w:val="22"/>
        </w:rPr>
        <w:t xml:space="preserve"> </w:t>
      </w:r>
      <w:r w:rsidRPr="006E0274" w:rsidR="00DE0EF6">
        <w:rPr>
          <w:rFonts w:ascii="Verdana" w:hAnsi="Verdana"/>
          <w:sz w:val="22"/>
          <w:szCs w:val="22"/>
        </w:rPr>
        <w:t>for a company based in Malta</w:t>
      </w:r>
      <w:r w:rsidRPr="006E0274">
        <w:rPr>
          <w:rFonts w:ascii="Verdana" w:hAnsi="Verdana"/>
          <w:sz w:val="22"/>
          <w:szCs w:val="22"/>
        </w:rPr>
        <w:t xml:space="preserve">, highlighted a legal risk in </w:t>
      </w:r>
      <w:r w:rsidRPr="006E0274" w:rsidR="00EF23E0">
        <w:rPr>
          <w:rFonts w:ascii="Verdana" w:hAnsi="Verdana"/>
          <w:sz w:val="22"/>
          <w:szCs w:val="22"/>
        </w:rPr>
        <w:t>our</w:t>
      </w:r>
      <w:r w:rsidRPr="006E0274">
        <w:rPr>
          <w:rFonts w:ascii="Verdana" w:hAnsi="Verdana"/>
          <w:sz w:val="22"/>
          <w:szCs w:val="22"/>
        </w:rPr>
        <w:t xml:space="preserve"> application of </w:t>
      </w:r>
      <w:r w:rsidRPr="006E0274" w:rsidR="009F432F">
        <w:rPr>
          <w:rFonts w:ascii="Verdana" w:hAnsi="Verdana"/>
          <w:sz w:val="22"/>
          <w:szCs w:val="22"/>
        </w:rPr>
        <w:t>the</w:t>
      </w:r>
      <w:r w:rsidRPr="006E0274">
        <w:rPr>
          <w:rFonts w:ascii="Verdana" w:hAnsi="Verdana"/>
          <w:sz w:val="22"/>
          <w:szCs w:val="22"/>
        </w:rPr>
        <w:t xml:space="preserve"> </w:t>
      </w:r>
      <w:r w:rsidRPr="006E0274" w:rsidR="00901828">
        <w:rPr>
          <w:rFonts w:ascii="Verdana" w:hAnsi="Verdana"/>
          <w:sz w:val="22"/>
          <w:szCs w:val="22"/>
        </w:rPr>
        <w:t>‘take what action we can’ remit</w:t>
      </w:r>
      <w:r w:rsidRPr="006E0274">
        <w:rPr>
          <w:rFonts w:ascii="Verdana" w:hAnsi="Verdana"/>
          <w:sz w:val="22"/>
          <w:szCs w:val="22"/>
        </w:rPr>
        <w:t xml:space="preserve"> approach. </w:t>
      </w:r>
      <w:r w:rsidRPr="006E0274" w:rsidR="00EF23E0">
        <w:rPr>
          <w:rFonts w:ascii="Verdana" w:hAnsi="Verdana"/>
          <w:sz w:val="22"/>
          <w:szCs w:val="22"/>
        </w:rPr>
        <w:t>T</w:t>
      </w:r>
      <w:r w:rsidRPr="006E0274">
        <w:rPr>
          <w:rFonts w:ascii="Verdana" w:hAnsi="Verdana"/>
          <w:sz w:val="22"/>
          <w:szCs w:val="22"/>
        </w:rPr>
        <w:t>he ASA was</w:t>
      </w:r>
      <w:r w:rsidRPr="006E0274" w:rsidR="009603F3">
        <w:rPr>
          <w:rFonts w:ascii="Verdana" w:hAnsi="Verdana"/>
          <w:sz w:val="22"/>
          <w:szCs w:val="22"/>
        </w:rPr>
        <w:t xml:space="preserve"> advised it was</w:t>
      </w:r>
      <w:r w:rsidRPr="006E0274">
        <w:rPr>
          <w:rFonts w:ascii="Verdana" w:hAnsi="Verdana"/>
          <w:sz w:val="22"/>
          <w:szCs w:val="22"/>
        </w:rPr>
        <w:t xml:space="preserve"> unable to </w:t>
      </w:r>
      <w:r w:rsidRPr="006E0274" w:rsidR="009603F3">
        <w:rPr>
          <w:rFonts w:ascii="Verdana" w:hAnsi="Verdana"/>
          <w:sz w:val="22"/>
          <w:szCs w:val="22"/>
        </w:rPr>
        <w:t xml:space="preserve">safely </w:t>
      </w:r>
      <w:r w:rsidRPr="006E0274">
        <w:rPr>
          <w:rFonts w:ascii="Verdana" w:hAnsi="Verdana"/>
          <w:sz w:val="22"/>
          <w:szCs w:val="22"/>
        </w:rPr>
        <w:t>regulate non-paid-for advertising by companies registered in Malta or Gibraltar</w:t>
      </w:r>
      <w:r w:rsidRPr="006E0274" w:rsidR="009603F3">
        <w:rPr>
          <w:rFonts w:ascii="Verdana" w:hAnsi="Verdana"/>
          <w:sz w:val="22"/>
          <w:szCs w:val="22"/>
        </w:rPr>
        <w:t xml:space="preserve"> </w:t>
      </w:r>
      <w:r w:rsidRPr="006E0274" w:rsidR="009603F3">
        <w:rPr>
          <w:rFonts w:ascii="Verdana" w:hAnsi="Verdana"/>
          <w:sz w:val="22"/>
          <w:szCs w:val="22"/>
        </w:rPr>
        <w:t>on th</w:t>
      </w:r>
      <w:r w:rsidRPr="006E0274" w:rsidR="005A4931">
        <w:rPr>
          <w:rFonts w:ascii="Verdana" w:hAnsi="Verdana"/>
          <w:sz w:val="22"/>
          <w:szCs w:val="22"/>
        </w:rPr>
        <w:t>e basis of</w:t>
      </w:r>
      <w:r w:rsidRPr="006E0274" w:rsidR="005A4931">
        <w:rPr>
          <w:rFonts w:ascii="Verdana" w:hAnsi="Verdana"/>
          <w:sz w:val="22"/>
          <w:szCs w:val="22"/>
        </w:rPr>
        <w:t xml:space="preserve"> “taking what action we can”</w:t>
      </w:r>
      <w:r w:rsidRPr="006E0274">
        <w:rPr>
          <w:rFonts w:ascii="Verdana" w:hAnsi="Verdana"/>
          <w:sz w:val="22"/>
          <w:szCs w:val="22"/>
        </w:rPr>
        <w:t>.</w:t>
      </w:r>
    </w:p>
    <w:p w:rsidR="00B36533" w:rsidRPr="006E0274" w:rsidP="006B0F9F">
      <w:pPr>
        <w:rPr>
          <w:rFonts w:ascii="Verdana" w:hAnsi="Verdana"/>
          <w:sz w:val="22"/>
          <w:szCs w:val="22"/>
        </w:rPr>
      </w:pPr>
      <w:r w:rsidRPr="006E0274">
        <w:rPr>
          <w:rFonts w:ascii="Verdana" w:hAnsi="Verdana"/>
          <w:sz w:val="22"/>
          <w:szCs w:val="22"/>
        </w:rPr>
        <w:t xml:space="preserve">Consequently, </w:t>
      </w:r>
      <w:r>
        <w:fldChar w:fldCharType="begin"/>
      </w:r>
      <w:r>
        <w:instrText xml:space="preserve"> HYPERLINK "https://www.asa.org.uk/news/cap-code-extended-to-ensure-consistency-in-regulation-of-online-ads.html" </w:instrText>
      </w:r>
      <w:r>
        <w:fldChar w:fldCharType="separate"/>
      </w:r>
      <w:r w:rsidRPr="006E0274">
        <w:rPr>
          <w:rStyle w:val="Hyperlink"/>
          <w:rFonts w:ascii="Verdana" w:hAnsi="Verdana"/>
          <w:color w:val="auto"/>
          <w:sz w:val="22"/>
          <w:szCs w:val="22"/>
        </w:rPr>
        <w:t>CAP’s Regulatory Statement</w:t>
      </w:r>
      <w:r>
        <w:fldChar w:fldCharType="end"/>
      </w:r>
      <w:r w:rsidRPr="006E0274">
        <w:rPr>
          <w:rFonts w:ascii="Verdana" w:hAnsi="Verdana"/>
          <w:sz w:val="22"/>
          <w:szCs w:val="22"/>
        </w:rPr>
        <w:t xml:space="preserve">, published </w:t>
      </w:r>
      <w:r w:rsidRPr="006E0274" w:rsidR="00CD4E15">
        <w:rPr>
          <w:rFonts w:ascii="Verdana" w:hAnsi="Verdana"/>
          <w:sz w:val="22"/>
          <w:szCs w:val="22"/>
        </w:rPr>
        <w:t>in</w:t>
      </w:r>
      <w:r w:rsidRPr="006E0274">
        <w:rPr>
          <w:rFonts w:ascii="Verdana" w:hAnsi="Verdana"/>
          <w:sz w:val="22"/>
          <w:szCs w:val="22"/>
        </w:rPr>
        <w:t xml:space="preserve"> September 2025, extended the Scope of the CAP Code to include non-paid-for online ads targeting UK consumers, by advertisers who are subject to licen</w:t>
      </w:r>
      <w:r w:rsidRPr="006E0274" w:rsidR="00444580">
        <w:rPr>
          <w:rFonts w:ascii="Verdana" w:hAnsi="Verdana"/>
          <w:sz w:val="22"/>
          <w:szCs w:val="22"/>
        </w:rPr>
        <w:t>s</w:t>
      </w:r>
      <w:r w:rsidRPr="006E0274">
        <w:rPr>
          <w:rFonts w:ascii="Verdana" w:hAnsi="Verdana"/>
          <w:sz w:val="22"/>
          <w:szCs w:val="22"/>
        </w:rPr>
        <w:t xml:space="preserve">ing conditions from a UK </w:t>
      </w:r>
      <w:r w:rsidRPr="006E0274">
        <w:rPr>
          <w:rFonts w:ascii="Verdana" w:hAnsi="Verdana"/>
          <w:sz w:val="22"/>
          <w:szCs w:val="22"/>
        </w:rPr>
        <w:t>public authority or other UK public body which requires compliance with the CAP Code – even if the advertiser does not have a UK-registered company address.</w:t>
      </w:r>
    </w:p>
    <w:p w:rsidR="00B36533" w:rsidRPr="006E0274" w:rsidP="006B0F9F">
      <w:pPr>
        <w:rPr>
          <w:rFonts w:ascii="Verdana" w:hAnsi="Verdana"/>
          <w:sz w:val="22"/>
          <w:szCs w:val="22"/>
        </w:rPr>
      </w:pPr>
      <w:r w:rsidRPr="006E0274">
        <w:rPr>
          <w:rFonts w:ascii="Verdana" w:hAnsi="Verdana"/>
          <w:sz w:val="22"/>
          <w:szCs w:val="22"/>
        </w:rPr>
        <w:t xml:space="preserve">The Codes are kept under ongoing </w:t>
      </w:r>
      <w:r w:rsidRPr="006E0274">
        <w:rPr>
          <w:rFonts w:ascii="Verdana" w:hAnsi="Verdana"/>
          <w:sz w:val="22"/>
          <w:szCs w:val="22"/>
        </w:rPr>
        <w:t>review</w:t>
      </w:r>
      <w:r w:rsidRPr="006E0274">
        <w:rPr>
          <w:rFonts w:ascii="Verdana" w:hAnsi="Verdana"/>
          <w:sz w:val="22"/>
          <w:szCs w:val="22"/>
        </w:rPr>
        <w:t xml:space="preserve"> and we welcome new evidence which might suggest they need to offer additional protection, where existing protections may no longer be necessary or where other regulatory action might be warranted. This is a rigorous process that requires time to ensure all available evidence is carefully assessed.</w:t>
      </w:r>
      <w:r w:rsidRPr="006E0274" w:rsidR="005556E5">
        <w:rPr>
          <w:rFonts w:ascii="Verdana" w:hAnsi="Verdana"/>
          <w:sz w:val="22"/>
          <w:szCs w:val="22"/>
        </w:rPr>
        <w:t xml:space="preserve"> We have listened to concerns about jurisdictional matters. </w:t>
      </w:r>
    </w:p>
    <w:p w:rsidR="00B92712" w:rsidRPr="006E0274" w:rsidP="006B0F9F">
      <w:pPr>
        <w:pStyle w:val="ListParagraph"/>
        <w:numPr>
          <w:ilvl w:val="0"/>
          <w:numId w:val="22"/>
        </w:numPr>
        <w:contextualSpacing w:val="0"/>
        <w:rPr>
          <w:rFonts w:ascii="Verdana" w:hAnsi="Verdana"/>
          <w:sz w:val="22"/>
          <w:szCs w:val="22"/>
        </w:rPr>
      </w:pPr>
      <w:r w:rsidRPr="006E0274">
        <w:rPr>
          <w:rFonts w:ascii="Verdana" w:hAnsi="Verdana"/>
          <w:sz w:val="22"/>
          <w:szCs w:val="22"/>
        </w:rPr>
        <w:t>The ASA stated that it would review the impact of this policy change. Has it observed a substantial increase in complaints which would previously have been ruled out of scope? Has it upheld any complaints in this category?</w:t>
      </w:r>
    </w:p>
    <w:p w:rsidR="008C6F3D" w:rsidRPr="006E0274" w:rsidP="006B0F9F">
      <w:pPr>
        <w:rPr>
          <w:rFonts w:ascii="Verdana" w:hAnsi="Verdana"/>
          <w:sz w:val="22"/>
          <w:szCs w:val="22"/>
        </w:rPr>
      </w:pPr>
      <w:r w:rsidRPr="006E0274">
        <w:rPr>
          <w:rFonts w:ascii="Verdana" w:hAnsi="Verdana"/>
          <w:sz w:val="22"/>
          <w:szCs w:val="22"/>
        </w:rPr>
        <w:t xml:space="preserve">The </w:t>
      </w:r>
      <w:r w:rsidRPr="006E0274">
        <w:rPr>
          <w:rFonts w:ascii="Verdana" w:hAnsi="Verdana"/>
          <w:sz w:val="22"/>
          <w:szCs w:val="22"/>
        </w:rPr>
        <w:t xml:space="preserve">review was confined to the drafting and scope of the policy change. </w:t>
      </w:r>
      <w:r w:rsidRPr="006E0274" w:rsidR="00AC5DA1">
        <w:rPr>
          <w:rFonts w:ascii="Verdana" w:hAnsi="Verdana"/>
          <w:sz w:val="22"/>
          <w:szCs w:val="22"/>
        </w:rPr>
        <w:t>No organisation has raised any objection to it</w:t>
      </w:r>
      <w:r w:rsidRPr="006E0274" w:rsidR="003A3276">
        <w:rPr>
          <w:rFonts w:ascii="Verdana" w:hAnsi="Verdana"/>
          <w:sz w:val="22"/>
          <w:szCs w:val="22"/>
        </w:rPr>
        <w:t xml:space="preserve">, and some gambling operators have welcomed the change. </w:t>
      </w:r>
    </w:p>
    <w:p w:rsidR="00A1326A" w:rsidRPr="006E0274" w:rsidP="006B0F9F">
      <w:pPr>
        <w:rPr>
          <w:rFonts w:ascii="Verdana" w:hAnsi="Verdana"/>
          <w:sz w:val="22"/>
          <w:szCs w:val="22"/>
        </w:rPr>
      </w:pPr>
      <w:r w:rsidRPr="006E0274">
        <w:rPr>
          <w:rFonts w:ascii="Verdana" w:hAnsi="Verdana"/>
          <w:sz w:val="22"/>
          <w:szCs w:val="22"/>
        </w:rPr>
        <w:t xml:space="preserve">The ASA has </w:t>
      </w:r>
      <w:r w:rsidRPr="006E0274" w:rsidR="00A22933">
        <w:rPr>
          <w:rFonts w:ascii="Verdana" w:hAnsi="Verdana"/>
          <w:sz w:val="22"/>
          <w:szCs w:val="22"/>
        </w:rPr>
        <w:t xml:space="preserve">published </w:t>
      </w:r>
      <w:r w:rsidRPr="006E0274" w:rsidR="00910236">
        <w:rPr>
          <w:rFonts w:ascii="Verdana" w:hAnsi="Verdana"/>
          <w:sz w:val="22"/>
          <w:szCs w:val="22"/>
        </w:rPr>
        <w:t xml:space="preserve">one </w:t>
      </w:r>
      <w:r w:rsidRPr="006E0274">
        <w:rPr>
          <w:rFonts w:ascii="Verdana" w:hAnsi="Verdana"/>
          <w:sz w:val="22"/>
          <w:szCs w:val="22"/>
        </w:rPr>
        <w:t xml:space="preserve">ruling </w:t>
      </w:r>
      <w:r w:rsidRPr="006E0274" w:rsidR="00910236">
        <w:rPr>
          <w:rFonts w:ascii="Verdana" w:hAnsi="Verdana"/>
          <w:sz w:val="22"/>
          <w:szCs w:val="22"/>
        </w:rPr>
        <w:t>since the policy</w:t>
      </w:r>
      <w:r w:rsidRPr="006E0274">
        <w:rPr>
          <w:rFonts w:ascii="Verdana" w:hAnsi="Verdana"/>
          <w:sz w:val="22"/>
          <w:szCs w:val="22"/>
        </w:rPr>
        <w:t xml:space="preserve"> change</w:t>
      </w:r>
      <w:r w:rsidRPr="006E0274" w:rsidR="00910236">
        <w:rPr>
          <w:rFonts w:ascii="Verdana" w:hAnsi="Verdana"/>
          <w:sz w:val="22"/>
          <w:szCs w:val="22"/>
        </w:rPr>
        <w:t xml:space="preserve">, </w:t>
      </w:r>
      <w:r w:rsidRPr="006E0274" w:rsidR="00A22933">
        <w:rPr>
          <w:rFonts w:ascii="Verdana" w:hAnsi="Verdana"/>
          <w:sz w:val="22"/>
          <w:szCs w:val="22"/>
        </w:rPr>
        <w:t>the recent</w:t>
      </w:r>
      <w:r w:rsidRPr="006E0274">
        <w:rPr>
          <w:rFonts w:ascii="Verdana" w:hAnsi="Verdana"/>
          <w:sz w:val="22"/>
          <w:szCs w:val="22"/>
        </w:rPr>
        <w:t xml:space="preserve"> </w:t>
      </w:r>
      <w:r>
        <w:fldChar w:fldCharType="begin"/>
      </w:r>
      <w:r>
        <w:instrText xml:space="preserve"> HYPERLINK "https://www.asa.org.uk/rulings/betway-ltd-a25-1319927-betway-ltd.html" </w:instrText>
      </w:r>
      <w:r>
        <w:fldChar w:fldCharType="separate"/>
      </w:r>
      <w:r w:rsidRPr="006E0274">
        <w:rPr>
          <w:rStyle w:val="Hyperlink"/>
          <w:rFonts w:ascii="Verdana" w:hAnsi="Verdana"/>
          <w:color w:val="auto"/>
          <w:sz w:val="22"/>
          <w:szCs w:val="22"/>
        </w:rPr>
        <w:t xml:space="preserve">Betway </w:t>
      </w:r>
      <w:r w:rsidRPr="006E0274" w:rsidR="009A6E7A">
        <w:rPr>
          <w:rStyle w:val="Hyperlink"/>
          <w:rFonts w:ascii="Verdana" w:hAnsi="Verdana"/>
          <w:color w:val="auto"/>
          <w:sz w:val="22"/>
          <w:szCs w:val="22"/>
        </w:rPr>
        <w:t>(2026)</w:t>
      </w:r>
      <w:r>
        <w:fldChar w:fldCharType="end"/>
      </w:r>
      <w:r w:rsidRPr="006E0274" w:rsidR="00A22933">
        <w:rPr>
          <w:rFonts w:ascii="Verdana" w:hAnsi="Verdana"/>
          <w:sz w:val="22"/>
          <w:szCs w:val="22"/>
        </w:rPr>
        <w:t xml:space="preserve"> ad appearing on social media (own site)</w:t>
      </w:r>
      <w:r w:rsidRPr="006E0274" w:rsidR="004C53EA">
        <w:rPr>
          <w:rFonts w:ascii="Verdana" w:hAnsi="Verdana"/>
          <w:sz w:val="22"/>
          <w:szCs w:val="22"/>
        </w:rPr>
        <w:t xml:space="preserve"> where the gambling operator is based in Malta</w:t>
      </w:r>
      <w:r w:rsidRPr="006E0274" w:rsidR="00A22933">
        <w:rPr>
          <w:rFonts w:ascii="Verdana" w:hAnsi="Verdana"/>
          <w:sz w:val="22"/>
          <w:szCs w:val="22"/>
        </w:rPr>
        <w:t xml:space="preserve">. </w:t>
      </w:r>
    </w:p>
    <w:p w:rsidR="001526DC" w:rsidRPr="006E0274" w:rsidP="006B0F9F">
      <w:pPr>
        <w:rPr>
          <w:rFonts w:ascii="Verdana" w:hAnsi="Verdana"/>
          <w:sz w:val="22"/>
          <w:szCs w:val="22"/>
        </w:rPr>
      </w:pPr>
      <w:r w:rsidRPr="006E0274">
        <w:rPr>
          <w:rFonts w:ascii="Verdana" w:hAnsi="Verdana"/>
          <w:sz w:val="22"/>
          <w:szCs w:val="22"/>
        </w:rPr>
        <w:t xml:space="preserve">The ASA has </w:t>
      </w:r>
      <w:r w:rsidRPr="006E0274">
        <w:rPr>
          <w:rFonts w:ascii="Verdana" w:hAnsi="Verdana"/>
          <w:sz w:val="22"/>
          <w:szCs w:val="22"/>
        </w:rPr>
        <w:t xml:space="preserve">seen no evidence of an increase in complaints that concern ads from companies registered in Malta or Gibraltar </w:t>
      </w:r>
      <w:r w:rsidRPr="006E0274">
        <w:rPr>
          <w:rFonts w:ascii="Verdana" w:hAnsi="Verdana"/>
          <w:sz w:val="22"/>
          <w:szCs w:val="22"/>
        </w:rPr>
        <w:t>as a result of</w:t>
      </w:r>
      <w:r w:rsidRPr="006E0274">
        <w:rPr>
          <w:rFonts w:ascii="Verdana" w:hAnsi="Verdana"/>
          <w:sz w:val="22"/>
          <w:szCs w:val="22"/>
        </w:rPr>
        <w:t xml:space="preserve"> the jurisdictional changes</w:t>
      </w:r>
      <w:r w:rsidRPr="006E0274" w:rsidR="009165EE">
        <w:rPr>
          <w:rFonts w:ascii="Verdana" w:hAnsi="Verdana"/>
          <w:sz w:val="22"/>
          <w:szCs w:val="22"/>
        </w:rPr>
        <w:t xml:space="preserve">. </w:t>
      </w:r>
    </w:p>
    <w:p w:rsidR="00B92712" w:rsidRPr="006E0274" w:rsidP="006B0F9F">
      <w:pPr>
        <w:pStyle w:val="ListParagraph"/>
        <w:numPr>
          <w:ilvl w:val="0"/>
          <w:numId w:val="22"/>
        </w:numPr>
        <w:contextualSpacing w:val="0"/>
        <w:rPr>
          <w:rFonts w:ascii="Verdana" w:hAnsi="Verdana"/>
          <w:sz w:val="22"/>
          <w:szCs w:val="22"/>
        </w:rPr>
      </w:pPr>
      <w:r w:rsidRPr="006E0274">
        <w:rPr>
          <w:rFonts w:ascii="Verdana" w:hAnsi="Verdana"/>
          <w:sz w:val="22"/>
          <w:szCs w:val="22"/>
        </w:rPr>
        <w:t>What reassurance can the ASA provide that it has and will continue to take steps to co-operate more effectively with the Gambling Commission, DCMS, and other relevant bodies to ensure that the overall regulatory framework for gambling advertising is not undermined by jurisdictional loopholes?</w:t>
      </w:r>
    </w:p>
    <w:p w:rsidR="00AC5DA1" w:rsidRPr="006E0274" w:rsidP="006B0F9F">
      <w:pPr>
        <w:rPr>
          <w:rFonts w:ascii="Verdana" w:hAnsi="Verdana"/>
          <w:sz w:val="22"/>
          <w:szCs w:val="22"/>
        </w:rPr>
      </w:pPr>
      <w:r w:rsidRPr="006E0274">
        <w:rPr>
          <w:rFonts w:ascii="Verdana" w:hAnsi="Verdana"/>
          <w:sz w:val="22"/>
          <w:szCs w:val="22"/>
        </w:rPr>
        <w:t>The ASA maintains close working relationships with the Gambling Commission, government departments and other stakeholders to ensure an effective and coherent regulatory framework.</w:t>
      </w:r>
    </w:p>
    <w:p w:rsidR="00B92712" w:rsidRPr="006E0274" w:rsidP="006B0F9F">
      <w:pPr>
        <w:rPr>
          <w:rFonts w:ascii="Verdana" w:hAnsi="Verdana"/>
          <w:b/>
          <w:i/>
          <w:sz w:val="22"/>
          <w:szCs w:val="22"/>
        </w:rPr>
      </w:pPr>
      <w:r w:rsidRPr="006E0274">
        <w:rPr>
          <w:rFonts w:ascii="Verdana" w:hAnsi="Verdana"/>
          <w:b/>
          <w:i/>
          <w:sz w:val="22"/>
          <w:szCs w:val="22"/>
        </w:rPr>
        <w:t>Social media companies</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 xml:space="preserve">In judgments on several complaints about gambling advertisements on social media, when considering whether the advertisement was likely to be of </w:t>
      </w:r>
      <w:r w:rsidRPr="006E0274" w:rsidR="001406BE">
        <w:rPr>
          <w:rFonts w:ascii="Verdana" w:hAnsi="Verdana"/>
          <w:sz w:val="22"/>
          <w:szCs w:val="22"/>
        </w:rPr>
        <w:t>“</w:t>
      </w:r>
      <w:r w:rsidRPr="006E0274">
        <w:rPr>
          <w:rFonts w:ascii="Verdana" w:hAnsi="Verdana"/>
          <w:sz w:val="22"/>
          <w:szCs w:val="22"/>
        </w:rPr>
        <w:t>strong appeal</w:t>
      </w:r>
      <w:r w:rsidRPr="006E0274" w:rsidR="001406BE">
        <w:rPr>
          <w:rFonts w:ascii="Verdana" w:hAnsi="Verdana"/>
          <w:sz w:val="22"/>
          <w:szCs w:val="22"/>
        </w:rPr>
        <w:t>”</w:t>
      </w:r>
      <w:r w:rsidRPr="006E0274">
        <w:rPr>
          <w:rFonts w:ascii="Verdana" w:hAnsi="Verdana"/>
          <w:sz w:val="22"/>
          <w:szCs w:val="22"/>
        </w:rPr>
        <w:t xml:space="preserve"> to under-18s and thus in breach of CAP Code 16.3.12,</w:t>
      </w:r>
      <w:r>
        <w:rPr>
          <w:rStyle w:val="FootnoteReference"/>
          <w:rFonts w:ascii="Verdana" w:hAnsi="Verdana"/>
          <w:sz w:val="22"/>
          <w:szCs w:val="22"/>
        </w:rPr>
        <w:footnoteReference w:id="10"/>
      </w:r>
      <w:r w:rsidRPr="006E0274">
        <w:rPr>
          <w:rFonts w:ascii="Verdana" w:hAnsi="Verdana"/>
          <w:sz w:val="22"/>
          <w:szCs w:val="22"/>
        </w:rPr>
        <w:t xml:space="preserve"> the ASA has taken into account limitations to the robustness of self-verification of users’ ages by the relevant social media platform at the time the advertisement was displayed. That under-18s could not have been “entirely excluded from the audience” was held to be a factor that </w:t>
      </w:r>
      <w:r w:rsidRPr="006E0274">
        <w:rPr>
          <w:rFonts w:ascii="Verdana" w:hAnsi="Verdana"/>
          <w:sz w:val="22"/>
          <w:szCs w:val="22"/>
        </w:rPr>
        <w:t>necessitated assessment of the risk of the advertisement’s appeal to under-18s on a case-by-case basis.</w:t>
      </w:r>
      <w:r>
        <w:rPr>
          <w:rStyle w:val="FootnoteReference"/>
          <w:rFonts w:ascii="Verdana" w:hAnsi="Verdana"/>
          <w:sz w:val="22"/>
          <w:szCs w:val="22"/>
        </w:rPr>
        <w:footnoteReference w:id="11"/>
      </w:r>
    </w:p>
    <w:p w:rsidR="00AC5DA1" w:rsidRPr="006E0274" w:rsidP="006B0F9F">
      <w:pPr>
        <w:pStyle w:val="ListParagraph"/>
        <w:numPr>
          <w:ilvl w:val="0"/>
          <w:numId w:val="25"/>
        </w:numPr>
        <w:contextualSpacing w:val="0"/>
        <w:rPr>
          <w:rFonts w:ascii="Verdana" w:hAnsi="Verdana"/>
          <w:sz w:val="22"/>
          <w:szCs w:val="22"/>
        </w:rPr>
      </w:pPr>
      <w:r w:rsidRPr="006E0274">
        <w:rPr>
          <w:rFonts w:ascii="Verdana" w:hAnsi="Verdana"/>
          <w:sz w:val="22"/>
          <w:szCs w:val="22"/>
        </w:rPr>
        <w:t>Does the ASA consider that social media companies should do more to prevent under-18s’ exposure to marketing by licensed operators?</w:t>
      </w:r>
    </w:p>
    <w:p w:rsidR="00AC5DA1" w:rsidRPr="006E0274" w:rsidP="006B0F9F">
      <w:pPr>
        <w:rPr>
          <w:rFonts w:ascii="Verdana" w:hAnsi="Verdana"/>
          <w:sz w:val="22"/>
          <w:szCs w:val="22"/>
        </w:rPr>
      </w:pPr>
      <w:r w:rsidRPr="006E0274">
        <w:rPr>
          <w:rFonts w:ascii="Verdana" w:hAnsi="Verdana"/>
          <w:sz w:val="22"/>
          <w:szCs w:val="22"/>
        </w:rPr>
        <w:t>Platforms have an important role in preventing under-18s from being exposed to age-restricted advertising and should continue improving age-assurance and targeting controls.</w:t>
      </w:r>
    </w:p>
    <w:p w:rsidR="00B92712" w:rsidRPr="006E0274" w:rsidP="006B0F9F">
      <w:pPr>
        <w:pStyle w:val="ListParagraph"/>
        <w:numPr>
          <w:ilvl w:val="0"/>
          <w:numId w:val="25"/>
        </w:numPr>
        <w:contextualSpacing w:val="0"/>
        <w:rPr>
          <w:rFonts w:ascii="Verdana" w:hAnsi="Verdana"/>
          <w:sz w:val="22"/>
          <w:szCs w:val="22"/>
        </w:rPr>
      </w:pPr>
      <w:r w:rsidRPr="006E0274">
        <w:rPr>
          <w:rFonts w:ascii="Verdana" w:hAnsi="Verdana"/>
          <w:sz w:val="22"/>
          <w:szCs w:val="22"/>
        </w:rPr>
        <w:t>In the ASA’s view, what would be the benefits and risks of the creation of a statutory duty on social media companies to ensure that they prevent exposure of under-18s to gambling marketing by both licensed and unlicensed operators?</w:t>
      </w:r>
    </w:p>
    <w:p w:rsidR="00D97410" w:rsidRPr="006E0274" w:rsidP="006B0F9F">
      <w:pPr>
        <w:rPr>
          <w:rFonts w:ascii="Verdana" w:hAnsi="Verdana"/>
          <w:sz w:val="22"/>
          <w:szCs w:val="22"/>
        </w:rPr>
      </w:pPr>
      <w:r w:rsidRPr="006E0274">
        <w:rPr>
          <w:rFonts w:ascii="Verdana" w:hAnsi="Verdana"/>
          <w:sz w:val="22"/>
          <w:szCs w:val="22"/>
        </w:rPr>
        <w:t xml:space="preserve">This is </w:t>
      </w:r>
      <w:r w:rsidRPr="006E0274" w:rsidR="00707BF2">
        <w:rPr>
          <w:rFonts w:ascii="Verdana" w:hAnsi="Verdana"/>
          <w:sz w:val="22"/>
          <w:szCs w:val="22"/>
        </w:rPr>
        <w:t>a matter</w:t>
      </w:r>
      <w:r w:rsidRPr="006E0274">
        <w:rPr>
          <w:rFonts w:ascii="Verdana" w:hAnsi="Verdana"/>
          <w:sz w:val="22"/>
          <w:szCs w:val="22"/>
        </w:rPr>
        <w:t xml:space="preserve"> for Government and Parliament</w:t>
      </w:r>
      <w:r w:rsidRPr="006E0274" w:rsidR="00707BF2">
        <w:rPr>
          <w:rFonts w:ascii="Verdana" w:hAnsi="Verdana"/>
          <w:sz w:val="22"/>
          <w:szCs w:val="22"/>
        </w:rPr>
        <w:t xml:space="preserve"> to debate.</w:t>
      </w:r>
    </w:p>
    <w:p w:rsidR="003E3F2D" w:rsidRPr="006E0274" w:rsidP="006B0F9F">
      <w:pPr>
        <w:rPr>
          <w:rFonts w:ascii="Verdana" w:hAnsi="Verdana"/>
          <w:sz w:val="22"/>
          <w:szCs w:val="22"/>
        </w:rPr>
      </w:pPr>
      <w:r w:rsidRPr="006E0274">
        <w:rPr>
          <w:rFonts w:ascii="Verdana" w:hAnsi="Verdana"/>
          <w:sz w:val="22"/>
          <w:szCs w:val="22"/>
        </w:rPr>
        <w:t>That said, p</w:t>
      </w:r>
      <w:r w:rsidRPr="006E0274">
        <w:rPr>
          <w:rFonts w:ascii="Verdana" w:hAnsi="Verdana"/>
          <w:sz w:val="22"/>
          <w:szCs w:val="22"/>
        </w:rPr>
        <w:t xml:space="preserve">rotecting children </w:t>
      </w:r>
      <w:r w:rsidRPr="006E0274" w:rsidR="647E66EB">
        <w:rPr>
          <w:rFonts w:ascii="Verdana" w:hAnsi="Verdana"/>
          <w:sz w:val="22"/>
          <w:szCs w:val="22"/>
        </w:rPr>
        <w:t xml:space="preserve">is </w:t>
      </w:r>
      <w:r w:rsidRPr="006E0274">
        <w:rPr>
          <w:rFonts w:ascii="Verdana" w:hAnsi="Verdana"/>
          <w:sz w:val="22"/>
          <w:szCs w:val="22"/>
        </w:rPr>
        <w:t xml:space="preserve">a priority for the ASA. </w:t>
      </w:r>
      <w:r w:rsidRPr="006E0274" w:rsidR="31849EF4">
        <w:rPr>
          <w:rFonts w:ascii="Verdana" w:hAnsi="Verdana"/>
          <w:sz w:val="22"/>
          <w:szCs w:val="22"/>
        </w:rPr>
        <w:t>W</w:t>
      </w:r>
      <w:r w:rsidRPr="006E0274">
        <w:rPr>
          <w:rFonts w:ascii="Verdana" w:hAnsi="Verdana"/>
          <w:sz w:val="22"/>
          <w:szCs w:val="22"/>
        </w:rPr>
        <w:t xml:space="preserve">e invest in advanced tools and research to understand and monitor real-world exposure. </w:t>
      </w:r>
      <w:r w:rsidRPr="006E0274" w:rsidR="00D52C01">
        <w:rPr>
          <w:rFonts w:ascii="Verdana" w:hAnsi="Verdana"/>
          <w:sz w:val="22"/>
          <w:szCs w:val="22"/>
        </w:rPr>
        <w:t>Our</w:t>
      </w:r>
      <w:r w:rsidRPr="006E0274">
        <w:rPr>
          <w:rFonts w:ascii="Verdana" w:hAnsi="Verdana"/>
          <w:sz w:val="22"/>
          <w:szCs w:val="22"/>
        </w:rPr>
        <w:t xml:space="preserve"> work includes the use of child-avatar </w:t>
      </w:r>
      <w:r>
        <w:fldChar w:fldCharType="begin"/>
      </w:r>
      <w:r>
        <w:instrText xml:space="preserve"> HYPERLINK "https://www.asa.org.uk/news/calling-on-advertisers-to-make-better-use-of-online-targeting-tools-to-minimise-children-s-exposure-to-age-restricted-ads.html" </w:instrText>
      </w:r>
      <w:r>
        <w:fldChar w:fldCharType="separate"/>
      </w:r>
      <w:r w:rsidRPr="006E0274">
        <w:rPr>
          <w:rStyle w:val="Hyperlink"/>
          <w:rFonts w:ascii="Verdana" w:hAnsi="Verdana"/>
          <w:color w:val="auto"/>
          <w:sz w:val="22"/>
          <w:szCs w:val="22"/>
        </w:rPr>
        <w:t>technology</w:t>
      </w:r>
      <w:r>
        <w:fldChar w:fldCharType="end"/>
      </w:r>
      <w:r w:rsidRPr="006E0274">
        <w:rPr>
          <w:rFonts w:ascii="Verdana" w:hAnsi="Verdana"/>
          <w:sz w:val="22"/>
          <w:szCs w:val="22"/>
        </w:rPr>
        <w:t xml:space="preserve">, large web scraping and ad-monitoring </w:t>
      </w:r>
      <w:r>
        <w:fldChar w:fldCharType="begin"/>
      </w:r>
      <w:r>
        <w:instrText xml:space="preserve"> HYPERLINK "https://www.asa.org.uk/news/our-year-long-monitoring-sweeps-tackling-age-restricted-ads-on-children-s-websites-and-youtube-channels.html" </w:instrText>
      </w:r>
      <w:r>
        <w:fldChar w:fldCharType="separate"/>
      </w:r>
      <w:r w:rsidRPr="006E0274">
        <w:rPr>
          <w:rStyle w:val="Hyperlink"/>
          <w:rFonts w:ascii="Verdana" w:hAnsi="Verdana"/>
          <w:color w:val="auto"/>
          <w:sz w:val="22"/>
          <w:szCs w:val="22"/>
        </w:rPr>
        <w:t>tools</w:t>
      </w:r>
      <w:r>
        <w:fldChar w:fldCharType="end"/>
      </w:r>
      <w:r w:rsidRPr="006E0274">
        <w:rPr>
          <w:rFonts w:ascii="Verdana" w:hAnsi="Verdana"/>
          <w:sz w:val="22"/>
          <w:szCs w:val="22"/>
        </w:rPr>
        <w:t xml:space="preserve"> and </w:t>
      </w:r>
      <w:r>
        <w:fldChar w:fldCharType="begin"/>
      </w:r>
      <w:r>
        <w:instrText xml:space="preserve"> HYPERLINK "https://www.asa.org.uk/advice-and-resources/research-at-the-asa-and-cap/protecting-children-online.html" </w:instrText>
      </w:r>
      <w:r>
        <w:fldChar w:fldCharType="separate"/>
      </w:r>
      <w:r w:rsidRPr="006E0274">
        <w:rPr>
          <w:rStyle w:val="Hyperlink"/>
          <w:rFonts w:ascii="Verdana" w:hAnsi="Verdana"/>
          <w:color w:val="auto"/>
          <w:sz w:val="22"/>
          <w:szCs w:val="22"/>
        </w:rPr>
        <w:t>research</w:t>
      </w:r>
      <w:r>
        <w:fldChar w:fldCharType="end"/>
      </w:r>
      <w:r w:rsidRPr="006E0274">
        <w:rPr>
          <w:rFonts w:ascii="Verdana" w:hAnsi="Verdana"/>
          <w:sz w:val="22"/>
          <w:szCs w:val="22"/>
        </w:rPr>
        <w:t xml:space="preserve"> examining children’s exposure to age restricted advertising online, including gambling. </w:t>
      </w:r>
    </w:p>
    <w:p w:rsidR="00B92712" w:rsidRPr="006E0274" w:rsidP="006B0F9F">
      <w:pPr>
        <w:rPr>
          <w:rFonts w:ascii="Verdana" w:hAnsi="Verdana"/>
          <w:i/>
          <w:iCs/>
          <w:sz w:val="22"/>
          <w:szCs w:val="22"/>
        </w:rPr>
      </w:pPr>
      <w:r w:rsidRPr="006E0274">
        <w:rPr>
          <w:rFonts w:ascii="Verdana" w:hAnsi="Verdana"/>
          <w:i/>
          <w:iCs/>
          <w:sz w:val="22"/>
          <w:szCs w:val="22"/>
        </w:rPr>
        <w:t>Illegal marketing by unlicensed operators</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To what extent is there a risk that further restrictions on the visibility of advertising by licensed operators will increase the relative prominence of the illegal market and contribute to increased gambling harm?</w:t>
      </w:r>
    </w:p>
    <w:p w:rsidR="00CB4F02" w:rsidRPr="006E0274" w:rsidP="006B0F9F">
      <w:pPr>
        <w:rPr>
          <w:rFonts w:ascii="Verdana" w:hAnsi="Verdana"/>
          <w:sz w:val="22"/>
          <w:szCs w:val="22"/>
        </w:rPr>
      </w:pPr>
      <w:r w:rsidRPr="006E0274">
        <w:rPr>
          <w:rFonts w:ascii="Verdana" w:hAnsi="Verdana"/>
          <w:sz w:val="22"/>
          <w:szCs w:val="22"/>
        </w:rPr>
        <w:t xml:space="preserve">The ASA is </w:t>
      </w:r>
      <w:r w:rsidRPr="006E0274" w:rsidR="00AC5DA1">
        <w:rPr>
          <w:rFonts w:ascii="Verdana" w:hAnsi="Verdana"/>
          <w:sz w:val="22"/>
          <w:szCs w:val="22"/>
        </w:rPr>
        <w:t>not clear what is meant by “further restrictions on the visibility of advertising by licensed operators”</w:t>
      </w:r>
      <w:r w:rsidRPr="006E0274" w:rsidR="607321D0">
        <w:rPr>
          <w:rFonts w:ascii="Verdana" w:hAnsi="Verdana"/>
          <w:sz w:val="22"/>
          <w:szCs w:val="22"/>
        </w:rPr>
        <w:t>. The potential for restrictions to have the unint</w:t>
      </w:r>
      <w:r w:rsidRPr="006E0274" w:rsidR="5719D8FB">
        <w:rPr>
          <w:rFonts w:ascii="Verdana" w:hAnsi="Verdana"/>
          <w:sz w:val="22"/>
          <w:szCs w:val="22"/>
        </w:rPr>
        <w:t>e</w:t>
      </w:r>
      <w:r w:rsidRPr="006E0274" w:rsidR="607321D0">
        <w:rPr>
          <w:rFonts w:ascii="Verdana" w:hAnsi="Verdana"/>
          <w:sz w:val="22"/>
          <w:szCs w:val="22"/>
        </w:rPr>
        <w:t xml:space="preserve">nded consequence of </w:t>
      </w:r>
      <w:r w:rsidRPr="006E0274" w:rsidR="462BEC57">
        <w:rPr>
          <w:rFonts w:ascii="Verdana" w:hAnsi="Verdana"/>
          <w:sz w:val="22"/>
          <w:szCs w:val="22"/>
        </w:rPr>
        <w:t>increasing gambling harms via the illegal market is one important factor for policymakers to consider.</w:t>
      </w:r>
    </w:p>
    <w:p w:rsidR="00CB4F02" w:rsidRPr="006E0274" w:rsidP="006B0F9F">
      <w:pPr>
        <w:rPr>
          <w:rFonts w:ascii="Verdana" w:hAnsi="Verdana"/>
          <w:sz w:val="22"/>
          <w:szCs w:val="22"/>
        </w:rPr>
      </w:pPr>
      <w:r w:rsidRPr="006E0274">
        <w:rPr>
          <w:rFonts w:ascii="Verdana" w:hAnsi="Verdana"/>
          <w:sz w:val="22"/>
          <w:szCs w:val="22"/>
        </w:rPr>
        <w:t xml:space="preserve">While </w:t>
      </w:r>
      <w:r w:rsidRPr="006E0274" w:rsidR="00D52C01">
        <w:rPr>
          <w:rFonts w:ascii="Verdana" w:hAnsi="Verdana"/>
          <w:sz w:val="22"/>
          <w:szCs w:val="22"/>
        </w:rPr>
        <w:t>the ASA d</w:t>
      </w:r>
      <w:r w:rsidRPr="006E0274">
        <w:rPr>
          <w:rFonts w:ascii="Verdana" w:hAnsi="Verdana"/>
          <w:sz w:val="22"/>
          <w:szCs w:val="22"/>
        </w:rPr>
        <w:t>o</w:t>
      </w:r>
      <w:r w:rsidRPr="006E0274" w:rsidR="00D52C01">
        <w:rPr>
          <w:rFonts w:ascii="Verdana" w:hAnsi="Verdana"/>
          <w:sz w:val="22"/>
          <w:szCs w:val="22"/>
        </w:rPr>
        <w:t>es</w:t>
      </w:r>
      <w:r w:rsidRPr="006E0274">
        <w:rPr>
          <w:rFonts w:ascii="Verdana" w:hAnsi="Verdana"/>
          <w:sz w:val="22"/>
          <w:szCs w:val="22"/>
        </w:rPr>
        <w:t xml:space="preserve"> not directly regulate illegal operators, we play an active role in tackling their advertising by:</w:t>
      </w:r>
    </w:p>
    <w:p w:rsidR="00CB4F02" w:rsidRPr="006E0274" w:rsidP="006B0F9F">
      <w:pPr>
        <w:pStyle w:val="ListParagraph"/>
        <w:numPr>
          <w:ilvl w:val="0"/>
          <w:numId w:val="46"/>
        </w:numPr>
        <w:rPr>
          <w:rFonts w:ascii="Verdana" w:hAnsi="Verdana"/>
          <w:sz w:val="22"/>
          <w:szCs w:val="22"/>
        </w:rPr>
      </w:pPr>
      <w:r w:rsidRPr="006E0274">
        <w:rPr>
          <w:rFonts w:ascii="Verdana" w:hAnsi="Verdana"/>
          <w:sz w:val="22"/>
          <w:szCs w:val="22"/>
        </w:rPr>
        <w:t>Contributing intelligence to the Gambling Commission </w:t>
      </w:r>
    </w:p>
    <w:p w:rsidR="00CB4F02" w:rsidRPr="006E0274" w:rsidP="006B0F9F">
      <w:pPr>
        <w:pStyle w:val="ListParagraph"/>
        <w:numPr>
          <w:ilvl w:val="0"/>
          <w:numId w:val="46"/>
        </w:numPr>
        <w:rPr>
          <w:rFonts w:ascii="Verdana" w:hAnsi="Verdana"/>
          <w:sz w:val="22"/>
          <w:szCs w:val="22"/>
        </w:rPr>
      </w:pPr>
      <w:r w:rsidRPr="006E0274">
        <w:rPr>
          <w:rFonts w:ascii="Verdana" w:hAnsi="Verdana"/>
          <w:sz w:val="22"/>
          <w:szCs w:val="22"/>
        </w:rPr>
        <w:t>Working closely with major online platforms </w:t>
      </w:r>
    </w:p>
    <w:p w:rsidR="00CB4F02" w:rsidRPr="006E0274" w:rsidP="006B0F9F">
      <w:pPr>
        <w:pStyle w:val="ListParagraph"/>
        <w:numPr>
          <w:ilvl w:val="0"/>
          <w:numId w:val="46"/>
        </w:numPr>
        <w:rPr>
          <w:rFonts w:ascii="Verdana" w:hAnsi="Verdana"/>
          <w:sz w:val="22"/>
          <w:szCs w:val="22"/>
        </w:rPr>
      </w:pPr>
      <w:r w:rsidRPr="006E0274">
        <w:rPr>
          <w:rFonts w:ascii="Verdana" w:hAnsi="Verdana"/>
          <w:sz w:val="22"/>
          <w:szCs w:val="22"/>
        </w:rPr>
        <w:t>Chairing a subgroup on advertising within the Government’s Illegal Gambling Taskforce</w:t>
      </w:r>
    </w:p>
    <w:p w:rsidR="006E0274" w:rsidP="006B0F9F">
      <w:pPr>
        <w:rPr>
          <w:rFonts w:ascii="Verdana" w:hAnsi="Verdana"/>
          <w:sz w:val="22"/>
          <w:szCs w:val="22"/>
        </w:rPr>
      </w:pPr>
      <w:r w:rsidRPr="006E0274">
        <w:rPr>
          <w:rFonts w:ascii="Verdana" w:hAnsi="Verdana"/>
          <w:sz w:val="22"/>
          <w:szCs w:val="22"/>
        </w:rPr>
        <w:t>This has already led to progress in identifying and removing illegal advertising, including ads for “non</w:t>
      </w:r>
      <w:r w:rsidRPr="006E0274">
        <w:rPr>
          <w:rFonts w:ascii="Verdana" w:hAnsi="Verdana"/>
          <w:sz w:val="22"/>
          <w:szCs w:val="22"/>
        </w:rPr>
        <w:noBreakHyphen/>
        <w:t>GAMSTOP” operators. </w:t>
      </w:r>
    </w:p>
    <w:p w:rsidR="006E0274">
      <w:pPr>
        <w:rPr>
          <w:rFonts w:ascii="Verdana" w:hAnsi="Verdana"/>
          <w:sz w:val="22"/>
          <w:szCs w:val="22"/>
        </w:rPr>
      </w:pPr>
      <w:r>
        <w:rPr>
          <w:rFonts w:ascii="Verdana" w:hAnsi="Verdana"/>
          <w:sz w:val="22"/>
          <w:szCs w:val="22"/>
        </w:rPr>
        <w:br w:type="page"/>
      </w:r>
    </w:p>
    <w:p w:rsidR="00B92712" w:rsidRPr="006E0274" w:rsidP="006B0F9F">
      <w:pPr>
        <w:rPr>
          <w:rFonts w:ascii="Verdana" w:hAnsi="Verdana"/>
          <w:i/>
          <w:iCs/>
          <w:sz w:val="22"/>
          <w:szCs w:val="22"/>
        </w:rPr>
      </w:pPr>
      <w:r w:rsidRPr="006E0274">
        <w:rPr>
          <w:rFonts w:ascii="Verdana" w:hAnsi="Verdana"/>
          <w:i/>
          <w:iCs/>
          <w:sz w:val="22"/>
          <w:szCs w:val="22"/>
        </w:rPr>
        <w:t>Video games</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 xml:space="preserve">Has </w:t>
      </w:r>
      <w:r w:rsidRPr="006E0274" w:rsidR="006444C6">
        <w:rPr>
          <w:rFonts w:ascii="Verdana" w:hAnsi="Verdana"/>
          <w:sz w:val="22"/>
          <w:szCs w:val="22"/>
        </w:rPr>
        <w:t xml:space="preserve">the </w:t>
      </w:r>
      <w:r w:rsidRPr="006E0274">
        <w:rPr>
          <w:rFonts w:ascii="Verdana" w:hAnsi="Verdana"/>
          <w:sz w:val="22"/>
          <w:szCs w:val="22"/>
        </w:rPr>
        <w:t xml:space="preserve">CAP </w:t>
      </w:r>
      <w:r w:rsidRPr="006E0274">
        <w:rPr>
          <w:rFonts w:ascii="Verdana" w:hAnsi="Verdana"/>
          <w:sz w:val="22"/>
          <w:szCs w:val="22"/>
        </w:rPr>
        <w:t>made an assessment of</w:t>
      </w:r>
      <w:r w:rsidRPr="006E0274">
        <w:rPr>
          <w:rFonts w:ascii="Verdana" w:hAnsi="Verdana"/>
          <w:sz w:val="22"/>
          <w:szCs w:val="22"/>
        </w:rPr>
        <w:t xml:space="preserve"> the merits and risks of a ban on gambling advertisements in video games with a PEGI rating below 18?</w:t>
      </w:r>
    </w:p>
    <w:p w:rsidR="00AC5DA1" w:rsidRPr="006E0274" w:rsidP="006B0F9F">
      <w:pPr>
        <w:rPr>
          <w:rFonts w:ascii="Verdana" w:hAnsi="Verdana"/>
          <w:sz w:val="22"/>
          <w:szCs w:val="22"/>
        </w:rPr>
      </w:pPr>
      <w:r w:rsidRPr="006E0274">
        <w:rPr>
          <w:rFonts w:ascii="Verdana" w:hAnsi="Verdana"/>
          <w:sz w:val="22"/>
          <w:szCs w:val="22"/>
        </w:rPr>
        <w:t xml:space="preserve">No. CAP would consider any proposal </w:t>
      </w:r>
      <w:r w:rsidRPr="006E0274">
        <w:rPr>
          <w:rFonts w:ascii="Verdana" w:hAnsi="Verdana"/>
          <w:sz w:val="22"/>
          <w:szCs w:val="22"/>
        </w:rPr>
        <w:t>on the basis of</w:t>
      </w:r>
      <w:r w:rsidRPr="006E0274">
        <w:rPr>
          <w:rFonts w:ascii="Verdana" w:hAnsi="Verdana"/>
          <w:sz w:val="22"/>
          <w:szCs w:val="22"/>
        </w:rPr>
        <w:t xml:space="preserve"> evidence of harm, exposure, proportionality and practical enforceability.</w:t>
      </w:r>
    </w:p>
    <w:p w:rsidR="00B92712" w:rsidRPr="006E0274" w:rsidP="006B0F9F">
      <w:pPr>
        <w:rPr>
          <w:rFonts w:ascii="Verdana" w:hAnsi="Verdana"/>
          <w:i/>
          <w:iCs/>
          <w:sz w:val="22"/>
          <w:szCs w:val="22"/>
        </w:rPr>
      </w:pPr>
      <w:r w:rsidRPr="006E0274">
        <w:rPr>
          <w:rFonts w:ascii="Verdana" w:hAnsi="Verdana"/>
          <w:i/>
          <w:iCs/>
          <w:sz w:val="22"/>
          <w:szCs w:val="22"/>
        </w:rPr>
        <w:t>Advertising in sport</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 xml:space="preserve">The 2020 special inquiry committee recommended that gambling advertising on sports kits and advertising in </w:t>
      </w:r>
      <w:r w:rsidRPr="006E0274" w:rsidR="004B0C89">
        <w:rPr>
          <w:rFonts w:ascii="Verdana" w:hAnsi="Verdana"/>
          <w:sz w:val="22"/>
          <w:szCs w:val="22"/>
        </w:rPr>
        <w:t xml:space="preserve">or near </w:t>
      </w:r>
      <w:r w:rsidRPr="006E0274">
        <w:rPr>
          <w:rFonts w:ascii="Verdana" w:hAnsi="Verdana"/>
          <w:sz w:val="22"/>
          <w:szCs w:val="22"/>
        </w:rPr>
        <w:t>sports venues be banned, with exceptions for horseracing and greyhound racing.</w:t>
      </w:r>
      <w:r>
        <w:rPr>
          <w:rStyle w:val="FootnoteReference"/>
          <w:rFonts w:ascii="Verdana" w:hAnsi="Verdana"/>
          <w:sz w:val="22"/>
          <w:szCs w:val="22"/>
        </w:rPr>
        <w:footnoteReference w:id="12"/>
      </w:r>
      <w:r w:rsidRPr="006E0274">
        <w:rPr>
          <w:rFonts w:ascii="Verdana" w:hAnsi="Verdana"/>
          <w:sz w:val="22"/>
          <w:szCs w:val="22"/>
        </w:rPr>
        <w:t xml:space="preserve"> It also recommended that ‘bet to view’ inducements in sport broadcasting be prohibited.</w:t>
      </w:r>
      <w:r>
        <w:rPr>
          <w:rStyle w:val="FootnoteReference"/>
          <w:rFonts w:ascii="Verdana" w:hAnsi="Verdana"/>
          <w:sz w:val="22"/>
          <w:szCs w:val="22"/>
        </w:rPr>
        <w:footnoteReference w:id="13"/>
      </w:r>
    </w:p>
    <w:p w:rsidR="00B92712" w:rsidRPr="006E0274" w:rsidP="006B0F9F">
      <w:pPr>
        <w:pStyle w:val="ListParagraph"/>
        <w:numPr>
          <w:ilvl w:val="0"/>
          <w:numId w:val="26"/>
        </w:numPr>
        <w:contextualSpacing w:val="0"/>
        <w:rPr>
          <w:rFonts w:ascii="Verdana" w:hAnsi="Verdana"/>
          <w:sz w:val="22"/>
          <w:szCs w:val="22"/>
        </w:rPr>
      </w:pPr>
      <w:r w:rsidRPr="006E0274">
        <w:rPr>
          <w:rFonts w:ascii="Verdana" w:hAnsi="Verdana"/>
          <w:sz w:val="22"/>
          <w:szCs w:val="22"/>
        </w:rPr>
        <w:t>In the view of the ASA, have voluntary self-regulatory measures had any impact in reducing exposure to gambling advertisements around sporting events?</w:t>
      </w:r>
    </w:p>
    <w:p w:rsidR="00AC5DA1" w:rsidRPr="006E0274" w:rsidP="006B0F9F">
      <w:pPr>
        <w:rPr>
          <w:rFonts w:ascii="Verdana" w:hAnsi="Verdana"/>
          <w:sz w:val="22"/>
          <w:szCs w:val="22"/>
        </w:rPr>
      </w:pPr>
      <w:r w:rsidRPr="006E0274">
        <w:rPr>
          <w:rFonts w:ascii="Verdana" w:hAnsi="Verdana"/>
          <w:sz w:val="22"/>
          <w:szCs w:val="22"/>
        </w:rPr>
        <w:t>T</w:t>
      </w:r>
      <w:r w:rsidRPr="006E0274" w:rsidR="002D71D0">
        <w:rPr>
          <w:rFonts w:ascii="Verdana" w:hAnsi="Verdana"/>
          <w:sz w:val="22"/>
          <w:szCs w:val="22"/>
        </w:rPr>
        <w:t xml:space="preserve">he ASA has not undertaken an assessment of </w:t>
      </w:r>
      <w:r w:rsidRPr="006E0274" w:rsidR="333CCBC7">
        <w:rPr>
          <w:rFonts w:ascii="Verdana" w:hAnsi="Verdana"/>
          <w:sz w:val="22"/>
          <w:szCs w:val="22"/>
        </w:rPr>
        <w:t xml:space="preserve">voluntary self-regulatory measures that do not fall under our Codes. </w:t>
      </w:r>
      <w:r w:rsidRPr="006E0274" w:rsidR="002D71D0">
        <w:rPr>
          <w:rFonts w:ascii="Verdana" w:hAnsi="Verdana"/>
          <w:sz w:val="22"/>
          <w:szCs w:val="22"/>
        </w:rPr>
        <w:t xml:space="preserve"> </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What assessment have</w:t>
      </w:r>
      <w:r w:rsidRPr="006E0274">
        <w:rPr>
          <w:rFonts w:ascii="Verdana" w:hAnsi="Verdana"/>
          <w:sz w:val="22"/>
          <w:szCs w:val="22"/>
        </w:rPr>
        <w:t xml:space="preserve"> </w:t>
      </w:r>
      <w:r w:rsidRPr="006E0274" w:rsidR="00B13918">
        <w:rPr>
          <w:rFonts w:ascii="Verdana" w:hAnsi="Verdana"/>
          <w:sz w:val="22"/>
          <w:szCs w:val="22"/>
        </w:rPr>
        <w:t xml:space="preserve">the </w:t>
      </w:r>
      <w:r w:rsidRPr="006E0274">
        <w:rPr>
          <w:rFonts w:ascii="Verdana" w:hAnsi="Verdana"/>
          <w:sz w:val="22"/>
          <w:szCs w:val="22"/>
        </w:rPr>
        <w:t>CAP</w:t>
      </w:r>
      <w:r w:rsidRPr="006E0274" w:rsidR="004C4D7A">
        <w:rPr>
          <w:rFonts w:ascii="Verdana" w:hAnsi="Verdana"/>
          <w:sz w:val="22"/>
          <w:szCs w:val="22"/>
        </w:rPr>
        <w:t xml:space="preserve"> and BCAP</w:t>
      </w:r>
      <w:r w:rsidRPr="006E0274">
        <w:rPr>
          <w:rFonts w:ascii="Verdana" w:hAnsi="Verdana"/>
          <w:sz w:val="22"/>
          <w:szCs w:val="22"/>
        </w:rPr>
        <w:t xml:space="preserve"> </w:t>
      </w:r>
      <w:r w:rsidRPr="006E0274">
        <w:rPr>
          <w:rFonts w:ascii="Verdana" w:hAnsi="Verdana"/>
          <w:sz w:val="22"/>
          <w:szCs w:val="22"/>
        </w:rPr>
        <w:t>made</w:t>
      </w:r>
      <w:r w:rsidRPr="006E0274">
        <w:rPr>
          <w:rFonts w:ascii="Verdana" w:hAnsi="Verdana"/>
          <w:sz w:val="22"/>
          <w:szCs w:val="22"/>
        </w:rPr>
        <w:t xml:space="preserve"> of the merits and risks of the following measures:</w:t>
      </w:r>
    </w:p>
    <w:p w:rsidR="00B92712" w:rsidRPr="006E0274" w:rsidP="006B0F9F">
      <w:pPr>
        <w:pStyle w:val="ListParagraph"/>
        <w:numPr>
          <w:ilvl w:val="0"/>
          <w:numId w:val="27"/>
        </w:numPr>
        <w:contextualSpacing w:val="0"/>
        <w:rPr>
          <w:rFonts w:ascii="Verdana" w:hAnsi="Verdana"/>
          <w:sz w:val="22"/>
          <w:szCs w:val="22"/>
        </w:rPr>
      </w:pPr>
      <w:r w:rsidRPr="006E0274">
        <w:rPr>
          <w:rFonts w:ascii="Verdana" w:hAnsi="Verdana"/>
          <w:sz w:val="22"/>
          <w:szCs w:val="22"/>
        </w:rPr>
        <w:t xml:space="preserve">Implementing the former committee’s proposal on restricting advertising in </w:t>
      </w:r>
      <w:r w:rsidRPr="006E0274" w:rsidR="00A5451F">
        <w:rPr>
          <w:rFonts w:ascii="Verdana" w:hAnsi="Verdana"/>
          <w:sz w:val="22"/>
          <w:szCs w:val="22"/>
        </w:rPr>
        <w:t>or near</w:t>
      </w:r>
      <w:r w:rsidRPr="006E0274">
        <w:rPr>
          <w:rFonts w:ascii="Verdana" w:hAnsi="Verdana"/>
          <w:sz w:val="22"/>
          <w:szCs w:val="22"/>
        </w:rPr>
        <w:t xml:space="preserve"> sports venues and on sports kits;</w:t>
      </w:r>
    </w:p>
    <w:p w:rsidR="00AC5DA1" w:rsidRPr="006E0274" w:rsidP="006B0F9F">
      <w:pPr>
        <w:rPr>
          <w:rFonts w:ascii="Verdana" w:hAnsi="Verdana"/>
          <w:sz w:val="22"/>
          <w:szCs w:val="22"/>
        </w:rPr>
      </w:pPr>
      <w:r w:rsidRPr="006E0274">
        <w:rPr>
          <w:rFonts w:ascii="Verdana" w:hAnsi="Verdana"/>
          <w:sz w:val="22"/>
          <w:szCs w:val="22"/>
        </w:rPr>
        <w:t>None. CAP would consider any proposal falling within its remit</w:t>
      </w:r>
      <w:r w:rsidRPr="006E0274" w:rsidR="12D49E02">
        <w:rPr>
          <w:rFonts w:ascii="Verdana" w:hAnsi="Verdana"/>
          <w:sz w:val="22"/>
          <w:szCs w:val="22"/>
        </w:rPr>
        <w:t xml:space="preserve"> and powers</w:t>
      </w:r>
      <w:r w:rsidRPr="006E0274">
        <w:rPr>
          <w:rFonts w:ascii="Verdana" w:hAnsi="Verdana"/>
          <w:sz w:val="22"/>
          <w:szCs w:val="22"/>
        </w:rPr>
        <w:t xml:space="preserve"> </w:t>
      </w:r>
      <w:r w:rsidRPr="006E0274">
        <w:rPr>
          <w:rFonts w:ascii="Verdana" w:hAnsi="Verdana"/>
          <w:sz w:val="22"/>
          <w:szCs w:val="22"/>
        </w:rPr>
        <w:t>on the basis of</w:t>
      </w:r>
      <w:r w:rsidRPr="006E0274">
        <w:rPr>
          <w:rFonts w:ascii="Verdana" w:hAnsi="Verdana"/>
          <w:sz w:val="22"/>
          <w:szCs w:val="22"/>
        </w:rPr>
        <w:t xml:space="preserve"> evidence of harm, exposure, proportionality and practical enforceability.</w:t>
      </w:r>
    </w:p>
    <w:p w:rsidR="00B92712" w:rsidRPr="006E0274" w:rsidP="006B0F9F">
      <w:pPr>
        <w:pStyle w:val="ListParagraph"/>
        <w:numPr>
          <w:ilvl w:val="0"/>
          <w:numId w:val="27"/>
        </w:numPr>
        <w:contextualSpacing w:val="0"/>
        <w:rPr>
          <w:rFonts w:ascii="Verdana" w:hAnsi="Verdana"/>
          <w:sz w:val="22"/>
          <w:szCs w:val="22"/>
        </w:rPr>
      </w:pPr>
      <w:r w:rsidRPr="006E0274">
        <w:rPr>
          <w:rFonts w:ascii="Verdana" w:hAnsi="Verdana"/>
          <w:sz w:val="22"/>
          <w:szCs w:val="22"/>
        </w:rPr>
        <w:t>Implementing the former committee’s proposal on p</w:t>
      </w:r>
      <w:r w:rsidRPr="006E0274">
        <w:rPr>
          <w:rFonts w:ascii="Verdana" w:hAnsi="Verdana"/>
          <w:sz w:val="22"/>
          <w:szCs w:val="22"/>
        </w:rPr>
        <w:t>rohibiting ‘bet to view’ arrangements with gambling operators;</w:t>
      </w:r>
    </w:p>
    <w:p w:rsidR="00AC5DA1" w:rsidRPr="006E0274" w:rsidP="006B0F9F">
      <w:pPr>
        <w:rPr>
          <w:rFonts w:ascii="Verdana" w:hAnsi="Verdana"/>
          <w:sz w:val="22"/>
          <w:szCs w:val="22"/>
        </w:rPr>
      </w:pPr>
      <w:r w:rsidRPr="006E0274">
        <w:rPr>
          <w:rFonts w:ascii="Verdana" w:hAnsi="Verdana"/>
          <w:sz w:val="22"/>
          <w:szCs w:val="22"/>
        </w:rPr>
        <w:t xml:space="preserve">None. CAP would consider any proposal falling within its remit </w:t>
      </w:r>
      <w:r w:rsidRPr="006E0274" w:rsidR="202BEFF1">
        <w:rPr>
          <w:rFonts w:ascii="Verdana" w:hAnsi="Verdana"/>
          <w:sz w:val="22"/>
          <w:szCs w:val="22"/>
        </w:rPr>
        <w:t xml:space="preserve">and powers </w:t>
      </w:r>
      <w:r w:rsidRPr="006E0274">
        <w:rPr>
          <w:rFonts w:ascii="Verdana" w:hAnsi="Verdana"/>
          <w:sz w:val="22"/>
          <w:szCs w:val="22"/>
        </w:rPr>
        <w:t>on the basis of</w:t>
      </w:r>
      <w:r w:rsidRPr="006E0274">
        <w:rPr>
          <w:rFonts w:ascii="Verdana" w:hAnsi="Verdana"/>
          <w:sz w:val="22"/>
          <w:szCs w:val="22"/>
        </w:rPr>
        <w:t xml:space="preserve"> evidence of harm, exposure, proportionality and practical enforceability.</w:t>
      </w:r>
    </w:p>
    <w:p w:rsidR="00B92712" w:rsidRPr="006E0274" w:rsidP="006B0F9F">
      <w:pPr>
        <w:pStyle w:val="ListParagraph"/>
        <w:numPr>
          <w:ilvl w:val="0"/>
          <w:numId w:val="27"/>
        </w:numPr>
        <w:contextualSpacing w:val="0"/>
        <w:rPr>
          <w:rFonts w:ascii="Verdana" w:hAnsi="Verdana"/>
          <w:sz w:val="22"/>
          <w:szCs w:val="22"/>
        </w:rPr>
      </w:pPr>
      <w:r w:rsidRPr="006E0274">
        <w:rPr>
          <w:rFonts w:ascii="Verdana" w:hAnsi="Verdana"/>
          <w:sz w:val="22"/>
          <w:szCs w:val="22"/>
        </w:rPr>
        <w:t>Prohibiting</w:t>
      </w:r>
      <w:r w:rsidRPr="006E0274">
        <w:rPr>
          <w:rFonts w:ascii="Verdana" w:hAnsi="Verdana"/>
          <w:sz w:val="22"/>
          <w:szCs w:val="22"/>
        </w:rPr>
        <w:t xml:space="preserve"> gambling marketing in TV and radio broadcast coverage of sporting events</w:t>
      </w:r>
      <w:r w:rsidRPr="006E0274" w:rsidR="000D288F">
        <w:rPr>
          <w:rFonts w:ascii="Verdana" w:hAnsi="Verdana"/>
          <w:sz w:val="22"/>
          <w:szCs w:val="22"/>
        </w:rPr>
        <w:t>?</w:t>
      </w:r>
    </w:p>
    <w:p w:rsidR="006E0274" w:rsidP="006B0F9F">
      <w:pPr>
        <w:rPr>
          <w:rFonts w:ascii="Verdana" w:hAnsi="Verdana"/>
          <w:sz w:val="22"/>
          <w:szCs w:val="22"/>
        </w:rPr>
      </w:pPr>
      <w:r w:rsidRPr="006E0274">
        <w:rPr>
          <w:rFonts w:ascii="Verdana" w:hAnsi="Verdana"/>
          <w:sz w:val="22"/>
          <w:szCs w:val="22"/>
        </w:rPr>
        <w:t xml:space="preserve">None. CAP would consider any proposal falling within its remit </w:t>
      </w:r>
      <w:r w:rsidRPr="006E0274" w:rsidR="1CF85ED0">
        <w:rPr>
          <w:rFonts w:ascii="Verdana" w:hAnsi="Verdana"/>
          <w:sz w:val="22"/>
          <w:szCs w:val="22"/>
        </w:rPr>
        <w:t xml:space="preserve">and powers </w:t>
      </w:r>
      <w:r w:rsidRPr="006E0274">
        <w:rPr>
          <w:rFonts w:ascii="Verdana" w:hAnsi="Verdana"/>
          <w:sz w:val="22"/>
          <w:szCs w:val="22"/>
        </w:rPr>
        <w:t>on the basis of</w:t>
      </w:r>
      <w:r w:rsidRPr="006E0274">
        <w:rPr>
          <w:rFonts w:ascii="Verdana" w:hAnsi="Verdana"/>
          <w:sz w:val="22"/>
          <w:szCs w:val="22"/>
        </w:rPr>
        <w:t xml:space="preserve"> evidence of harm, exposure, proportionality and practical enforceability.</w:t>
      </w:r>
    </w:p>
    <w:p w:rsidR="006E0274">
      <w:pPr>
        <w:rPr>
          <w:rFonts w:ascii="Verdana" w:hAnsi="Verdana"/>
          <w:sz w:val="22"/>
          <w:szCs w:val="22"/>
        </w:rPr>
      </w:pPr>
      <w:r>
        <w:rPr>
          <w:rFonts w:ascii="Verdana" w:hAnsi="Verdana"/>
          <w:sz w:val="22"/>
          <w:szCs w:val="22"/>
        </w:rPr>
        <w:br w:type="page"/>
      </w:r>
    </w:p>
    <w:p w:rsidR="00B92712" w:rsidRPr="006E0274" w:rsidP="006B0F9F">
      <w:pPr>
        <w:rPr>
          <w:rFonts w:ascii="Verdana" w:hAnsi="Verdana"/>
          <w:i/>
          <w:iCs/>
          <w:sz w:val="22"/>
          <w:szCs w:val="22"/>
        </w:rPr>
      </w:pPr>
      <w:r w:rsidRPr="006E0274">
        <w:rPr>
          <w:rFonts w:ascii="Verdana" w:hAnsi="Verdana"/>
          <w:i/>
          <w:iCs/>
          <w:sz w:val="22"/>
          <w:szCs w:val="22"/>
        </w:rPr>
        <w:t>Broadcast advertising</w:t>
      </w:r>
    </w:p>
    <w:p w:rsidR="00B92712" w:rsidRPr="006E0274" w:rsidP="006B0F9F">
      <w:pPr>
        <w:pStyle w:val="ListParagraph"/>
        <w:numPr>
          <w:ilvl w:val="0"/>
          <w:numId w:val="29"/>
        </w:numPr>
        <w:contextualSpacing w:val="0"/>
        <w:rPr>
          <w:rFonts w:ascii="Verdana" w:hAnsi="Verdana"/>
          <w:sz w:val="22"/>
          <w:szCs w:val="22"/>
        </w:rPr>
      </w:pPr>
      <w:r w:rsidRPr="006E0274">
        <w:rPr>
          <w:rFonts w:ascii="Verdana" w:hAnsi="Verdana"/>
          <w:sz w:val="22"/>
          <w:szCs w:val="22"/>
        </w:rPr>
        <w:t xml:space="preserve">Has </w:t>
      </w:r>
      <w:r w:rsidRPr="006E0274" w:rsidR="004C4D7A">
        <w:rPr>
          <w:rFonts w:ascii="Verdana" w:hAnsi="Verdana"/>
          <w:sz w:val="22"/>
          <w:szCs w:val="22"/>
        </w:rPr>
        <w:t xml:space="preserve">the </w:t>
      </w:r>
      <w:r w:rsidRPr="006E0274">
        <w:rPr>
          <w:rFonts w:ascii="Verdana" w:hAnsi="Verdana"/>
          <w:sz w:val="22"/>
          <w:szCs w:val="22"/>
        </w:rPr>
        <w:t>BCAP made a recent assessment of whether the following measures would significantly reduce the exposure of under-18s to gambling advertising?</w:t>
      </w:r>
    </w:p>
    <w:p w:rsidR="000D288F" w:rsidRPr="006E0274" w:rsidP="006B0F9F">
      <w:pPr>
        <w:pStyle w:val="ListParagraph"/>
        <w:numPr>
          <w:ilvl w:val="0"/>
          <w:numId w:val="28"/>
        </w:numPr>
        <w:contextualSpacing w:val="0"/>
        <w:rPr>
          <w:rFonts w:ascii="Verdana" w:hAnsi="Verdana"/>
          <w:sz w:val="22"/>
          <w:szCs w:val="22"/>
        </w:rPr>
      </w:pPr>
      <w:r w:rsidRPr="006E0274">
        <w:rPr>
          <w:rFonts w:ascii="Verdana" w:hAnsi="Verdana"/>
          <w:sz w:val="22"/>
          <w:szCs w:val="22"/>
        </w:rPr>
        <w:t>A comprehensive ban on gambling advertising in the pre-9pm watershed period;</w:t>
      </w:r>
    </w:p>
    <w:p w:rsidR="00101CAB" w:rsidRPr="006E0274" w:rsidP="006B0F9F">
      <w:pPr>
        <w:rPr>
          <w:rFonts w:ascii="Verdana" w:hAnsi="Verdana"/>
        </w:rPr>
      </w:pPr>
      <w:r w:rsidRPr="006E0274">
        <w:rPr>
          <w:rFonts w:ascii="Verdana" w:hAnsi="Verdana"/>
        </w:rPr>
        <w:t xml:space="preserve">No. </w:t>
      </w:r>
      <w:r w:rsidRPr="006E0274" w:rsidR="00630A2E">
        <w:rPr>
          <w:rFonts w:ascii="Verdana" w:hAnsi="Verdana"/>
        </w:rPr>
        <w:t xml:space="preserve">CAP does not have the power to enact a watershed ban. Such a sweeping prohibition would be a matter for Government/Parliament. </w:t>
      </w:r>
    </w:p>
    <w:p w:rsidR="00B92712" w:rsidRPr="006E0274" w:rsidP="006B0F9F">
      <w:pPr>
        <w:pStyle w:val="ListParagraph"/>
        <w:numPr>
          <w:ilvl w:val="0"/>
          <w:numId w:val="28"/>
        </w:numPr>
        <w:contextualSpacing w:val="0"/>
        <w:rPr>
          <w:rFonts w:ascii="Verdana" w:hAnsi="Verdana"/>
          <w:sz w:val="22"/>
          <w:szCs w:val="22"/>
        </w:rPr>
      </w:pPr>
      <w:r w:rsidRPr="006E0274">
        <w:rPr>
          <w:rFonts w:ascii="Verdana" w:hAnsi="Verdana"/>
          <w:sz w:val="22"/>
          <w:szCs w:val="22"/>
        </w:rPr>
        <w:t>A ban on gambling sponsorship of non-sport-related TV and radio programmes.</w:t>
      </w:r>
    </w:p>
    <w:p w:rsidR="00AC5DA1" w:rsidRPr="006E0274" w:rsidP="006B0F9F">
      <w:pPr>
        <w:rPr>
          <w:rFonts w:ascii="Verdana" w:hAnsi="Verdana"/>
          <w:sz w:val="22"/>
          <w:szCs w:val="22"/>
        </w:rPr>
      </w:pPr>
      <w:r w:rsidRPr="006E0274">
        <w:rPr>
          <w:rFonts w:ascii="Verdana" w:hAnsi="Verdana"/>
          <w:sz w:val="22"/>
          <w:szCs w:val="22"/>
        </w:rPr>
        <w:t xml:space="preserve">No. CAP would consider any proposal falling within its remit </w:t>
      </w:r>
      <w:r w:rsidRPr="006E0274" w:rsidR="6A9E45B6">
        <w:rPr>
          <w:rFonts w:ascii="Verdana" w:hAnsi="Verdana"/>
          <w:sz w:val="22"/>
          <w:szCs w:val="22"/>
        </w:rPr>
        <w:t xml:space="preserve">and powers </w:t>
      </w:r>
      <w:r w:rsidRPr="006E0274">
        <w:rPr>
          <w:rFonts w:ascii="Verdana" w:hAnsi="Verdana"/>
          <w:sz w:val="22"/>
          <w:szCs w:val="22"/>
        </w:rPr>
        <w:t>on the basis of</w:t>
      </w:r>
      <w:r w:rsidRPr="006E0274">
        <w:rPr>
          <w:rFonts w:ascii="Verdana" w:hAnsi="Verdana"/>
          <w:sz w:val="22"/>
          <w:szCs w:val="22"/>
        </w:rPr>
        <w:t xml:space="preserve"> evidence of harm, exposure, proportionality and practical enforceability.</w:t>
      </w:r>
    </w:p>
    <w:p w:rsidR="00AA04DF" w:rsidRPr="006E0274" w:rsidP="006B0F9F">
      <w:pPr>
        <w:rPr>
          <w:rFonts w:ascii="Verdana" w:hAnsi="Verdana"/>
          <w:sz w:val="22"/>
          <w:szCs w:val="22"/>
        </w:rPr>
      </w:pPr>
    </w:p>
    <w:p w:rsidR="006B0F9F" w:rsidRPr="006E0274" w:rsidP="006B0F9F">
      <w:pPr>
        <w:jc w:val="both"/>
        <w:rPr>
          <w:rFonts w:ascii="Verdana" w:hAnsi="Verdana"/>
          <w:i/>
          <w:iCs/>
          <w:sz w:val="22"/>
          <w:szCs w:val="22"/>
        </w:rPr>
      </w:pPr>
      <w:r w:rsidRPr="006E0274">
        <w:rPr>
          <w:rFonts w:ascii="Verdana" w:hAnsi="Verdana"/>
          <w:i/>
          <w:iCs/>
          <w:sz w:val="22"/>
          <w:szCs w:val="22"/>
        </w:rPr>
        <w:t>June 2026</w:t>
      </w:r>
    </w:p>
    <w:sectPr w:rsidSect="00B927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1749" w:rsidP="00B92712">
      <w:pPr>
        <w:spacing w:after="0" w:line="240" w:lineRule="auto"/>
      </w:pPr>
      <w:r>
        <w:separator/>
      </w:r>
    </w:p>
  </w:footnote>
  <w:footnote w:type="continuationSeparator" w:id="1">
    <w:p w:rsidR="00991749" w:rsidP="00B92712">
      <w:pPr>
        <w:spacing w:after="0" w:line="240" w:lineRule="auto"/>
      </w:pPr>
      <w:r>
        <w:continuationSeparator/>
      </w:r>
    </w:p>
  </w:footnote>
  <w:footnote w:id="2">
    <w:p w:rsidR="00186A01" w:rsidRPr="006B0F9F" w:rsidP="00186A01">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Pr>
          <w:rFonts w:ascii="Verdana" w:hAnsi="Verdana"/>
          <w:sz w:val="18"/>
          <w:szCs w:val="18"/>
        </w:rPr>
        <w:t>Select Committee on the Social and Economic Impact of the Gambling Industry,</w:t>
      </w:r>
    </w:p>
    <w:p w:rsidR="00154229" w:rsidRPr="006B0F9F" w:rsidP="00186A01">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6B0F9F">
        <w:rPr>
          <w:rStyle w:val="Hyperlink"/>
          <w:rFonts w:ascii="Verdana" w:hAnsi="Verdana"/>
          <w:i/>
          <w:iCs/>
          <w:color w:val="auto"/>
          <w:sz w:val="18"/>
          <w:szCs w:val="18"/>
        </w:rPr>
        <w:t>Gambling Harm—Time for Action</w:t>
      </w:r>
      <w:r>
        <w:fldChar w:fldCharType="end"/>
      </w:r>
      <w:r w:rsidRPr="006B0F9F">
        <w:rPr>
          <w:rFonts w:ascii="Verdana" w:hAnsi="Verdana"/>
          <w:sz w:val="18"/>
          <w:szCs w:val="18"/>
        </w:rPr>
        <w:t xml:space="preserve"> (Report of Session 2019–21, HL Paper 79)</w:t>
      </w:r>
      <w:r w:rsidRPr="006B0F9F" w:rsidR="008B1CDC">
        <w:rPr>
          <w:rFonts w:ascii="Verdana" w:hAnsi="Verdana"/>
          <w:sz w:val="18"/>
          <w:szCs w:val="18"/>
        </w:rPr>
        <w:t>, para 250</w:t>
      </w:r>
    </w:p>
  </w:footnote>
  <w:footnote w:id="3">
    <w:p w:rsidR="001965A3" w:rsidRPr="006B0F9F">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sidR="00867C9F">
        <w:rPr>
          <w:rFonts w:ascii="Verdana" w:hAnsi="Verdana"/>
          <w:sz w:val="18"/>
          <w:szCs w:val="18"/>
        </w:rPr>
        <w:t xml:space="preserve">CAP Executive, </w:t>
      </w:r>
      <w:r>
        <w:fldChar w:fldCharType="begin"/>
      </w:r>
      <w:r>
        <w:instrText xml:space="preserve"> HYPERLINK "https://www.asa.org.uk/advice-online/gambling-betting-and-gaming-free-bets-and-bonuses.html" </w:instrText>
      </w:r>
      <w:r>
        <w:fldChar w:fldCharType="separate"/>
      </w:r>
      <w:r w:rsidRPr="006B0F9F" w:rsidR="00867C9F">
        <w:rPr>
          <w:rStyle w:val="Hyperlink"/>
          <w:rFonts w:ascii="Verdana" w:hAnsi="Verdana"/>
          <w:i/>
          <w:iCs/>
          <w:color w:val="auto"/>
          <w:sz w:val="18"/>
          <w:szCs w:val="18"/>
        </w:rPr>
        <w:t>Gambling, betting and gaming: Free bets and bonuses</w:t>
      </w:r>
      <w:r>
        <w:fldChar w:fldCharType="end"/>
      </w:r>
      <w:r w:rsidRPr="006B0F9F" w:rsidR="00867C9F">
        <w:rPr>
          <w:rFonts w:ascii="Verdana" w:hAnsi="Verdana"/>
          <w:sz w:val="18"/>
          <w:szCs w:val="18"/>
        </w:rPr>
        <w:t>, 11 September 2025</w:t>
      </w:r>
    </w:p>
  </w:footnote>
  <w:footnote w:id="4">
    <w:p w:rsidR="004A112C" w:rsidRPr="006B0F9F" w:rsidP="004A112C">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Pr>
          <w:rFonts w:ascii="Verdana" w:hAnsi="Verdana"/>
          <w:sz w:val="18"/>
          <w:szCs w:val="18"/>
        </w:rPr>
        <w:t>Select Committee on the Social and Economic Impact of the Gambling Industry,</w:t>
      </w:r>
    </w:p>
    <w:p w:rsidR="00B92712" w:rsidRPr="006B0F9F" w:rsidP="004A112C">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6B0F9F">
        <w:rPr>
          <w:rStyle w:val="Hyperlink"/>
          <w:rFonts w:ascii="Verdana" w:hAnsi="Verdana"/>
          <w:i/>
          <w:iCs/>
          <w:color w:val="auto"/>
          <w:sz w:val="18"/>
          <w:szCs w:val="18"/>
        </w:rPr>
        <w:t>Gambling Harm—Time for Action</w:t>
      </w:r>
      <w:r>
        <w:fldChar w:fldCharType="end"/>
      </w:r>
      <w:r w:rsidRPr="006B0F9F">
        <w:rPr>
          <w:rFonts w:ascii="Verdana" w:hAnsi="Verdana"/>
          <w:sz w:val="18"/>
          <w:szCs w:val="18"/>
        </w:rPr>
        <w:t xml:space="preserve"> (Report of Session 2019–21, HL Paper 79), </w:t>
      </w:r>
      <w:r w:rsidRPr="006B0F9F">
        <w:rPr>
          <w:rFonts w:ascii="Verdana" w:hAnsi="Verdana"/>
          <w:sz w:val="18"/>
          <w:szCs w:val="18"/>
        </w:rPr>
        <w:t>para 535</w:t>
      </w:r>
    </w:p>
  </w:footnote>
  <w:footnote w:id="5">
    <w:p w:rsidR="004E0029" w:rsidRPr="006B0F9F" w:rsidP="004E0029">
      <w:pPr>
        <w:pStyle w:val="FootnoteText"/>
        <w:rPr>
          <w:rStyle w:val="Hyperlink"/>
          <w:rFonts w:ascii="Verdana" w:hAnsi="Verdana"/>
          <w:i/>
          <w:iCs/>
          <w:color w:val="auto"/>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Pr>
          <w:rFonts w:ascii="Verdana" w:hAnsi="Verdana"/>
          <w:sz w:val="18"/>
          <w:szCs w:val="18"/>
        </w:rPr>
        <w:t xml:space="preserve">CAP, </w:t>
      </w:r>
      <w:r w:rsidRPr="006B0F9F" w:rsidR="00477E07">
        <w:rPr>
          <w:rFonts w:ascii="Verdana" w:hAnsi="Verdana"/>
          <w:i/>
          <w:iCs/>
          <w:sz w:val="18"/>
          <w:szCs w:val="18"/>
        </w:rPr>
        <w:fldChar w:fldCharType="begin"/>
      </w:r>
      <w:r w:rsidRPr="006B0F9F" w:rsidR="00477E07">
        <w:rPr>
          <w:rFonts w:ascii="Verdana" w:hAnsi="Verdana"/>
          <w:i/>
          <w:iCs/>
          <w:sz w:val="18"/>
          <w:szCs w:val="18"/>
        </w:rPr>
        <w:instrText>HYPERLINK "https://www.asa.org.uk/static/7624bbce-868b-4cd8-9f3e32fe24b2f32a/Revised-Responsibility-and-Problem-Gambling-Guidance-final.pdf"</w:instrText>
      </w:r>
      <w:r w:rsidRPr="006B0F9F" w:rsidR="00477E07">
        <w:rPr>
          <w:rFonts w:ascii="Verdana" w:hAnsi="Verdana"/>
          <w:i/>
          <w:iCs/>
          <w:sz w:val="18"/>
          <w:szCs w:val="18"/>
        </w:rPr>
        <w:fldChar w:fldCharType="separate"/>
      </w:r>
      <w:r w:rsidRPr="006B0F9F">
        <w:rPr>
          <w:rStyle w:val="Hyperlink"/>
          <w:rFonts w:ascii="Verdana" w:hAnsi="Verdana"/>
          <w:i/>
          <w:iCs/>
          <w:color w:val="auto"/>
          <w:sz w:val="18"/>
          <w:szCs w:val="18"/>
        </w:rPr>
        <w:t>Gambling advertising: responsibility and problem gambling</w:t>
      </w:r>
      <w:r w:rsidRPr="006B0F9F" w:rsidR="00477E07">
        <w:rPr>
          <w:rStyle w:val="Hyperlink"/>
          <w:rFonts w:ascii="Verdana" w:hAnsi="Verdana"/>
          <w:i/>
          <w:iCs/>
          <w:color w:val="auto"/>
          <w:sz w:val="18"/>
          <w:szCs w:val="18"/>
        </w:rPr>
        <w:t>—</w:t>
      </w:r>
      <w:r w:rsidRPr="006B0F9F">
        <w:rPr>
          <w:rStyle w:val="Hyperlink"/>
          <w:rFonts w:ascii="Verdana" w:hAnsi="Verdana"/>
          <w:i/>
          <w:iCs/>
          <w:color w:val="auto"/>
          <w:sz w:val="18"/>
          <w:szCs w:val="18"/>
        </w:rPr>
        <w:t xml:space="preserve">Advertising Guidance (non-broadcast </w:t>
      </w:r>
    </w:p>
    <w:p w:rsidR="00B92712" w:rsidRPr="006B0F9F" w:rsidP="004E0029">
      <w:pPr>
        <w:pStyle w:val="FootnoteText"/>
        <w:rPr>
          <w:rFonts w:ascii="Verdana" w:hAnsi="Verdana"/>
          <w:sz w:val="18"/>
          <w:szCs w:val="18"/>
        </w:rPr>
      </w:pPr>
      <w:r w:rsidRPr="006B0F9F">
        <w:rPr>
          <w:rStyle w:val="Hyperlink"/>
          <w:rFonts w:ascii="Verdana" w:hAnsi="Verdana"/>
          <w:i/>
          <w:iCs/>
          <w:color w:val="auto"/>
          <w:sz w:val="18"/>
          <w:szCs w:val="18"/>
        </w:rPr>
        <w:t>and broadcast</w:t>
      </w:r>
      <w:r w:rsidRPr="006B0F9F" w:rsidR="00477E07">
        <w:rPr>
          <w:rStyle w:val="Hyperlink"/>
          <w:rFonts w:ascii="Verdana" w:hAnsi="Verdana"/>
          <w:i/>
          <w:iCs/>
          <w:color w:val="auto"/>
          <w:sz w:val="18"/>
          <w:szCs w:val="18"/>
        </w:rPr>
        <w:t>)</w:t>
      </w:r>
      <w:r w:rsidRPr="006B0F9F" w:rsidR="00477E07">
        <w:rPr>
          <w:rFonts w:ascii="Verdana" w:hAnsi="Verdana"/>
          <w:i/>
          <w:iCs/>
          <w:sz w:val="18"/>
          <w:szCs w:val="18"/>
        </w:rPr>
        <w:fldChar w:fldCharType="end"/>
      </w:r>
      <w:r w:rsidRPr="006B0F9F">
        <w:rPr>
          <w:rFonts w:ascii="Verdana" w:hAnsi="Verdana"/>
          <w:sz w:val="18"/>
          <w:szCs w:val="18"/>
        </w:rPr>
        <w:t>, April 2018 (published), August 2021 (revised).</w:t>
      </w:r>
      <w:r w:rsidRPr="006B0F9F">
        <w:rPr>
          <w:rFonts w:ascii="Verdana" w:hAnsi="Verdana"/>
          <w:sz w:val="18"/>
          <w:szCs w:val="18"/>
        </w:rPr>
        <w:t xml:space="preserve"> </w:t>
      </w:r>
      <w:r w:rsidRPr="006B0F9F" w:rsidR="00EA3536">
        <w:rPr>
          <w:rFonts w:ascii="Verdana" w:hAnsi="Verdana"/>
          <w:sz w:val="18"/>
          <w:szCs w:val="18"/>
        </w:rPr>
        <w:t>Revision to the guidance</w:t>
      </w:r>
      <w:r w:rsidRPr="006B0F9F">
        <w:rPr>
          <w:rFonts w:ascii="Verdana" w:hAnsi="Verdana"/>
          <w:sz w:val="18"/>
          <w:szCs w:val="18"/>
        </w:rPr>
        <w:t xml:space="preserve"> followed</w:t>
      </w:r>
      <w:r w:rsidRPr="006B0F9F" w:rsidR="00E1464E">
        <w:rPr>
          <w:rFonts w:ascii="Verdana" w:hAnsi="Verdana"/>
          <w:sz w:val="18"/>
          <w:szCs w:val="18"/>
        </w:rPr>
        <w:t xml:space="preserve"> consultation</w:t>
      </w:r>
      <w:r w:rsidRPr="006B0F9F" w:rsidR="006A50F5">
        <w:rPr>
          <w:rFonts w:ascii="Verdana" w:hAnsi="Verdana"/>
          <w:sz w:val="18"/>
          <w:szCs w:val="18"/>
        </w:rPr>
        <w:t xml:space="preserve">: </w:t>
      </w:r>
      <w:r w:rsidRPr="006B0F9F" w:rsidR="001342CE">
        <w:rPr>
          <w:rFonts w:ascii="Verdana" w:hAnsi="Verdana"/>
          <w:sz w:val="18"/>
          <w:szCs w:val="18"/>
        </w:rPr>
        <w:t xml:space="preserve">CAP, </w:t>
      </w:r>
      <w:r>
        <w:fldChar w:fldCharType="begin"/>
      </w:r>
      <w:r>
        <w:instrText xml:space="preserve"> HYPERLINK "https://www.asa.org.uk/resource/gambling-appeal-consultation.html" </w:instrText>
      </w:r>
      <w:r>
        <w:fldChar w:fldCharType="separate"/>
      </w:r>
      <w:r w:rsidRPr="006B0F9F" w:rsidR="001342CE">
        <w:rPr>
          <w:rStyle w:val="Hyperlink"/>
          <w:rFonts w:ascii="Verdana" w:hAnsi="Verdana"/>
          <w:i/>
          <w:iCs/>
          <w:color w:val="auto"/>
          <w:sz w:val="18"/>
          <w:szCs w:val="18"/>
        </w:rPr>
        <w:t>Consulting on stricter rules for gambling ads</w:t>
      </w:r>
      <w:r>
        <w:fldChar w:fldCharType="end"/>
      </w:r>
      <w:r w:rsidRPr="006B0F9F" w:rsidR="001342CE">
        <w:rPr>
          <w:rFonts w:ascii="Verdana" w:hAnsi="Verdana"/>
          <w:sz w:val="18"/>
          <w:szCs w:val="18"/>
        </w:rPr>
        <w:t>, 22 October 2020.</w:t>
      </w:r>
    </w:p>
  </w:footnote>
  <w:footnote w:id="6">
    <w:p w:rsidR="00223495" w:rsidRPr="006B0F9F">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sidR="004607CB">
        <w:rPr>
          <w:rFonts w:ascii="Verdana" w:hAnsi="Verdana"/>
          <w:sz w:val="18"/>
          <w:szCs w:val="18"/>
        </w:rPr>
        <w:t xml:space="preserve">ASA, </w:t>
      </w:r>
      <w:r>
        <w:fldChar w:fldCharType="begin"/>
      </w:r>
      <w:r>
        <w:instrText xml:space="preserve"> HYPERLINK "https://www.asa.org.uk/news/remit-statement-content-marketing-for-gambling-products-online.html" </w:instrText>
      </w:r>
      <w:r>
        <w:fldChar w:fldCharType="separate"/>
      </w:r>
      <w:r w:rsidRPr="006B0F9F" w:rsidR="004607CB">
        <w:rPr>
          <w:rStyle w:val="Hyperlink"/>
          <w:rFonts w:ascii="Verdana" w:hAnsi="Verdana"/>
          <w:i/>
          <w:iCs/>
          <w:color w:val="auto"/>
          <w:sz w:val="18"/>
          <w:szCs w:val="18"/>
        </w:rPr>
        <w:t>Remit statement: 'content marketing' for gambling products online</w:t>
      </w:r>
      <w:r>
        <w:fldChar w:fldCharType="end"/>
      </w:r>
      <w:r w:rsidRPr="006B0F9F" w:rsidR="004607CB">
        <w:rPr>
          <w:rFonts w:ascii="Verdana" w:hAnsi="Verdana"/>
          <w:sz w:val="18"/>
          <w:szCs w:val="18"/>
        </w:rPr>
        <w:t>, 10 June 2022</w:t>
      </w:r>
    </w:p>
  </w:footnote>
  <w:footnote w:id="7">
    <w:p w:rsidR="00B25B61" w:rsidRPr="006B0F9F">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sidR="009A675A">
        <w:rPr>
          <w:rFonts w:ascii="Verdana" w:hAnsi="Verdana"/>
          <w:sz w:val="18"/>
          <w:szCs w:val="18"/>
        </w:rPr>
        <w:t xml:space="preserve">For example, </w:t>
      </w:r>
      <w:r w:rsidRPr="006B0F9F" w:rsidR="00A249F8">
        <w:rPr>
          <w:rFonts w:ascii="Verdana" w:hAnsi="Verdana"/>
          <w:sz w:val="18"/>
          <w:szCs w:val="18"/>
        </w:rPr>
        <w:t xml:space="preserve">Channel 4 Entertainment, YouTube, </w:t>
      </w:r>
      <w:r>
        <w:fldChar w:fldCharType="begin"/>
      </w:r>
      <w:r>
        <w:instrText xml:space="preserve"> HYPERLINK "https://www.youtube.com/watch?v=Kx-gaES3Lm8" </w:instrText>
      </w:r>
      <w:r>
        <w:fldChar w:fldCharType="separate"/>
      </w:r>
      <w:r w:rsidRPr="006B0F9F" w:rsidR="00A249F8">
        <w:rPr>
          <w:rStyle w:val="Hyperlink"/>
          <w:rFonts w:ascii="Verdana" w:hAnsi="Verdana"/>
          <w:color w:val="auto"/>
          <w:sz w:val="18"/>
          <w:szCs w:val="18"/>
        </w:rPr>
        <w:t>Joe Lycett Calls Out Paddy Power's DANGEROUS Ads—Joe Lycett's Got Your Back</w:t>
      </w:r>
      <w:r>
        <w:fldChar w:fldCharType="end"/>
      </w:r>
      <w:r w:rsidRPr="006B0F9F" w:rsidR="00A249F8">
        <w:rPr>
          <w:rFonts w:ascii="Verdana" w:hAnsi="Verdana"/>
          <w:sz w:val="18"/>
          <w:szCs w:val="18"/>
        </w:rPr>
        <w:t xml:space="preserve">, 22 November 2021 [accessed on 29 May 2026] </w:t>
      </w:r>
      <w:r w:rsidRPr="006B0F9F" w:rsidR="009A675A">
        <w:rPr>
          <w:rFonts w:ascii="Verdana" w:hAnsi="Verdana"/>
          <w:sz w:val="18"/>
          <w:szCs w:val="18"/>
        </w:rPr>
        <w:t xml:space="preserve">and </w:t>
      </w:r>
      <w:r w:rsidRPr="006B0F9F" w:rsidR="00BF685D">
        <w:rPr>
          <w:rFonts w:ascii="Verdana" w:hAnsi="Verdana"/>
          <w:sz w:val="18"/>
          <w:szCs w:val="18"/>
        </w:rPr>
        <w:t xml:space="preserve">ITV News, </w:t>
      </w:r>
      <w:r>
        <w:fldChar w:fldCharType="begin"/>
      </w:r>
      <w:r>
        <w:instrText xml:space="preserve"> HYPERLINK "https://www.itv.com/news/2025-06-18/gambling-firm-accused-of-breaking-rules-banning-adverts-appealing-to-children" </w:instrText>
      </w:r>
      <w:r>
        <w:fldChar w:fldCharType="separate"/>
      </w:r>
      <w:r w:rsidRPr="006B0F9F" w:rsidR="00BF685D">
        <w:rPr>
          <w:rStyle w:val="Hyperlink"/>
          <w:rFonts w:ascii="Verdana" w:hAnsi="Verdana"/>
          <w:i/>
          <w:iCs/>
          <w:color w:val="auto"/>
          <w:sz w:val="18"/>
          <w:szCs w:val="18"/>
        </w:rPr>
        <w:t>Online gambling firm Midnite accused of breaking rules banning adverts that appeal to children</w:t>
      </w:r>
      <w:r>
        <w:fldChar w:fldCharType="end"/>
      </w:r>
      <w:r w:rsidRPr="006B0F9F" w:rsidR="00BF685D">
        <w:rPr>
          <w:rFonts w:ascii="Verdana" w:hAnsi="Verdana"/>
          <w:sz w:val="18"/>
          <w:szCs w:val="18"/>
        </w:rPr>
        <w:t>, 18 June 2025.</w:t>
      </w:r>
    </w:p>
  </w:footnote>
  <w:footnote w:id="8">
    <w:p w:rsidR="00E87BDD" w:rsidRPr="006B0F9F">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sidR="00B26266">
        <w:rPr>
          <w:rFonts w:ascii="Verdana" w:hAnsi="Verdana"/>
          <w:sz w:val="18"/>
          <w:szCs w:val="18"/>
        </w:rPr>
        <w:t xml:space="preserve">ASA, </w:t>
      </w:r>
      <w:r>
        <w:fldChar w:fldCharType="begin"/>
      </w:r>
      <w:r>
        <w:instrText xml:space="preserve"> HYPERLINK "https://www.asa.org.uk/news/remit-statement-content-marketing-for-gambling-products-online.html" </w:instrText>
      </w:r>
      <w:r>
        <w:fldChar w:fldCharType="separate"/>
      </w:r>
      <w:r w:rsidRPr="006B0F9F" w:rsidR="00B26266">
        <w:rPr>
          <w:rStyle w:val="Hyperlink"/>
          <w:rFonts w:ascii="Verdana" w:hAnsi="Verdana"/>
          <w:i/>
          <w:iCs/>
          <w:color w:val="auto"/>
          <w:sz w:val="18"/>
          <w:szCs w:val="18"/>
        </w:rPr>
        <w:t>Remit statement: 'content marketing' for gambling products online</w:t>
      </w:r>
      <w:r>
        <w:fldChar w:fldCharType="end"/>
      </w:r>
      <w:r w:rsidRPr="006B0F9F" w:rsidR="00B26266">
        <w:rPr>
          <w:rFonts w:ascii="Verdana" w:hAnsi="Verdana"/>
          <w:sz w:val="18"/>
          <w:szCs w:val="18"/>
        </w:rPr>
        <w:t>, 10 June 2022</w:t>
      </w:r>
    </w:p>
  </w:footnote>
  <w:footnote w:id="9">
    <w:p w:rsidR="00311E22" w:rsidRPr="006B0F9F">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sidR="00FD7273">
        <w:rPr>
          <w:rFonts w:ascii="Verdana" w:hAnsi="Verdana"/>
          <w:sz w:val="18"/>
          <w:szCs w:val="18"/>
        </w:rPr>
        <w:t xml:space="preserve">CAP, </w:t>
      </w:r>
      <w:r>
        <w:fldChar w:fldCharType="begin"/>
      </w:r>
      <w:r>
        <w:instrText xml:space="preserve"> HYPERLINK "https://asa.org.uk/static/72cfb82a-09b1-4d22-b5885a190b7608f7/2025-09-01-Regulatory-statement-Extending-the-Scope-of-the-CAP-Code.pdf" </w:instrText>
      </w:r>
      <w:r>
        <w:fldChar w:fldCharType="separate"/>
      </w:r>
      <w:r w:rsidRPr="006B0F9F" w:rsidR="00FD7273">
        <w:rPr>
          <w:rStyle w:val="Hyperlink"/>
          <w:rFonts w:ascii="Verdana" w:hAnsi="Verdana"/>
          <w:i/>
          <w:iCs/>
          <w:color w:val="auto"/>
          <w:sz w:val="18"/>
          <w:szCs w:val="18"/>
        </w:rPr>
        <w:t>Extending the Scope of the CAP Code</w:t>
      </w:r>
      <w:r>
        <w:fldChar w:fldCharType="end"/>
      </w:r>
      <w:r w:rsidRPr="006B0F9F" w:rsidR="00FD7273">
        <w:rPr>
          <w:rFonts w:ascii="Verdana" w:hAnsi="Verdana"/>
          <w:sz w:val="18"/>
          <w:szCs w:val="18"/>
        </w:rPr>
        <w:t>, 1 September 2025</w:t>
      </w:r>
    </w:p>
  </w:footnote>
  <w:footnote w:id="10">
    <w:p w:rsidR="001406BE" w:rsidRPr="006B0F9F">
      <w:pPr>
        <w:pStyle w:val="FootnoteText"/>
        <w:rPr>
          <w:rFonts w:ascii="Verdana" w:hAnsi="Verdana"/>
          <w:sz w:val="18"/>
          <w:szCs w:val="18"/>
          <w:lang w:val="fr-FR"/>
        </w:rPr>
      </w:pPr>
      <w:r w:rsidRPr="006B0F9F">
        <w:rPr>
          <w:rStyle w:val="FootnoteReference"/>
          <w:rFonts w:ascii="Verdana" w:hAnsi="Verdana"/>
          <w:sz w:val="18"/>
          <w:szCs w:val="18"/>
        </w:rPr>
        <w:footnoteRef/>
      </w:r>
      <w:r w:rsidRPr="006B0F9F">
        <w:rPr>
          <w:rFonts w:ascii="Verdana" w:hAnsi="Verdana"/>
          <w:sz w:val="18"/>
          <w:szCs w:val="18"/>
          <w:lang w:val="fr-FR"/>
        </w:rPr>
        <w:t xml:space="preserve"> </w:t>
      </w:r>
      <w:r w:rsidRPr="006B0F9F" w:rsidR="00D446AB">
        <w:rPr>
          <w:rFonts w:ascii="Verdana" w:hAnsi="Verdana"/>
          <w:sz w:val="18"/>
          <w:szCs w:val="18"/>
          <w:lang w:val="fr-FR"/>
        </w:rPr>
        <w:t xml:space="preserve">CAP, </w:t>
      </w:r>
      <w:r>
        <w:fldChar w:fldCharType="begin"/>
      </w:r>
      <w:r>
        <w:instrText xml:space="preserve"> HYPERLINK "https://www.asa.org.uk/type/non_broadcast/code_section/16.html" </w:instrText>
      </w:r>
      <w:r>
        <w:fldChar w:fldCharType="separate"/>
      </w:r>
      <w:r w:rsidRPr="006B0F9F" w:rsidR="00D446AB">
        <w:rPr>
          <w:rStyle w:val="Hyperlink"/>
          <w:rFonts w:ascii="Verdana" w:hAnsi="Verdana"/>
          <w:i/>
          <w:iCs/>
          <w:color w:val="auto"/>
          <w:sz w:val="18"/>
          <w:szCs w:val="18"/>
          <w:lang w:val="fr-FR"/>
        </w:rPr>
        <w:t xml:space="preserve">CAP </w:t>
      </w:r>
      <w:r w:rsidRPr="006B0F9F" w:rsidR="00D446AB">
        <w:rPr>
          <w:rStyle w:val="Hyperlink"/>
          <w:rFonts w:ascii="Verdana" w:hAnsi="Verdana"/>
          <w:i/>
          <w:iCs/>
          <w:color w:val="auto"/>
          <w:sz w:val="18"/>
          <w:szCs w:val="18"/>
          <w:lang w:val="fr-FR"/>
        </w:rPr>
        <w:t>Code: 16 Gambling</w:t>
      </w:r>
      <w:r>
        <w:fldChar w:fldCharType="end"/>
      </w:r>
      <w:r w:rsidRPr="006B0F9F" w:rsidR="00502181">
        <w:rPr>
          <w:rFonts w:ascii="Verdana" w:hAnsi="Verdana"/>
          <w:sz w:val="18"/>
          <w:szCs w:val="18"/>
          <w:lang w:val="fr-FR"/>
        </w:rPr>
        <w:t xml:space="preserve">, </w:t>
      </w:r>
      <w:r w:rsidRPr="006B0F9F" w:rsidR="00C96146">
        <w:rPr>
          <w:rFonts w:ascii="Verdana" w:hAnsi="Verdana"/>
          <w:sz w:val="18"/>
          <w:szCs w:val="18"/>
          <w:lang w:val="fr-FR"/>
        </w:rPr>
        <w:t xml:space="preserve">Section </w:t>
      </w:r>
      <w:r w:rsidRPr="006B0F9F" w:rsidR="00502181">
        <w:rPr>
          <w:rFonts w:ascii="Verdana" w:hAnsi="Verdana"/>
          <w:sz w:val="18"/>
          <w:szCs w:val="18"/>
          <w:lang w:val="fr-FR"/>
        </w:rPr>
        <w:t>16.3.12</w:t>
      </w:r>
    </w:p>
  </w:footnote>
  <w:footnote w:id="11">
    <w:p w:rsidR="00DA3A23" w:rsidRPr="006B0F9F" w:rsidP="00DA3A23">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For example,</w:t>
      </w:r>
      <w:r w:rsidRPr="006B0F9F">
        <w:rPr>
          <w:rFonts w:ascii="Verdana" w:hAnsi="Verdana"/>
          <w:sz w:val="18"/>
          <w:szCs w:val="18"/>
        </w:rPr>
        <w:t xml:space="preserve"> ASA,</w:t>
      </w:r>
      <w:r w:rsidRPr="006B0F9F">
        <w:rPr>
          <w:rFonts w:ascii="Verdana" w:hAnsi="Verdana"/>
          <w:sz w:val="18"/>
          <w:szCs w:val="18"/>
        </w:rPr>
        <w:t xml:space="preserve"> </w:t>
      </w:r>
      <w:r>
        <w:fldChar w:fldCharType="begin"/>
      </w:r>
      <w:r>
        <w:instrText xml:space="preserve"> HYPERLINK "https://www.asa.org.uk/rulings/dribble-media-ltd-g25-1300959-dribble-media-ltd.html" </w:instrText>
      </w:r>
      <w:r>
        <w:fldChar w:fldCharType="separate"/>
      </w:r>
      <w:r w:rsidRPr="006B0F9F">
        <w:rPr>
          <w:rStyle w:val="Hyperlink"/>
          <w:rFonts w:ascii="Verdana" w:hAnsi="Verdana"/>
          <w:i/>
          <w:iCs/>
          <w:color w:val="auto"/>
          <w:sz w:val="18"/>
          <w:szCs w:val="18"/>
        </w:rPr>
        <w:t>ASA Ruling on Dribble Media Ltd t/a Midnite</w:t>
      </w:r>
      <w:r>
        <w:fldChar w:fldCharType="end"/>
      </w:r>
      <w:r w:rsidRPr="006B0F9F">
        <w:rPr>
          <w:rFonts w:ascii="Verdana" w:hAnsi="Verdana"/>
          <w:sz w:val="18"/>
          <w:szCs w:val="18"/>
        </w:rPr>
        <w:t xml:space="preserve">, </w:t>
      </w:r>
      <w:r w:rsidRPr="006B0F9F" w:rsidR="00CC2014">
        <w:rPr>
          <w:rFonts w:ascii="Verdana" w:hAnsi="Verdana"/>
          <w:sz w:val="18"/>
          <w:szCs w:val="18"/>
        </w:rPr>
        <w:t xml:space="preserve">17 September 2025; </w:t>
      </w:r>
    </w:p>
    <w:p w:rsidR="00B60A15" w:rsidRPr="006B0F9F" w:rsidP="00B60A15">
      <w:pPr>
        <w:pStyle w:val="FootnoteText"/>
        <w:rPr>
          <w:rFonts w:ascii="Verdana" w:hAnsi="Verdana"/>
          <w:sz w:val="18"/>
          <w:szCs w:val="18"/>
        </w:rPr>
      </w:pPr>
      <w:r>
        <w:fldChar w:fldCharType="begin"/>
      </w:r>
      <w:r>
        <w:instrText xml:space="preserve"> HYPERLINK "https://www.asa.org.uk/rulings/dribble-media-ltd-a25-1307055-dribble-media-ltd.html" </w:instrText>
      </w:r>
      <w:r>
        <w:fldChar w:fldCharType="separate"/>
      </w:r>
      <w:r w:rsidRPr="006B0F9F">
        <w:rPr>
          <w:rStyle w:val="Hyperlink"/>
          <w:rFonts w:ascii="Verdana" w:hAnsi="Verdana"/>
          <w:i/>
          <w:iCs/>
          <w:color w:val="auto"/>
          <w:sz w:val="18"/>
          <w:szCs w:val="18"/>
        </w:rPr>
        <w:t>ASA Ruling on Dribble Media Ltd t/a Midnite</w:t>
      </w:r>
      <w:r>
        <w:fldChar w:fldCharType="end"/>
      </w:r>
      <w:r w:rsidRPr="006B0F9F">
        <w:rPr>
          <w:rFonts w:ascii="Verdana" w:hAnsi="Verdana"/>
          <w:sz w:val="18"/>
          <w:szCs w:val="18"/>
        </w:rPr>
        <w:t>, 26 November 2025</w:t>
      </w:r>
      <w:r w:rsidRPr="006B0F9F">
        <w:rPr>
          <w:rFonts w:ascii="Verdana" w:hAnsi="Verdana"/>
          <w:sz w:val="18"/>
          <w:szCs w:val="18"/>
        </w:rPr>
        <w:t xml:space="preserve">, and </w:t>
      </w:r>
      <w:r>
        <w:fldChar w:fldCharType="begin"/>
      </w:r>
      <w:r>
        <w:instrText xml:space="preserve"> HYPERLINK "https://www.asa.org.uk/rulings/bonne-terre-ltd-a23-1189938-bonne-terre-ltd-1.html" </w:instrText>
      </w:r>
      <w:r>
        <w:fldChar w:fldCharType="separate"/>
      </w:r>
      <w:r w:rsidRPr="006B0F9F" w:rsidR="00180C19">
        <w:rPr>
          <w:rStyle w:val="Hyperlink"/>
          <w:rFonts w:ascii="Verdana" w:hAnsi="Verdana"/>
          <w:i/>
          <w:iCs/>
          <w:color w:val="auto"/>
          <w:sz w:val="18"/>
          <w:szCs w:val="18"/>
        </w:rPr>
        <w:t>ASA Ruling on Bonne Terre Ltd t/a Sky Bet</w:t>
      </w:r>
      <w:r>
        <w:fldChar w:fldCharType="end"/>
      </w:r>
      <w:r w:rsidRPr="006B0F9F" w:rsidR="00180C19">
        <w:rPr>
          <w:rFonts w:ascii="Verdana" w:hAnsi="Verdana"/>
          <w:sz w:val="18"/>
          <w:szCs w:val="18"/>
        </w:rPr>
        <w:t>, 22 October 2025.</w:t>
      </w:r>
    </w:p>
  </w:footnote>
  <w:footnote w:id="12">
    <w:p w:rsidR="00977CB9" w:rsidRPr="006B0F9F" w:rsidP="00977CB9">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Pr>
          <w:rFonts w:ascii="Verdana" w:hAnsi="Verdana"/>
          <w:sz w:val="18"/>
          <w:szCs w:val="18"/>
        </w:rPr>
        <w:t>Select Committee on the Social and Economic Impact of the Gambling Industry,</w:t>
      </w:r>
    </w:p>
    <w:p w:rsidR="00B92712" w:rsidRPr="006B0F9F" w:rsidP="00977CB9">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6B0F9F">
        <w:rPr>
          <w:rStyle w:val="Hyperlink"/>
          <w:rFonts w:ascii="Verdana" w:hAnsi="Verdana"/>
          <w:i/>
          <w:iCs/>
          <w:color w:val="auto"/>
          <w:sz w:val="18"/>
          <w:szCs w:val="18"/>
        </w:rPr>
        <w:t>Gambling Harm—Time for Action</w:t>
      </w:r>
      <w:r>
        <w:fldChar w:fldCharType="end"/>
      </w:r>
      <w:r w:rsidRPr="006B0F9F">
        <w:rPr>
          <w:rFonts w:ascii="Verdana" w:hAnsi="Verdana"/>
          <w:sz w:val="18"/>
          <w:szCs w:val="18"/>
        </w:rPr>
        <w:t xml:space="preserve"> (Report of Session 2019–21, HL Paper 79)</w:t>
      </w:r>
      <w:r w:rsidRPr="006B0F9F">
        <w:rPr>
          <w:rFonts w:ascii="Verdana" w:hAnsi="Verdana"/>
          <w:sz w:val="18"/>
          <w:szCs w:val="18"/>
        </w:rPr>
        <w:t>, paras 524</w:t>
      </w:r>
      <w:r w:rsidRPr="006B0F9F">
        <w:rPr>
          <w:rFonts w:ascii="Verdana" w:hAnsi="Verdana"/>
          <w:sz w:val="18"/>
          <w:szCs w:val="18"/>
        </w:rPr>
        <w:t>–</w:t>
      </w:r>
      <w:r w:rsidRPr="006B0F9F" w:rsidR="00624040">
        <w:rPr>
          <w:rFonts w:ascii="Verdana" w:hAnsi="Verdana"/>
          <w:sz w:val="18"/>
          <w:szCs w:val="18"/>
        </w:rPr>
        <w:t>5</w:t>
      </w:r>
      <w:r w:rsidRPr="006B0F9F">
        <w:rPr>
          <w:rFonts w:ascii="Verdana" w:hAnsi="Verdana"/>
          <w:sz w:val="18"/>
          <w:szCs w:val="18"/>
        </w:rPr>
        <w:t>26</w:t>
      </w:r>
    </w:p>
  </w:footnote>
  <w:footnote w:id="13">
    <w:p w:rsidR="00624040" w:rsidRPr="006B0F9F" w:rsidP="00624040">
      <w:pPr>
        <w:pStyle w:val="FootnoteText"/>
        <w:rPr>
          <w:rFonts w:ascii="Verdana" w:hAnsi="Verdana"/>
          <w:sz w:val="18"/>
          <w:szCs w:val="18"/>
        </w:rPr>
      </w:pPr>
      <w:r w:rsidRPr="006B0F9F">
        <w:rPr>
          <w:rStyle w:val="FootnoteReference"/>
          <w:rFonts w:ascii="Verdana" w:hAnsi="Verdana"/>
          <w:sz w:val="18"/>
          <w:szCs w:val="18"/>
        </w:rPr>
        <w:footnoteRef/>
      </w:r>
      <w:r w:rsidRPr="006B0F9F">
        <w:rPr>
          <w:rFonts w:ascii="Verdana" w:hAnsi="Verdana"/>
          <w:sz w:val="18"/>
          <w:szCs w:val="18"/>
        </w:rPr>
        <w:t xml:space="preserve"> </w:t>
      </w:r>
      <w:r w:rsidRPr="006B0F9F">
        <w:rPr>
          <w:rFonts w:ascii="Verdana" w:hAnsi="Verdana"/>
          <w:sz w:val="18"/>
          <w:szCs w:val="18"/>
        </w:rPr>
        <w:t>Select Committee on the Social and Economic Impact of the Gambling Industry,</w:t>
      </w:r>
    </w:p>
    <w:p w:rsidR="00B92712" w:rsidRPr="006B0F9F" w:rsidP="00624040">
      <w:pPr>
        <w:pStyle w:val="FootnoteText"/>
        <w:rPr>
          <w:rFonts w:ascii="Verdana" w:hAnsi="Verdana"/>
          <w:sz w:val="18"/>
          <w:szCs w:val="18"/>
        </w:rPr>
      </w:pPr>
      <w:r>
        <w:fldChar w:fldCharType="begin"/>
      </w:r>
      <w:r>
        <w:instrText xml:space="preserve"> HYPERLINK "https://publications.parliament.uk/pa/ld5801/ldselect/ldgamb/79/7902.htm" </w:instrText>
      </w:r>
      <w:r>
        <w:fldChar w:fldCharType="separate"/>
      </w:r>
      <w:r w:rsidRPr="006B0F9F">
        <w:rPr>
          <w:rStyle w:val="Hyperlink"/>
          <w:rFonts w:ascii="Verdana" w:hAnsi="Verdana"/>
          <w:i/>
          <w:iCs/>
          <w:color w:val="auto"/>
          <w:sz w:val="18"/>
          <w:szCs w:val="18"/>
        </w:rPr>
        <w:t>Gambling Harm—Time for Action</w:t>
      </w:r>
      <w:r>
        <w:fldChar w:fldCharType="end"/>
      </w:r>
      <w:r w:rsidRPr="006B0F9F">
        <w:rPr>
          <w:rFonts w:ascii="Verdana" w:hAnsi="Verdana"/>
          <w:sz w:val="18"/>
          <w:szCs w:val="18"/>
        </w:rPr>
        <w:t xml:space="preserve"> (Report of Session 2019–21, HL Paper 79)</w:t>
      </w:r>
      <w:r w:rsidRPr="006B0F9F">
        <w:rPr>
          <w:rFonts w:ascii="Verdana" w:hAnsi="Verdana"/>
          <w:sz w:val="18"/>
          <w:szCs w:val="18"/>
        </w:rPr>
        <w:t>, para 530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269A8"/>
    <w:multiLevelType w:val="hybridMultilevel"/>
    <w:tmpl w:val="3990A91A"/>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
    <w:nsid w:val="051F2415"/>
    <w:multiLevelType w:val="hybridMultilevel"/>
    <w:tmpl w:val="AC1C485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301D0D"/>
    <w:multiLevelType w:val="hybridMultilevel"/>
    <w:tmpl w:val="8AF0AC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8B0CA5"/>
    <w:multiLevelType w:val="hybridMultilevel"/>
    <w:tmpl w:val="9028B7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5C5A9B"/>
    <w:multiLevelType w:val="hybridMultilevel"/>
    <w:tmpl w:val="F87C58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AF125C"/>
    <w:multiLevelType w:val="hybridMultilevel"/>
    <w:tmpl w:val="A11E90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EE2714"/>
    <w:multiLevelType w:val="hybridMultilevel"/>
    <w:tmpl w:val="C84C7F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0ED123DB"/>
    <w:multiLevelType w:val="hybridMultilevel"/>
    <w:tmpl w:val="C76C1DA0"/>
    <w:lvl w:ilvl="0">
      <w:start w:val="1"/>
      <w:numFmt w:val="lowerLetter"/>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69624D"/>
    <w:multiLevelType w:val="hybridMultilevel"/>
    <w:tmpl w:val="CCAC5BE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FC45E2"/>
    <w:multiLevelType w:val="hybridMultilevel"/>
    <w:tmpl w:val="1C0AF8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6A4CFD"/>
    <w:multiLevelType w:val="hybridMultilevel"/>
    <w:tmpl w:val="86BAEE1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E45716B"/>
    <w:multiLevelType w:val="multilevel"/>
    <w:tmpl w:val="244A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EE2660"/>
    <w:multiLevelType w:val="hybridMultilevel"/>
    <w:tmpl w:val="71A43D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21B0CC9"/>
    <w:multiLevelType w:val="hybridMultilevel"/>
    <w:tmpl w:val="7DB653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BB0C83"/>
    <w:multiLevelType w:val="hybridMultilevel"/>
    <w:tmpl w:val="9FB8D4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EF4763"/>
    <w:multiLevelType w:val="hybridMultilevel"/>
    <w:tmpl w:val="FA8C4EF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360EBA"/>
    <w:multiLevelType w:val="multilevel"/>
    <w:tmpl w:val="7DB85ED4"/>
    <w:lvl w:ilvl="0">
      <w:start w:val="1"/>
      <w:numFmt w:val="decimal"/>
      <w:lvlText w:val="%1."/>
      <w:lvlJc w:val="left"/>
      <w:pPr>
        <w:ind w:left="720" w:hanging="360"/>
      </w:pPr>
      <w:rPr>
        <w:rFonts w:hint="default"/>
        <w:i w:val="0"/>
        <w:iCs w:val="0"/>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2A703DF0"/>
    <w:multiLevelType w:val="hybridMultilevel"/>
    <w:tmpl w:val="9FD8B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C34884"/>
    <w:multiLevelType w:val="hybridMultilevel"/>
    <w:tmpl w:val="D9C4B1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92421E"/>
    <w:multiLevelType w:val="hybridMultilevel"/>
    <w:tmpl w:val="4D9A841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F476896"/>
    <w:multiLevelType w:val="hybridMultilevel"/>
    <w:tmpl w:val="DA1040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134584D"/>
    <w:multiLevelType w:val="hybridMultilevel"/>
    <w:tmpl w:val="06D0D3C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36E53AA"/>
    <w:multiLevelType w:val="hybridMultilevel"/>
    <w:tmpl w:val="E5D83F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46E2F1C"/>
    <w:multiLevelType w:val="hybridMultilevel"/>
    <w:tmpl w:val="71A43D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4D470B5"/>
    <w:multiLevelType w:val="multilevel"/>
    <w:tmpl w:val="204C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A41233"/>
    <w:multiLevelType w:val="hybridMultilevel"/>
    <w:tmpl w:val="B93E075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1715D4E"/>
    <w:multiLevelType w:val="hybridMultilevel"/>
    <w:tmpl w:val="52DC209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1EF1D3E"/>
    <w:multiLevelType w:val="hybridMultilevel"/>
    <w:tmpl w:val="186645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6F1430B"/>
    <w:multiLevelType w:val="hybridMultilevel"/>
    <w:tmpl w:val="7BE457B8"/>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9">
    <w:nsid w:val="4A820F9A"/>
    <w:multiLevelType w:val="hybridMultilevel"/>
    <w:tmpl w:val="6EAC5AE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504E1268"/>
    <w:multiLevelType w:val="hybridMultilevel"/>
    <w:tmpl w:val="D8CC9BB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332646E"/>
    <w:multiLevelType w:val="hybridMultilevel"/>
    <w:tmpl w:val="1278EF8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536179CA"/>
    <w:multiLevelType w:val="hybridMultilevel"/>
    <w:tmpl w:val="316E98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5C303B"/>
    <w:multiLevelType w:val="hybridMultilevel"/>
    <w:tmpl w:val="D5107B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83665F4"/>
    <w:multiLevelType w:val="hybridMultilevel"/>
    <w:tmpl w:val="D6A88F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98A559F"/>
    <w:multiLevelType w:val="hybridMultilevel"/>
    <w:tmpl w:val="F7AE722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5BA63BC0"/>
    <w:multiLevelType w:val="multilevel"/>
    <w:tmpl w:val="0510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FA0692"/>
    <w:multiLevelType w:val="hybridMultilevel"/>
    <w:tmpl w:val="1D165158"/>
    <w:lvl w:ilvl="0">
      <w:start w:val="1"/>
      <w:numFmt w:val="lowerLetter"/>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E95560F"/>
    <w:multiLevelType w:val="hybridMultilevel"/>
    <w:tmpl w:val="D4D0B75C"/>
    <w:lvl w:ilvl="0">
      <w:start w:val="1"/>
      <w:numFmt w:val="lowerLetter"/>
      <w:lvlText w:val="%1."/>
      <w:lvlJc w:val="left"/>
      <w:pPr>
        <w:ind w:left="1440" w:hanging="360"/>
      </w:pPr>
      <w:rPr>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5F0E65FC"/>
    <w:multiLevelType w:val="hybridMultilevel"/>
    <w:tmpl w:val="814837A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001501C"/>
    <w:multiLevelType w:val="hybridMultilevel"/>
    <w:tmpl w:val="1D12C2D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12D3FB6"/>
    <w:multiLevelType w:val="multilevel"/>
    <w:tmpl w:val="244A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47651DF"/>
    <w:multiLevelType w:val="hybridMultilevel"/>
    <w:tmpl w:val="5C3E36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67CF2D7F"/>
    <w:multiLevelType w:val="hybridMultilevel"/>
    <w:tmpl w:val="3EE43B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97B6B21"/>
    <w:multiLevelType w:val="hybridMultilevel"/>
    <w:tmpl w:val="99668B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6DA8115F"/>
    <w:multiLevelType w:val="hybridMultilevel"/>
    <w:tmpl w:val="4C7245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4FD67F1"/>
    <w:multiLevelType w:val="hybridMultilevel"/>
    <w:tmpl w:val="5B2E4B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96F7228"/>
    <w:multiLevelType w:val="hybridMultilevel"/>
    <w:tmpl w:val="690E9960"/>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48">
    <w:nsid w:val="7F7C04D0"/>
    <w:multiLevelType w:val="hybridMultilevel"/>
    <w:tmpl w:val="931C219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37"/>
  </w:num>
  <w:num w:numId="2">
    <w:abstractNumId w:val="9"/>
  </w:num>
  <w:num w:numId="3">
    <w:abstractNumId w:val="40"/>
  </w:num>
  <w:num w:numId="4">
    <w:abstractNumId w:val="7"/>
  </w:num>
  <w:num w:numId="5">
    <w:abstractNumId w:val="20"/>
  </w:num>
  <w:num w:numId="6">
    <w:abstractNumId w:val="21"/>
  </w:num>
  <w:num w:numId="7">
    <w:abstractNumId w:val="46"/>
  </w:num>
  <w:num w:numId="8">
    <w:abstractNumId w:val="30"/>
  </w:num>
  <w:num w:numId="9">
    <w:abstractNumId w:val="18"/>
  </w:num>
  <w:num w:numId="10">
    <w:abstractNumId w:val="34"/>
  </w:num>
  <w:num w:numId="11">
    <w:abstractNumId w:val="2"/>
  </w:num>
  <w:num w:numId="12">
    <w:abstractNumId w:val="8"/>
  </w:num>
  <w:num w:numId="13">
    <w:abstractNumId w:val="5"/>
  </w:num>
  <w:num w:numId="14">
    <w:abstractNumId w:val="19"/>
  </w:num>
  <w:num w:numId="15">
    <w:abstractNumId w:val="39"/>
  </w:num>
  <w:num w:numId="16">
    <w:abstractNumId w:val="4"/>
  </w:num>
  <w:num w:numId="17">
    <w:abstractNumId w:val="29"/>
  </w:num>
  <w:num w:numId="18">
    <w:abstractNumId w:val="23"/>
  </w:num>
  <w:num w:numId="19">
    <w:abstractNumId w:val="10"/>
  </w:num>
  <w:num w:numId="20">
    <w:abstractNumId w:val="31"/>
  </w:num>
  <w:num w:numId="21">
    <w:abstractNumId w:val="35"/>
  </w:num>
  <w:num w:numId="22">
    <w:abstractNumId w:val="38"/>
  </w:num>
  <w:num w:numId="23">
    <w:abstractNumId w:val="42"/>
  </w:num>
  <w:num w:numId="24">
    <w:abstractNumId w:val="14"/>
  </w:num>
  <w:num w:numId="25">
    <w:abstractNumId w:val="25"/>
  </w:num>
  <w:num w:numId="26">
    <w:abstractNumId w:val="6"/>
  </w:num>
  <w:num w:numId="27">
    <w:abstractNumId w:val="48"/>
  </w:num>
  <w:num w:numId="28">
    <w:abstractNumId w:val="44"/>
  </w:num>
  <w:num w:numId="29">
    <w:abstractNumId w:val="16"/>
  </w:num>
  <w:num w:numId="30">
    <w:abstractNumId w:val="33"/>
  </w:num>
  <w:num w:numId="31">
    <w:abstractNumId w:val="12"/>
  </w:num>
  <w:num w:numId="32">
    <w:abstractNumId w:val="15"/>
  </w:num>
  <w:num w:numId="33">
    <w:abstractNumId w:val="26"/>
  </w:num>
  <w:num w:numId="34">
    <w:abstractNumId w:val="1"/>
  </w:num>
  <w:num w:numId="35">
    <w:abstractNumId w:val="3"/>
  </w:num>
  <w:num w:numId="36">
    <w:abstractNumId w:val="27"/>
  </w:num>
  <w:num w:numId="37">
    <w:abstractNumId w:val="32"/>
  </w:num>
  <w:num w:numId="38">
    <w:abstractNumId w:val="36"/>
  </w:num>
  <w:num w:numId="39">
    <w:abstractNumId w:val="47"/>
  </w:num>
  <w:num w:numId="40">
    <w:abstractNumId w:val="28"/>
  </w:num>
  <w:num w:numId="41">
    <w:abstractNumId w:val="0"/>
  </w:num>
  <w:num w:numId="42">
    <w:abstractNumId w:val="24"/>
  </w:num>
  <w:num w:numId="43">
    <w:abstractNumId w:val="11"/>
  </w:num>
  <w:num w:numId="44">
    <w:abstractNumId w:val="41"/>
  </w:num>
  <w:num w:numId="45">
    <w:abstractNumId w:val="17"/>
  </w:num>
  <w:num w:numId="46">
    <w:abstractNumId w:val="43"/>
  </w:num>
  <w:num w:numId="47">
    <w:abstractNumId w:val="13"/>
  </w:num>
  <w:num w:numId="48">
    <w:abstractNumId w:val="45"/>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2712"/>
  </w:style>
  <w:style w:type="paragraph" w:styleId="Heading1">
    <w:name w:val="heading 1"/>
    <w:basedOn w:val="Normal"/>
    <w:next w:val="Normal"/>
    <w:link w:val="Heading1Char"/>
    <w:uiPriority w:val="9"/>
    <w:qFormat/>
    <w:rsid w:val="00B92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7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7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27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7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7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7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7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7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7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7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7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927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7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7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7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712"/>
    <w:rPr>
      <w:rFonts w:eastAsiaTheme="majorEastAsia" w:cstheme="majorBidi"/>
      <w:color w:val="272727" w:themeColor="text1" w:themeTint="D8"/>
    </w:rPr>
  </w:style>
  <w:style w:type="paragraph" w:styleId="Title">
    <w:name w:val="Title"/>
    <w:basedOn w:val="Normal"/>
    <w:next w:val="Normal"/>
    <w:link w:val="TitleChar"/>
    <w:uiPriority w:val="10"/>
    <w:qFormat/>
    <w:rsid w:val="00B92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7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7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7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712"/>
    <w:pPr>
      <w:spacing w:before="160"/>
      <w:jc w:val="center"/>
    </w:pPr>
    <w:rPr>
      <w:i/>
      <w:iCs/>
      <w:color w:val="404040" w:themeColor="text1" w:themeTint="BF"/>
    </w:rPr>
  </w:style>
  <w:style w:type="character" w:customStyle="1" w:styleId="QuoteChar">
    <w:name w:val="Quote Char"/>
    <w:basedOn w:val="DefaultParagraphFont"/>
    <w:link w:val="Quote"/>
    <w:uiPriority w:val="29"/>
    <w:rsid w:val="00B92712"/>
    <w:rPr>
      <w:i/>
      <w:iCs/>
      <w:color w:val="404040" w:themeColor="text1" w:themeTint="BF"/>
    </w:rPr>
  </w:style>
  <w:style w:type="paragraph" w:styleId="ListParagraph">
    <w:name w:val="List Paragraph"/>
    <w:basedOn w:val="Normal"/>
    <w:uiPriority w:val="34"/>
    <w:qFormat/>
    <w:rsid w:val="00B92712"/>
    <w:pPr>
      <w:ind w:left="720"/>
      <w:contextualSpacing/>
    </w:pPr>
  </w:style>
  <w:style w:type="character" w:styleId="IntenseEmphasis">
    <w:name w:val="Intense Emphasis"/>
    <w:basedOn w:val="DefaultParagraphFont"/>
    <w:uiPriority w:val="21"/>
    <w:qFormat/>
    <w:rsid w:val="00B92712"/>
    <w:rPr>
      <w:i/>
      <w:iCs/>
      <w:color w:val="0F4761" w:themeColor="accent1" w:themeShade="BF"/>
    </w:rPr>
  </w:style>
  <w:style w:type="paragraph" w:styleId="IntenseQuote">
    <w:name w:val="Intense Quote"/>
    <w:basedOn w:val="Normal"/>
    <w:next w:val="Normal"/>
    <w:link w:val="IntenseQuoteChar"/>
    <w:uiPriority w:val="30"/>
    <w:qFormat/>
    <w:rsid w:val="00B92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712"/>
    <w:rPr>
      <w:i/>
      <w:iCs/>
      <w:color w:val="0F4761" w:themeColor="accent1" w:themeShade="BF"/>
    </w:rPr>
  </w:style>
  <w:style w:type="character" w:styleId="IntenseReference">
    <w:name w:val="Intense Reference"/>
    <w:basedOn w:val="DefaultParagraphFont"/>
    <w:uiPriority w:val="32"/>
    <w:qFormat/>
    <w:rsid w:val="00B92712"/>
    <w:rPr>
      <w:b/>
      <w:bCs/>
      <w:smallCaps/>
      <w:color w:val="0F4761" w:themeColor="accent1" w:themeShade="BF"/>
      <w:spacing w:val="5"/>
    </w:rPr>
  </w:style>
  <w:style w:type="paragraph" w:styleId="FootnoteText">
    <w:name w:val="footnote text"/>
    <w:basedOn w:val="Normal"/>
    <w:link w:val="FootnoteTextChar"/>
    <w:uiPriority w:val="99"/>
    <w:semiHidden/>
    <w:unhideWhenUsed/>
    <w:rsid w:val="00B927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712"/>
    <w:rPr>
      <w:sz w:val="20"/>
      <w:szCs w:val="20"/>
    </w:rPr>
  </w:style>
  <w:style w:type="character" w:styleId="FootnoteReference">
    <w:name w:val="footnote reference"/>
    <w:basedOn w:val="DefaultParagraphFont"/>
    <w:uiPriority w:val="99"/>
    <w:semiHidden/>
    <w:unhideWhenUsed/>
    <w:rsid w:val="00B92712"/>
    <w:rPr>
      <w:vertAlign w:val="superscript"/>
    </w:rPr>
  </w:style>
  <w:style w:type="character" w:styleId="Hyperlink">
    <w:name w:val="Hyperlink"/>
    <w:basedOn w:val="DefaultParagraphFont"/>
    <w:uiPriority w:val="99"/>
    <w:unhideWhenUsed/>
    <w:rsid w:val="00B92712"/>
    <w:rPr>
      <w:color w:val="467886" w:themeColor="hyperlink"/>
      <w:u w:val="single"/>
    </w:rPr>
  </w:style>
  <w:style w:type="character" w:styleId="CommentReference">
    <w:name w:val="annotation reference"/>
    <w:basedOn w:val="DefaultParagraphFont"/>
    <w:uiPriority w:val="99"/>
    <w:semiHidden/>
    <w:unhideWhenUsed/>
    <w:rsid w:val="00B92712"/>
    <w:rPr>
      <w:sz w:val="16"/>
      <w:szCs w:val="16"/>
    </w:rPr>
  </w:style>
  <w:style w:type="paragraph" w:styleId="CommentText">
    <w:name w:val="annotation text"/>
    <w:basedOn w:val="Normal"/>
    <w:link w:val="CommentTextChar"/>
    <w:uiPriority w:val="99"/>
    <w:unhideWhenUsed/>
    <w:rsid w:val="00B92712"/>
    <w:pPr>
      <w:spacing w:line="240" w:lineRule="auto"/>
    </w:pPr>
    <w:rPr>
      <w:sz w:val="20"/>
      <w:szCs w:val="20"/>
    </w:rPr>
  </w:style>
  <w:style w:type="character" w:customStyle="1" w:styleId="CommentTextChar">
    <w:name w:val="Comment Text Char"/>
    <w:basedOn w:val="DefaultParagraphFont"/>
    <w:link w:val="CommentText"/>
    <w:uiPriority w:val="99"/>
    <w:rsid w:val="00B92712"/>
    <w:rPr>
      <w:sz w:val="20"/>
      <w:szCs w:val="20"/>
    </w:rPr>
  </w:style>
  <w:style w:type="character" w:customStyle="1" w:styleId="UnresolvedMention">
    <w:name w:val="Unresolved Mention"/>
    <w:basedOn w:val="DefaultParagraphFont"/>
    <w:uiPriority w:val="99"/>
    <w:semiHidden/>
    <w:unhideWhenUsed/>
    <w:rsid w:val="008B1CDC"/>
    <w:rPr>
      <w:color w:val="605E5C"/>
      <w:shd w:val="clear" w:color="auto" w:fill="E1DFDD"/>
    </w:rPr>
  </w:style>
  <w:style w:type="character" w:styleId="FollowedHyperlink">
    <w:name w:val="FollowedHyperlink"/>
    <w:basedOn w:val="DefaultParagraphFont"/>
    <w:uiPriority w:val="99"/>
    <w:semiHidden/>
    <w:unhideWhenUsed/>
    <w:rsid w:val="00BF3FAE"/>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003081"/>
    <w:rPr>
      <w:b/>
      <w:bCs/>
    </w:rPr>
  </w:style>
  <w:style w:type="character" w:customStyle="1" w:styleId="CommentSubjectChar">
    <w:name w:val="Comment Subject Char"/>
    <w:basedOn w:val="CommentTextChar"/>
    <w:link w:val="CommentSubject"/>
    <w:uiPriority w:val="99"/>
    <w:semiHidden/>
    <w:rsid w:val="00003081"/>
    <w:rPr>
      <w:b/>
      <w:bCs/>
      <w:sz w:val="20"/>
      <w:szCs w:val="20"/>
    </w:rPr>
  </w:style>
  <w:style w:type="paragraph" w:styleId="Revision">
    <w:name w:val="Revision"/>
    <w:hidden/>
    <w:uiPriority w:val="99"/>
    <w:semiHidden/>
    <w:rsid w:val="00003081"/>
    <w:pPr>
      <w:spacing w:after="0" w:line="240" w:lineRule="auto"/>
    </w:pPr>
  </w:style>
  <w:style w:type="paragraph" w:styleId="NormalWeb">
    <w:name w:val="Normal (Web)"/>
    <w:basedOn w:val="Normal"/>
    <w:uiPriority w:val="99"/>
    <w:semiHidden/>
    <w:unhideWhenUsed/>
    <w:rsid w:val="00C47058"/>
    <w:rPr>
      <w:rFonts w:ascii="Times New Roman" w:hAnsi="Times New Roman" w:cs="Times New Roman"/>
    </w:rPr>
  </w:style>
  <w:style w:type="character" w:styleId="Strong">
    <w:name w:val="Strong"/>
    <w:basedOn w:val="DefaultParagraphFont"/>
    <w:uiPriority w:val="22"/>
    <w:qFormat/>
    <w:rsid w:val="00E642BF"/>
    <w:rPr>
      <w:b/>
      <w:bCs/>
    </w:rPr>
  </w:style>
  <w:style w:type="character" w:customStyle="1" w:styleId="Mention">
    <w:name w:val="Mention"/>
    <w:basedOn w:val="DefaultParagraphFont"/>
    <w:uiPriority w:val="99"/>
    <w:unhideWhenUsed/>
    <w:rsid w:val="000456D9"/>
    <w:rPr>
      <w:color w:val="2B579A"/>
      <w:shd w:val="clear" w:color="auto" w:fill="E1DFDD"/>
    </w:rPr>
  </w:style>
  <w:style w:type="paragraph" w:styleId="Header">
    <w:name w:val="header"/>
    <w:basedOn w:val="Normal"/>
    <w:link w:val="HeaderChar"/>
    <w:uiPriority w:val="99"/>
    <w:unhideWhenUsed/>
    <w:rsid w:val="009823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388"/>
  </w:style>
  <w:style w:type="paragraph" w:styleId="Footer">
    <w:name w:val="footer"/>
    <w:basedOn w:val="Normal"/>
    <w:link w:val="FooterChar"/>
    <w:uiPriority w:val="99"/>
    <w:unhideWhenUsed/>
    <w:rsid w:val="009823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 id="{cd85ef3f-9eb2-4a95-bf39-16d933ac615f}" enabled="0" method="" siteId="{cd85ef3f-9eb2-4a95-bf39-16d933ac615f}" removed="1"/>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GAM0002</dc:title>
  <cp:revision>0</cp:revision>
</cp:coreProperties>
</file>