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0ADD" w:rsidRPr="00B20ADD" w:rsidP="00B20ADD">
      <w:pPr>
        <w:spacing w:after="0" w:line="220" w:lineRule="atLeast"/>
        <w:outlineLvl w:val="2"/>
        <w:rPr>
          <w:rFonts w:ascii="Verdana" w:eastAsia="Arial" w:hAnsi="Verdana" w:cs="Times New Roman (Body CS)"/>
          <w:b/>
          <w:bCs/>
          <w:color w:val="000000" w:themeColor="text1"/>
          <w:kern w:val="0"/>
          <w:sz w:val="28"/>
          <w:szCs w:val="28"/>
        </w:rPr>
      </w:pPr>
      <w:r>
        <w:rPr>
          <w:rFonts w:ascii="Verdana" w:eastAsia="Arial" w:hAnsi="Verdana" w:cs="Times New Roman (Body CS)"/>
          <w:b/>
          <w:bCs/>
          <w:color w:val="000000" w:themeColor="text1"/>
          <w:kern w:val="0"/>
          <w:sz w:val="28"/>
          <w:szCs w:val="28"/>
        </w:rPr>
        <w:t>The UK Committee for UNICEF (UNICEF UK) – Written Evidence (CVX0078)</w:t>
      </w:r>
    </w:p>
    <w:p w:rsidR="00B20ADD" w:rsidRPr="007E1DF0" w:rsidP="00B20ADD">
      <w:pPr>
        <w:spacing w:after="0" w:line="276" w:lineRule="auto"/>
        <w:outlineLvl w:val="2"/>
        <w:rPr>
          <w:rFonts w:ascii="Verdana" w:eastAsia="Arial" w:hAnsi="Verdana" w:cs="Times New Roman (Body CS)"/>
          <w:b/>
          <w:bCs/>
          <w:color w:val="000000" w:themeColor="text1"/>
          <w:kern w:val="0"/>
          <w:sz w:val="28"/>
          <w:szCs w:val="20"/>
        </w:rPr>
      </w:pPr>
    </w:p>
    <w:p w:rsidR="00654F5E" w:rsidRPr="00B20ADD" w:rsidP="00B20ADD">
      <w:pPr>
        <w:spacing w:after="120" w:line="20" w:lineRule="atLeast"/>
        <w:outlineLvl w:val="2"/>
        <w:rPr>
          <w:rFonts w:ascii="Verdana" w:eastAsia="Arial" w:hAnsi="Verdana" w:cs="Times New Roman (Body CS)"/>
          <w:b/>
          <w:bCs/>
          <w:color w:val="000000" w:themeColor="text1"/>
          <w:kern w:val="0"/>
          <w:sz w:val="22"/>
          <w:szCs w:val="22"/>
        </w:rPr>
      </w:pPr>
      <w:r w:rsidRPr="00B20ADD">
        <w:rPr>
          <w:rFonts w:ascii="Verdana" w:eastAsia="Arial" w:hAnsi="Verdana" w:cs="Times New Roman (Body CS)"/>
          <w:b/>
          <w:bCs/>
          <w:color w:val="000000" w:themeColor="text1"/>
          <w:kern w:val="0"/>
          <w:sz w:val="22"/>
          <w:szCs w:val="22"/>
        </w:rPr>
        <w:t xml:space="preserve">Supplementary </w:t>
      </w:r>
      <w:r w:rsidRPr="00B20ADD" w:rsidR="004E688F">
        <w:rPr>
          <w:rFonts w:ascii="Verdana" w:eastAsia="Arial" w:hAnsi="Verdana" w:cs="Times New Roman (Body CS)"/>
          <w:b/>
          <w:bCs/>
          <w:color w:val="000000" w:themeColor="text1"/>
          <w:kern w:val="0"/>
          <w:sz w:val="22"/>
          <w:szCs w:val="22"/>
        </w:rPr>
        <w:t xml:space="preserve">Evidence </w:t>
      </w:r>
      <w:r w:rsidRPr="00B20ADD">
        <w:rPr>
          <w:rFonts w:ascii="Verdana" w:eastAsia="Arial" w:hAnsi="Verdana" w:cs="Times New Roman (Body CS)"/>
          <w:b/>
          <w:bCs/>
          <w:color w:val="000000" w:themeColor="text1"/>
          <w:kern w:val="0"/>
          <w:sz w:val="22"/>
          <w:szCs w:val="22"/>
        </w:rPr>
        <w:t>on Childhood Vaccination and Deprivation</w:t>
      </w:r>
    </w:p>
    <w:p w:rsidR="004E688F" w:rsidRPr="00B20ADD" w:rsidP="00B20ADD">
      <w:pPr>
        <w:spacing w:after="120" w:line="20" w:lineRule="atLeast"/>
        <w:rPr>
          <w:rFonts w:ascii="Verdana" w:hAnsi="Verdana"/>
          <w:b/>
          <w:bCs/>
          <w:color w:val="000000" w:themeColor="text1"/>
          <w:sz w:val="22"/>
          <w:szCs w:val="22"/>
        </w:rPr>
      </w:pPr>
      <w:r w:rsidRPr="00B20ADD">
        <w:rPr>
          <w:rFonts w:ascii="Verdana" w:hAnsi="Verdana"/>
          <w:b/>
          <w:bCs/>
          <w:color w:val="000000" w:themeColor="text1"/>
          <w:sz w:val="22"/>
          <w:szCs w:val="22"/>
        </w:rPr>
        <w:t>About UNICEF UK</w:t>
      </w:r>
    </w:p>
    <w:p w:rsidR="004E688F" w:rsidRPr="00B20ADD" w:rsidP="00B20ADD">
      <w:pPr>
        <w:spacing w:after="120" w:line="20" w:lineRule="atLeast"/>
        <w:rPr>
          <w:rFonts w:ascii="Verdana" w:hAnsi="Verdana"/>
          <w:color w:val="000000" w:themeColor="text1"/>
          <w:sz w:val="22"/>
          <w:szCs w:val="22"/>
        </w:rPr>
      </w:pPr>
      <w:r w:rsidRPr="00B20ADD">
        <w:rPr>
          <w:rFonts w:ascii="Verdana" w:hAnsi="Verdana"/>
          <w:color w:val="000000" w:themeColor="text1"/>
          <w:sz w:val="22"/>
          <w:szCs w:val="22"/>
        </w:rPr>
        <w:t xml:space="preserve">UNICEF operates in over 190 countries, responding to emergencies and building long term resilience. Every year, UNICEF helps vaccinate almost half the world’s children. The UK Committee for UNICEF (UNICEF UK) is a UK registered charity that advocates for lasting change for children in the UK and worldwide, and raises funds for UNICEF’s work around the world. </w:t>
      </w:r>
    </w:p>
    <w:p w:rsidR="00B20ADD" w:rsidP="00B20ADD">
      <w:pPr>
        <w:spacing w:after="120" w:line="20" w:lineRule="atLeast"/>
        <w:rPr>
          <w:rFonts w:ascii="Verdana" w:hAnsi="Verdana"/>
          <w:color w:val="000000" w:themeColor="text1"/>
          <w:sz w:val="22"/>
          <w:szCs w:val="22"/>
        </w:rPr>
      </w:pPr>
      <w:r w:rsidRPr="00B20ADD">
        <w:rPr>
          <w:rFonts w:ascii="Verdana" w:hAnsi="Verdana"/>
          <w:color w:val="000000" w:themeColor="text1"/>
          <w:sz w:val="22"/>
          <w:szCs w:val="22"/>
        </w:rPr>
        <w:t>UNICEF UK has been delivering programmes across the UK for more than 30 years, in line with our universal mandate to be there for every child.</w:t>
      </w:r>
      <w:r w:rsidRPr="00B20ADD">
        <w:rPr>
          <w:rFonts w:ascii="Verdana" w:hAnsi="Verdana" w:cs="Arial"/>
          <w:color w:val="000000" w:themeColor="text1"/>
          <w:sz w:val="22"/>
          <w:szCs w:val="22"/>
        </w:rPr>
        <w:t> </w:t>
      </w:r>
      <w:r w:rsidRPr="00B20ADD">
        <w:rPr>
          <w:rFonts w:ascii="Verdana" w:hAnsi="Verdana"/>
          <w:color w:val="000000" w:themeColor="text1"/>
          <w:sz w:val="22"/>
          <w:szCs w:val="22"/>
        </w:rPr>
        <w:t> We work in all four nations of the UK, reaching over 3 million UK children each year through our Baby Friendly Initiative</w:t>
      </w:r>
      <w:r w:rsidRPr="00B20ADD" w:rsidR="0006013C">
        <w:rPr>
          <w:rFonts w:ascii="Verdana" w:hAnsi="Verdana"/>
          <w:color w:val="000000" w:themeColor="text1"/>
          <w:sz w:val="22"/>
          <w:szCs w:val="22"/>
        </w:rPr>
        <w:t xml:space="preserve"> and </w:t>
      </w:r>
      <w:r w:rsidRPr="00B20ADD">
        <w:rPr>
          <w:rFonts w:ascii="Verdana" w:hAnsi="Verdana"/>
          <w:color w:val="000000" w:themeColor="text1"/>
          <w:sz w:val="22"/>
          <w:szCs w:val="22"/>
        </w:rPr>
        <w:t>Rights Respecting Schools programmes</w:t>
      </w:r>
      <w:r w:rsidRPr="00B20ADD">
        <w:rPr>
          <w:rFonts w:ascii="Verdana" w:hAnsi="Verdana"/>
          <w:b/>
          <w:bCs/>
          <w:color w:val="000000" w:themeColor="text1"/>
          <w:sz w:val="22"/>
          <w:szCs w:val="22"/>
        </w:rPr>
        <w:t xml:space="preserve">. </w:t>
      </w:r>
      <w:r w:rsidRPr="00B20ADD">
        <w:rPr>
          <w:rFonts w:ascii="Verdana" w:hAnsi="Verdana"/>
          <w:color w:val="000000" w:themeColor="text1"/>
          <w:sz w:val="22"/>
          <w:szCs w:val="22"/>
        </w:rPr>
        <w:t>We’re working with the hospitals where children are born, the schools where they learn, and the services that shape their lives</w:t>
      </w:r>
      <w:r>
        <w:rPr>
          <w:rFonts w:ascii="Verdana" w:hAnsi="Verdana"/>
          <w:color w:val="000000" w:themeColor="text1"/>
          <w:sz w:val="22"/>
          <w:szCs w:val="22"/>
        </w:rPr>
        <w:t>.</w:t>
      </w:r>
    </w:p>
    <w:p w:rsidR="00B20ADD" w:rsidRPr="00B20ADD" w:rsidP="00B20ADD">
      <w:pPr>
        <w:spacing w:after="120" w:line="20" w:lineRule="atLeast"/>
        <w:rPr>
          <w:rFonts w:ascii="Verdana" w:hAnsi="Verdana"/>
          <w:b/>
          <w:bCs/>
          <w:color w:val="000000" w:themeColor="text1"/>
          <w:sz w:val="22"/>
          <w:szCs w:val="22"/>
        </w:rPr>
      </w:pPr>
    </w:p>
    <w:p w:rsidR="00CF6480" w:rsidRPr="00B20ADD" w:rsidP="00B20ADD">
      <w:pPr>
        <w:spacing w:after="120" w:line="20" w:lineRule="atLeast"/>
        <w:rPr>
          <w:rFonts w:ascii="Verdana" w:hAnsi="Verdana"/>
          <w:b/>
          <w:bCs/>
          <w:color w:val="000000" w:themeColor="text1"/>
          <w:sz w:val="22"/>
          <w:szCs w:val="22"/>
        </w:rPr>
      </w:pPr>
      <w:r w:rsidRPr="00B20ADD">
        <w:rPr>
          <w:rFonts w:ascii="Verdana" w:hAnsi="Verdana"/>
          <w:b/>
          <w:bCs/>
          <w:color w:val="000000" w:themeColor="text1"/>
          <w:sz w:val="22"/>
          <w:szCs w:val="22"/>
        </w:rPr>
        <w:t xml:space="preserve">About this analysis </w:t>
      </w:r>
    </w:p>
    <w:p w:rsidR="00CF6480" w:rsidRPr="00B20ADD" w:rsidP="00B20ADD">
      <w:pPr>
        <w:spacing w:after="120" w:line="20" w:lineRule="atLeast"/>
        <w:rPr>
          <w:rFonts w:ascii="Verdana" w:eastAsia="Arial" w:hAnsi="Verdana" w:cs="Calibri"/>
          <w:color w:val="000000" w:themeColor="text1"/>
          <w:sz w:val="22"/>
          <w:szCs w:val="22"/>
        </w:rPr>
      </w:pPr>
      <w:r w:rsidRPr="00B20ADD">
        <w:rPr>
          <w:rFonts w:ascii="Verdana" w:hAnsi="Verdana"/>
          <w:color w:val="000000" w:themeColor="text1"/>
          <w:sz w:val="22"/>
          <w:szCs w:val="22"/>
        </w:rPr>
        <w:t xml:space="preserve">In 2025, UNICEF UK examined the relationship between a range of early childhood health indicators (including oral health, obesity, good level of development, A&amp;E attendance, the availability of childcare, and vaccination) and the level of deprivation </w:t>
      </w:r>
      <w:r w:rsidRPr="00B20ADD" w:rsidR="00964F93">
        <w:rPr>
          <w:rFonts w:ascii="Verdana" w:hAnsi="Verdana"/>
          <w:color w:val="000000" w:themeColor="text1"/>
          <w:sz w:val="22"/>
          <w:szCs w:val="22"/>
        </w:rPr>
        <w:t>in</w:t>
      </w:r>
      <w:r w:rsidRPr="00B20ADD">
        <w:rPr>
          <w:rFonts w:ascii="Verdana" w:hAnsi="Verdana"/>
          <w:color w:val="000000" w:themeColor="text1"/>
          <w:sz w:val="22"/>
          <w:szCs w:val="22"/>
        </w:rPr>
        <w:t xml:space="preserve"> every English Upper Tier Local Authority (UTLA</w:t>
      </w:r>
      <w:r w:rsidRPr="00B20ADD" w:rsidR="00964F93">
        <w:rPr>
          <w:rFonts w:ascii="Verdana" w:hAnsi="Verdana"/>
          <w:color w:val="000000" w:themeColor="text1"/>
          <w:sz w:val="22"/>
          <w:szCs w:val="22"/>
        </w:rPr>
        <w:t xml:space="preserve">), according to the 2019 Index of Multiple Deprivation. </w:t>
      </w:r>
      <w:r w:rsidRPr="00B20ADD">
        <w:rPr>
          <w:rFonts w:ascii="Verdana" w:hAnsi="Verdana"/>
          <w:color w:val="000000" w:themeColor="text1"/>
          <w:sz w:val="22"/>
          <w:szCs w:val="22"/>
        </w:rPr>
        <w:t xml:space="preserve">For each early health indicator, we found a correlation between </w:t>
      </w:r>
      <w:r w:rsidRPr="00B20ADD" w:rsidR="00964F93">
        <w:rPr>
          <w:rFonts w:ascii="Verdana" w:hAnsi="Verdana"/>
          <w:color w:val="000000" w:themeColor="text1"/>
          <w:sz w:val="22"/>
          <w:szCs w:val="22"/>
        </w:rPr>
        <w:t>poorer</w:t>
      </w:r>
      <w:r w:rsidRPr="00B20ADD">
        <w:rPr>
          <w:rFonts w:ascii="Verdana" w:hAnsi="Verdana"/>
          <w:color w:val="000000" w:themeColor="text1"/>
          <w:sz w:val="22"/>
          <w:szCs w:val="22"/>
        </w:rPr>
        <w:t xml:space="preserve"> outcomes (i.e. higher rates of dental decay and obesity</w:t>
      </w:r>
      <w:r w:rsidRPr="00B20ADD" w:rsidR="00B27112">
        <w:rPr>
          <w:rFonts w:ascii="Verdana" w:hAnsi="Verdana"/>
          <w:color w:val="000000" w:themeColor="text1"/>
          <w:sz w:val="22"/>
          <w:szCs w:val="22"/>
        </w:rPr>
        <w:t>,</w:t>
      </w:r>
      <w:r w:rsidRPr="00B20ADD">
        <w:rPr>
          <w:rFonts w:ascii="Verdana" w:hAnsi="Verdana"/>
          <w:color w:val="000000" w:themeColor="text1"/>
          <w:sz w:val="22"/>
          <w:szCs w:val="22"/>
        </w:rPr>
        <w:t xml:space="preserve"> and lower rates of vaccination and childcare places) and </w:t>
      </w:r>
      <w:r w:rsidRPr="00B20ADD" w:rsidR="00964F93">
        <w:rPr>
          <w:rFonts w:ascii="Verdana" w:hAnsi="Verdana"/>
          <w:color w:val="000000" w:themeColor="text1"/>
          <w:sz w:val="22"/>
          <w:szCs w:val="22"/>
        </w:rPr>
        <w:t xml:space="preserve">higher levels of deprivation, </w:t>
      </w:r>
      <w:r w:rsidRPr="00B20ADD" w:rsidR="00713F77">
        <w:rPr>
          <w:rFonts w:ascii="Verdana" w:hAnsi="Verdana"/>
          <w:color w:val="000000" w:themeColor="text1"/>
          <w:sz w:val="22"/>
          <w:szCs w:val="22"/>
        </w:rPr>
        <w:t xml:space="preserve">with the most deprived UTLAs reporting the worst early outcomes on average while </w:t>
      </w:r>
      <w:r w:rsidRPr="00B20ADD" w:rsidR="00964F93">
        <w:rPr>
          <w:rFonts w:ascii="Verdana" w:hAnsi="Verdana"/>
          <w:color w:val="000000" w:themeColor="text1"/>
          <w:sz w:val="22"/>
          <w:szCs w:val="22"/>
        </w:rPr>
        <w:t xml:space="preserve">the most affluent UTLAs reported the best early outcomes. These findings were reported in the UNICEF UK </w:t>
      </w:r>
      <w:r w:rsidRPr="00B20ADD" w:rsidR="00964F93">
        <w:rPr>
          <w:rFonts w:ascii="Verdana" w:eastAsia="Arial" w:hAnsi="Verdana" w:cs="Calibri"/>
          <w:i/>
          <w:iCs/>
          <w:color w:val="000000" w:themeColor="text1"/>
          <w:sz w:val="22"/>
          <w:szCs w:val="22"/>
        </w:rPr>
        <w:t xml:space="preserve">Held Back from the Start </w:t>
      </w:r>
      <w:r w:rsidRPr="00B20ADD" w:rsidR="00964F93">
        <w:rPr>
          <w:rFonts w:ascii="Verdana" w:eastAsia="Arial" w:hAnsi="Verdana" w:cs="Calibri"/>
          <w:color w:val="000000" w:themeColor="text1"/>
          <w:sz w:val="22"/>
          <w:szCs w:val="22"/>
        </w:rPr>
        <w:t>policy report</w:t>
      </w:r>
      <w:r>
        <w:rPr>
          <w:rStyle w:val="FootnoteReference"/>
          <w:rFonts w:ascii="Verdana" w:eastAsia="Arial" w:hAnsi="Verdana" w:cs="Calibri"/>
          <w:color w:val="000000" w:themeColor="text1"/>
          <w:sz w:val="22"/>
          <w:szCs w:val="22"/>
        </w:rPr>
        <w:footnoteReference w:id="2"/>
      </w:r>
      <w:r w:rsidRPr="00B20ADD" w:rsidR="00964F93">
        <w:rPr>
          <w:rFonts w:ascii="Verdana" w:eastAsia="Arial" w:hAnsi="Verdana" w:cs="Calibri"/>
          <w:color w:val="000000" w:themeColor="text1"/>
          <w:sz w:val="22"/>
          <w:szCs w:val="22"/>
        </w:rPr>
        <w:t>.</w:t>
      </w:r>
    </w:p>
    <w:p w:rsidR="00964F93" w:rsidRPr="00B20ADD" w:rsidP="00B20ADD">
      <w:pPr>
        <w:spacing w:after="120" w:line="20" w:lineRule="atLeast"/>
        <w:rPr>
          <w:rFonts w:ascii="Verdana" w:eastAsia="Arial" w:hAnsi="Verdana" w:cs="Calibri"/>
          <w:color w:val="000000" w:themeColor="text1"/>
          <w:sz w:val="22"/>
          <w:szCs w:val="22"/>
        </w:rPr>
      </w:pPr>
      <w:r w:rsidRPr="00B20ADD">
        <w:rPr>
          <w:rFonts w:ascii="Verdana" w:eastAsia="Arial" w:hAnsi="Verdana" w:cs="Calibri"/>
          <w:color w:val="000000" w:themeColor="text1"/>
          <w:sz w:val="22"/>
          <w:szCs w:val="22"/>
        </w:rPr>
        <w:t xml:space="preserve">For this submission to the House of Lords’ special inquiry on childhood vaccination, we have undertaken additional analysis to further examine the relationship between deprivation and under-5s vaccine coverage in each </w:t>
      </w:r>
      <w:r w:rsidRPr="00B20ADD" w:rsidR="00773AB4">
        <w:rPr>
          <w:rFonts w:ascii="Verdana" w:eastAsia="Arial" w:hAnsi="Verdana" w:cs="Calibri"/>
          <w:color w:val="000000" w:themeColor="text1"/>
          <w:sz w:val="22"/>
          <w:szCs w:val="22"/>
        </w:rPr>
        <w:t>UTLAs</w:t>
      </w:r>
      <w:r w:rsidRPr="00B20ADD" w:rsidR="00567004">
        <w:rPr>
          <w:rFonts w:ascii="Verdana" w:eastAsia="Arial" w:hAnsi="Verdana" w:cs="Calibri"/>
          <w:color w:val="000000" w:themeColor="text1"/>
          <w:sz w:val="22"/>
          <w:szCs w:val="22"/>
        </w:rPr>
        <w:t>, using the updated 2025 Indices of Deprivation and most recent data on childhood vaccinations.</w:t>
      </w:r>
      <w:r w:rsidRPr="00B20ADD">
        <w:rPr>
          <w:rFonts w:ascii="Verdana" w:eastAsia="Arial" w:hAnsi="Verdana" w:cs="Calibri"/>
          <w:color w:val="000000" w:themeColor="text1"/>
          <w:sz w:val="22"/>
          <w:szCs w:val="22"/>
        </w:rPr>
        <w:t xml:space="preserve"> The data sources used are:</w:t>
      </w:r>
    </w:p>
    <w:p w:rsidR="00964F93" w:rsidRPr="00B20ADD" w:rsidP="00B20ADD">
      <w:pPr>
        <w:pStyle w:val="ListParagraph"/>
        <w:numPr>
          <w:ilvl w:val="0"/>
          <w:numId w:val="27"/>
        </w:numPr>
        <w:tabs>
          <w:tab w:val="left" w:pos="5245"/>
        </w:tabs>
        <w:spacing w:after="120" w:line="20" w:lineRule="atLeast"/>
        <w:contextualSpacing w:val="0"/>
        <w:rPr>
          <w:rFonts w:ascii="Verdana" w:hAnsi="Verdana"/>
          <w:b/>
          <w:bCs/>
          <w:color w:val="000000" w:themeColor="text1"/>
          <w:sz w:val="22"/>
          <w:szCs w:val="22"/>
        </w:rPr>
      </w:pPr>
      <w:r w:rsidRPr="00B20ADD">
        <w:rPr>
          <w:rFonts w:ascii="Verdana" w:hAnsi="Verdana"/>
          <w:b/>
          <w:bCs/>
          <w:i/>
          <w:iCs/>
          <w:color w:val="000000" w:themeColor="text1"/>
          <w:sz w:val="22"/>
          <w:szCs w:val="22"/>
        </w:rPr>
        <w:t>MHCLG</w:t>
      </w:r>
      <w:r w:rsidRPr="00B20ADD">
        <w:rPr>
          <w:rFonts w:ascii="Verdana" w:hAnsi="Verdana"/>
          <w:b/>
          <w:bCs/>
          <w:color w:val="000000" w:themeColor="text1"/>
          <w:sz w:val="22"/>
          <w:szCs w:val="22"/>
        </w:rPr>
        <w:t xml:space="preserve">, </w:t>
      </w:r>
      <w:r>
        <w:fldChar w:fldCharType="begin"/>
      </w:r>
      <w:r>
        <w:instrText xml:space="preserve"> HYPERLINK "https://www.gov.uk/government/statistics/english-indices-of-deprivation-2025" </w:instrText>
      </w:r>
      <w:r>
        <w:fldChar w:fldCharType="separate"/>
      </w:r>
      <w:r w:rsidRPr="00B20ADD">
        <w:rPr>
          <w:rStyle w:val="Hyperlink"/>
          <w:rFonts w:ascii="Verdana" w:hAnsi="Verdana"/>
          <w:b/>
          <w:bCs/>
          <w:sz w:val="22"/>
          <w:szCs w:val="22"/>
        </w:rPr>
        <w:t>English Indices of Deprivation 2025</w:t>
      </w:r>
      <w:r>
        <w:fldChar w:fldCharType="end"/>
      </w:r>
      <w:r w:rsidRPr="00B20ADD">
        <w:rPr>
          <w:rFonts w:ascii="Verdana" w:hAnsi="Verdana"/>
          <w:b/>
          <w:bCs/>
          <w:color w:val="000000" w:themeColor="text1"/>
          <w:sz w:val="22"/>
          <w:szCs w:val="22"/>
        </w:rPr>
        <w:t xml:space="preserve"> </w:t>
      </w:r>
      <w:r w:rsidRPr="00B20ADD">
        <w:rPr>
          <w:rFonts w:ascii="Verdana" w:hAnsi="Verdana"/>
          <w:color w:val="000000" w:themeColor="text1"/>
          <w:sz w:val="22"/>
          <w:szCs w:val="22"/>
        </w:rPr>
        <w:t>– within these updated indices, we looked at two measures:</w:t>
      </w:r>
    </w:p>
    <w:p w:rsidR="00964F93"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xml:space="preserve">Index of Multiple Deprivation (IMD) </w:t>
      </w:r>
      <w:r w:rsidRPr="00B20ADD">
        <w:rPr>
          <w:rFonts w:ascii="Verdana" w:hAnsi="Verdana"/>
          <w:color w:val="000000" w:themeColor="text1"/>
          <w:sz w:val="22"/>
          <w:szCs w:val="22"/>
        </w:rPr>
        <w:t>– the official measure of relative deprivation for areas in England</w:t>
      </w:r>
      <w:r w:rsidRPr="00B20ADD" w:rsidR="00567004">
        <w:rPr>
          <w:rFonts w:ascii="Verdana" w:hAnsi="Verdana"/>
          <w:color w:val="000000" w:themeColor="text1"/>
          <w:sz w:val="22"/>
          <w:szCs w:val="22"/>
        </w:rPr>
        <w:t xml:space="preserve">. This gives the strongest sense of each area’s </w:t>
      </w:r>
      <w:r w:rsidRPr="00B20ADD" w:rsidR="0096246C">
        <w:rPr>
          <w:rFonts w:ascii="Verdana" w:hAnsi="Verdana"/>
          <w:color w:val="000000" w:themeColor="text1"/>
          <w:sz w:val="22"/>
          <w:szCs w:val="22"/>
        </w:rPr>
        <w:t>overall</w:t>
      </w:r>
      <w:r w:rsidRPr="00B20ADD" w:rsidR="00567004">
        <w:rPr>
          <w:rFonts w:ascii="Verdana" w:hAnsi="Verdana"/>
          <w:color w:val="000000" w:themeColor="text1"/>
          <w:sz w:val="22"/>
          <w:szCs w:val="22"/>
        </w:rPr>
        <w:t xml:space="preserve"> disadvantage.</w:t>
      </w:r>
    </w:p>
    <w:p w:rsidR="00964F93"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xml:space="preserve">Income Deprivation Affecting Children Index (IDACI) </w:t>
      </w:r>
      <w:r w:rsidRPr="00B20ADD" w:rsidR="00567004">
        <w:rPr>
          <w:rFonts w:ascii="Verdana" w:hAnsi="Verdana"/>
          <w:b/>
          <w:bCs/>
          <w:color w:val="000000" w:themeColor="text1"/>
          <w:sz w:val="22"/>
          <w:szCs w:val="22"/>
        </w:rPr>
        <w:t>–</w:t>
      </w:r>
      <w:r w:rsidRPr="00B20ADD" w:rsidR="00567004">
        <w:rPr>
          <w:rFonts w:ascii="Verdana" w:hAnsi="Verdana"/>
          <w:color w:val="000000" w:themeColor="text1"/>
          <w:sz w:val="22"/>
          <w:szCs w:val="22"/>
        </w:rPr>
        <w:t xml:space="preserve"> </w:t>
      </w:r>
      <w:r w:rsidRPr="00B20ADD" w:rsidR="0096246C">
        <w:rPr>
          <w:rFonts w:ascii="Verdana" w:hAnsi="Verdana"/>
          <w:color w:val="000000" w:themeColor="text1"/>
          <w:sz w:val="22"/>
          <w:szCs w:val="22"/>
        </w:rPr>
        <w:t>this</w:t>
      </w:r>
      <w:r w:rsidRPr="00B20ADD" w:rsidR="00567004">
        <w:rPr>
          <w:rFonts w:ascii="Verdana" w:hAnsi="Verdana"/>
          <w:color w:val="000000" w:themeColor="text1"/>
          <w:sz w:val="22"/>
          <w:szCs w:val="22"/>
        </w:rPr>
        <w:t xml:space="preserve"> measures the proportion of children affected by deprivation (based on percentage of children aged 0-15 in households claiming income-related benefits.) This gives the strongest sense of how many children are experiencing material deprivation in </w:t>
      </w:r>
      <w:r w:rsidRPr="00B20ADD" w:rsidR="0096246C">
        <w:rPr>
          <w:rFonts w:ascii="Verdana" w:hAnsi="Verdana"/>
          <w:color w:val="000000" w:themeColor="text1"/>
          <w:sz w:val="22"/>
          <w:szCs w:val="22"/>
        </w:rPr>
        <w:t>each</w:t>
      </w:r>
      <w:r w:rsidRPr="00B20ADD" w:rsidR="00567004">
        <w:rPr>
          <w:rFonts w:ascii="Verdana" w:hAnsi="Verdana"/>
          <w:color w:val="000000" w:themeColor="text1"/>
          <w:sz w:val="22"/>
          <w:szCs w:val="22"/>
        </w:rPr>
        <w:t xml:space="preserve"> area.</w:t>
      </w:r>
    </w:p>
    <w:p w:rsidR="003E33C6" w:rsidRPr="00B20ADD" w:rsidP="00B20ADD">
      <w:pPr>
        <w:pStyle w:val="ListParagraph"/>
        <w:numPr>
          <w:ilvl w:val="0"/>
          <w:numId w:val="27"/>
        </w:numPr>
        <w:spacing w:after="120" w:line="20" w:lineRule="atLeast"/>
        <w:contextualSpacing w:val="0"/>
        <w:rPr>
          <w:rFonts w:ascii="Verdana" w:hAnsi="Verdana"/>
          <w:color w:val="000000" w:themeColor="text1"/>
          <w:sz w:val="22"/>
          <w:szCs w:val="22"/>
        </w:rPr>
      </w:pPr>
      <w:r w:rsidRPr="00B20ADD">
        <w:rPr>
          <w:rFonts w:ascii="Verdana" w:hAnsi="Verdana"/>
          <w:b/>
          <w:bCs/>
          <w:i/>
          <w:iCs/>
          <w:color w:val="000000" w:themeColor="text1"/>
          <w:sz w:val="22"/>
          <w:szCs w:val="22"/>
        </w:rPr>
        <w:t>UKHSA</w:t>
      </w:r>
      <w:r w:rsidRPr="00B20ADD">
        <w:rPr>
          <w:rFonts w:ascii="Verdana" w:hAnsi="Verdana"/>
          <w:b/>
          <w:bCs/>
          <w:color w:val="000000" w:themeColor="text1"/>
          <w:sz w:val="22"/>
          <w:szCs w:val="22"/>
        </w:rPr>
        <w:t xml:space="preserve">, </w:t>
      </w:r>
      <w:r>
        <w:fldChar w:fldCharType="begin"/>
      </w:r>
      <w:r>
        <w:instrText xml:space="preserve"> HYPERLINK "https://www.england.nhs.uk/statistics/statistical-work-areas/child-immunisation/" </w:instrText>
      </w:r>
      <w:r>
        <w:fldChar w:fldCharType="separate"/>
      </w:r>
      <w:r w:rsidRPr="00B20ADD">
        <w:rPr>
          <w:rStyle w:val="Hyperlink"/>
          <w:rFonts w:ascii="Verdana" w:hAnsi="Verdana"/>
          <w:b/>
          <w:bCs/>
          <w:sz w:val="22"/>
          <w:szCs w:val="22"/>
        </w:rPr>
        <w:t>Vaccination coverage statistics for children aged up to 5 years in the UK</w:t>
      </w:r>
      <w:r>
        <w:fldChar w:fldCharType="end"/>
      </w:r>
      <w:r w:rsidRPr="00B20ADD">
        <w:rPr>
          <w:rFonts w:ascii="Verdana" w:hAnsi="Verdana"/>
          <w:b/>
          <w:bCs/>
          <w:color w:val="000000" w:themeColor="text1"/>
          <w:sz w:val="22"/>
          <w:szCs w:val="22"/>
        </w:rPr>
        <w:t xml:space="preserve"> – </w:t>
      </w:r>
      <w:r w:rsidRPr="00B20ADD">
        <w:rPr>
          <w:rFonts w:ascii="Verdana" w:hAnsi="Verdana"/>
          <w:color w:val="000000" w:themeColor="text1"/>
          <w:sz w:val="22"/>
          <w:szCs w:val="22"/>
        </w:rPr>
        <w:t>for this analysis,</w:t>
      </w:r>
      <w:r w:rsidRPr="00B20ADD">
        <w:rPr>
          <w:rFonts w:ascii="Verdana" w:hAnsi="Verdana"/>
          <w:b/>
          <w:bCs/>
          <w:color w:val="000000" w:themeColor="text1"/>
          <w:sz w:val="22"/>
          <w:szCs w:val="22"/>
        </w:rPr>
        <w:t xml:space="preserve"> </w:t>
      </w:r>
      <w:r w:rsidRPr="00B20ADD">
        <w:rPr>
          <w:rFonts w:ascii="Verdana" w:hAnsi="Verdana"/>
          <w:color w:val="000000" w:themeColor="text1"/>
          <w:sz w:val="22"/>
          <w:szCs w:val="22"/>
        </w:rPr>
        <w:t xml:space="preserve">we looked at </w:t>
      </w:r>
      <w:r w:rsidRPr="00B20ADD" w:rsidR="0096246C">
        <w:rPr>
          <w:rFonts w:ascii="Verdana" w:hAnsi="Verdana"/>
          <w:color w:val="000000" w:themeColor="text1"/>
          <w:sz w:val="22"/>
          <w:szCs w:val="22"/>
        </w:rPr>
        <w:t>several important</w:t>
      </w:r>
      <w:r w:rsidRPr="00B20ADD">
        <w:rPr>
          <w:rFonts w:ascii="Verdana" w:hAnsi="Verdana"/>
          <w:color w:val="000000" w:themeColor="text1"/>
          <w:sz w:val="22"/>
          <w:szCs w:val="22"/>
        </w:rPr>
        <w:t xml:space="preserve"> childhood </w:t>
      </w:r>
      <w:r w:rsidRPr="00B20ADD" w:rsidR="0096246C">
        <w:rPr>
          <w:rFonts w:ascii="Verdana" w:hAnsi="Verdana"/>
          <w:color w:val="000000" w:themeColor="text1"/>
          <w:sz w:val="22"/>
          <w:szCs w:val="22"/>
        </w:rPr>
        <w:t>vaccinations that are given as part of</w:t>
      </w:r>
      <w:r w:rsidRPr="00B20ADD">
        <w:rPr>
          <w:rFonts w:ascii="Verdana" w:hAnsi="Verdana"/>
          <w:color w:val="000000" w:themeColor="text1"/>
          <w:sz w:val="22"/>
          <w:szCs w:val="22"/>
        </w:rPr>
        <w:t xml:space="preserve"> the routine vaccine schedule before the age of 5: the </w:t>
      </w:r>
      <w:r w:rsidRPr="00B20ADD" w:rsidR="0096246C">
        <w:rPr>
          <w:rFonts w:ascii="Verdana" w:hAnsi="Verdana"/>
          <w:color w:val="000000" w:themeColor="text1"/>
          <w:sz w:val="22"/>
          <w:szCs w:val="22"/>
        </w:rPr>
        <w:t>primary</w:t>
      </w:r>
      <w:r w:rsidRPr="00B20ADD">
        <w:rPr>
          <w:rFonts w:ascii="Verdana" w:hAnsi="Verdana"/>
          <w:color w:val="000000" w:themeColor="text1"/>
          <w:sz w:val="22"/>
          <w:szCs w:val="22"/>
        </w:rPr>
        <w:t xml:space="preserve"> DTaP/IPV/Hip/HepB (often called the 6-in-1) vaccin</w:t>
      </w:r>
      <w:r w:rsidRPr="00B20ADD" w:rsidR="0096246C">
        <w:rPr>
          <w:rFonts w:ascii="Verdana" w:hAnsi="Verdana"/>
          <w:color w:val="000000" w:themeColor="text1"/>
          <w:sz w:val="22"/>
          <w:szCs w:val="22"/>
        </w:rPr>
        <w:t>e</w:t>
      </w:r>
      <w:r w:rsidRPr="00B20ADD">
        <w:rPr>
          <w:rFonts w:ascii="Verdana" w:hAnsi="Verdana"/>
          <w:color w:val="000000" w:themeColor="text1"/>
          <w:sz w:val="22"/>
          <w:szCs w:val="22"/>
        </w:rPr>
        <w:t xml:space="preserve"> and it’s booster vaccinations (DTaP/IPV and Hib/MenC); and the first MMR </w:t>
      </w:r>
      <w:r w:rsidRPr="00B20ADD" w:rsidR="0096246C">
        <w:rPr>
          <w:rFonts w:ascii="Verdana" w:hAnsi="Verdana"/>
          <w:color w:val="000000" w:themeColor="text1"/>
          <w:sz w:val="22"/>
          <w:szCs w:val="22"/>
        </w:rPr>
        <w:t>vaccine</w:t>
      </w:r>
      <w:r w:rsidRPr="00B20ADD">
        <w:rPr>
          <w:rFonts w:ascii="Verdana" w:hAnsi="Verdana"/>
          <w:color w:val="000000" w:themeColor="text1"/>
          <w:sz w:val="22"/>
          <w:szCs w:val="22"/>
        </w:rPr>
        <w:t xml:space="preserve"> (MMR1) and the second MMR vaccine (MMR2)</w:t>
      </w:r>
      <w:r w:rsidRPr="00B20ADD" w:rsidR="0096246C">
        <w:rPr>
          <w:rFonts w:ascii="Verdana" w:hAnsi="Verdana"/>
          <w:color w:val="000000" w:themeColor="text1"/>
          <w:sz w:val="22"/>
          <w:szCs w:val="22"/>
        </w:rPr>
        <w:t>. We</w:t>
      </w:r>
      <w:r w:rsidRPr="00B20ADD" w:rsidR="001E503D">
        <w:rPr>
          <w:rFonts w:ascii="Verdana" w:hAnsi="Verdana"/>
          <w:color w:val="000000" w:themeColor="text1"/>
          <w:sz w:val="22"/>
          <w:szCs w:val="22"/>
        </w:rPr>
        <w:t xml:space="preserve"> primarily</w:t>
      </w:r>
      <w:r w:rsidRPr="00B20ADD" w:rsidR="0096246C">
        <w:rPr>
          <w:rFonts w:ascii="Verdana" w:hAnsi="Verdana"/>
          <w:color w:val="000000" w:themeColor="text1"/>
          <w:sz w:val="22"/>
          <w:szCs w:val="22"/>
        </w:rPr>
        <w:t xml:space="preserve"> looked at the most recent data (2024-25)</w:t>
      </w:r>
      <w:r w:rsidRPr="00B20ADD" w:rsidR="001E503D">
        <w:rPr>
          <w:rFonts w:ascii="Verdana" w:hAnsi="Verdana"/>
          <w:color w:val="000000" w:themeColor="text1"/>
          <w:sz w:val="22"/>
          <w:szCs w:val="22"/>
        </w:rPr>
        <w:t xml:space="preserve"> and used </w:t>
      </w:r>
      <w:r w:rsidRPr="00B20ADD" w:rsidR="0096246C">
        <w:rPr>
          <w:rFonts w:ascii="Verdana" w:hAnsi="Verdana"/>
          <w:color w:val="000000" w:themeColor="text1"/>
          <w:sz w:val="22"/>
          <w:szCs w:val="22"/>
        </w:rPr>
        <w:t>previous data from 2018-19 to understand changes over time.</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aged 5 years DTaP/IPV/Hib/HepB Prim vaccinated (2024-25)</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aged 5 years vaccinated MMR1 (2024-25)</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aged 5 years vaccinated DTaP/IPV booster (2024-25)</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aged 5 years vaccinated Hib/MenC booster (2024-25)</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aged 5 years vaccinated MMR2 (2024-25)</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aged 5 years vaccinated DTaP/IPV/Hib (2018-19)</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w:t>
      </w:r>
      <w:r w:rsidRPr="00B20ADD">
        <w:rPr>
          <w:rFonts w:ascii="Verdana" w:hAnsi="Verdana"/>
          <w:b/>
          <w:bCs/>
          <w:color w:val="000000" w:themeColor="text1"/>
          <w:sz w:val="22"/>
          <w:szCs w:val="22"/>
        </w:rPr>
        <w:t xml:space="preserve"> aged 5 years vaccinated MMR1 </w:t>
      </w:r>
      <w:r w:rsidRPr="00B20ADD">
        <w:rPr>
          <w:rFonts w:ascii="Verdana" w:hAnsi="Verdana"/>
          <w:b/>
          <w:bCs/>
          <w:color w:val="000000" w:themeColor="text1"/>
          <w:sz w:val="22"/>
          <w:szCs w:val="22"/>
        </w:rPr>
        <w:t>(2018-2019)</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 xml:space="preserve">% </w:t>
      </w:r>
      <w:r w:rsidRPr="00B20ADD">
        <w:rPr>
          <w:rFonts w:ascii="Verdana" w:hAnsi="Verdana"/>
          <w:b/>
          <w:bCs/>
          <w:color w:val="000000" w:themeColor="text1"/>
          <w:sz w:val="22"/>
          <w:szCs w:val="22"/>
        </w:rPr>
        <w:t xml:space="preserve">aged 5 years vaccinated DTaP/IPV booster </w:t>
      </w:r>
      <w:r w:rsidRPr="00B20ADD">
        <w:rPr>
          <w:rFonts w:ascii="Verdana" w:hAnsi="Verdana"/>
          <w:b/>
          <w:bCs/>
          <w:color w:val="000000" w:themeColor="text1"/>
          <w:sz w:val="22"/>
          <w:szCs w:val="22"/>
        </w:rPr>
        <w:t>(2018-19)</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w:t>
      </w:r>
      <w:r w:rsidRPr="00B20ADD">
        <w:rPr>
          <w:rFonts w:ascii="Verdana" w:hAnsi="Verdana"/>
          <w:b/>
          <w:bCs/>
          <w:color w:val="000000" w:themeColor="text1"/>
          <w:sz w:val="22"/>
          <w:szCs w:val="22"/>
        </w:rPr>
        <w:t xml:space="preserve"> aged 5 years vaccinated Hib/MenC booster </w:t>
      </w:r>
      <w:r w:rsidRPr="00B20ADD">
        <w:rPr>
          <w:rFonts w:ascii="Verdana" w:hAnsi="Verdana"/>
          <w:b/>
          <w:bCs/>
          <w:color w:val="000000" w:themeColor="text1"/>
          <w:sz w:val="22"/>
          <w:szCs w:val="22"/>
        </w:rPr>
        <w:t>(2018-19)</w:t>
      </w:r>
    </w:p>
    <w:p w:rsidR="003E33C6" w:rsidRPr="00B20ADD" w:rsidP="00B20ADD">
      <w:pPr>
        <w:pStyle w:val="ListParagraph"/>
        <w:numPr>
          <w:ilvl w:val="1"/>
          <w:numId w:val="27"/>
        </w:numPr>
        <w:spacing w:after="120" w:line="20" w:lineRule="atLeast"/>
        <w:contextualSpacing w:val="0"/>
        <w:rPr>
          <w:rFonts w:ascii="Verdana" w:hAnsi="Verdana"/>
          <w:b/>
          <w:bCs/>
          <w:color w:val="000000" w:themeColor="text1"/>
          <w:sz w:val="22"/>
          <w:szCs w:val="22"/>
        </w:rPr>
      </w:pPr>
      <w:r w:rsidRPr="00B20ADD">
        <w:rPr>
          <w:rFonts w:ascii="Verdana" w:hAnsi="Verdana"/>
          <w:b/>
          <w:bCs/>
          <w:color w:val="000000" w:themeColor="text1"/>
          <w:sz w:val="22"/>
          <w:szCs w:val="22"/>
        </w:rPr>
        <w:t>%</w:t>
      </w:r>
      <w:r w:rsidRPr="00B20ADD">
        <w:rPr>
          <w:rFonts w:ascii="Verdana" w:hAnsi="Verdana"/>
          <w:b/>
          <w:bCs/>
          <w:color w:val="000000" w:themeColor="text1"/>
          <w:sz w:val="22"/>
          <w:szCs w:val="22"/>
        </w:rPr>
        <w:t xml:space="preserve"> aged 5 years vaccinated MMR2 </w:t>
      </w:r>
      <w:r w:rsidRPr="00B20ADD">
        <w:rPr>
          <w:rFonts w:ascii="Verdana" w:hAnsi="Verdana"/>
          <w:b/>
          <w:bCs/>
          <w:color w:val="000000" w:themeColor="text1"/>
          <w:sz w:val="22"/>
          <w:szCs w:val="22"/>
        </w:rPr>
        <w:t>(2018-19)</w:t>
      </w:r>
    </w:p>
    <w:p w:rsidR="0096246C" w:rsidRPr="00B20ADD" w:rsidP="00B20ADD">
      <w:pPr>
        <w:spacing w:after="120" w:line="20" w:lineRule="atLeast"/>
        <w:rPr>
          <w:rFonts w:ascii="Verdana" w:hAnsi="Verdana"/>
          <w:color w:val="000000" w:themeColor="text1"/>
          <w:sz w:val="22"/>
          <w:szCs w:val="22"/>
        </w:rPr>
      </w:pPr>
      <w:r w:rsidRPr="00B20ADD">
        <w:rPr>
          <w:rFonts w:ascii="Verdana" w:hAnsi="Verdana"/>
          <w:color w:val="000000" w:themeColor="text1"/>
          <w:sz w:val="22"/>
          <w:szCs w:val="22"/>
        </w:rPr>
        <w:t xml:space="preserve">This submission is based on analysis of the 151 Upper Tier Local Authorities in England. </w:t>
      </w:r>
      <w:r w:rsidRPr="00B20ADD" w:rsidR="00E60E46">
        <w:rPr>
          <w:rFonts w:ascii="Verdana" w:hAnsi="Verdana"/>
          <w:color w:val="000000" w:themeColor="text1"/>
          <w:sz w:val="22"/>
          <w:szCs w:val="22"/>
        </w:rPr>
        <w:t xml:space="preserve">As </w:t>
      </w:r>
      <w:r w:rsidRPr="00B20ADD" w:rsidR="001E503D">
        <w:rPr>
          <w:rFonts w:ascii="Verdana" w:hAnsi="Verdana"/>
          <w:color w:val="000000" w:themeColor="text1"/>
          <w:sz w:val="22"/>
          <w:szCs w:val="22"/>
        </w:rPr>
        <w:t>health data from the Isles of Scilly is often recorded with Cornwall and health data from the City of London is often recorded with Hackney, owing to their small population sizes, they have</w:t>
      </w:r>
      <w:r w:rsidRPr="00B20ADD" w:rsidR="00060653">
        <w:rPr>
          <w:rFonts w:ascii="Verdana" w:hAnsi="Verdana"/>
          <w:color w:val="000000" w:themeColor="text1"/>
          <w:sz w:val="22"/>
          <w:szCs w:val="22"/>
        </w:rPr>
        <w:t xml:space="preserve"> both</w:t>
      </w:r>
      <w:r w:rsidRPr="00B20ADD" w:rsidR="001E503D">
        <w:rPr>
          <w:rFonts w:ascii="Verdana" w:hAnsi="Verdana"/>
          <w:color w:val="000000" w:themeColor="text1"/>
          <w:sz w:val="22"/>
          <w:szCs w:val="22"/>
        </w:rPr>
        <w:t xml:space="preserve"> been excluded from this analysis, leaving 15</w:t>
      </w:r>
      <w:r w:rsidRPr="00B20ADD" w:rsidR="00D14572">
        <w:rPr>
          <w:rFonts w:ascii="Verdana" w:hAnsi="Verdana"/>
          <w:color w:val="000000" w:themeColor="text1"/>
          <w:sz w:val="22"/>
          <w:szCs w:val="22"/>
        </w:rPr>
        <w:t>1</w:t>
      </w:r>
      <w:r w:rsidRPr="00B20ADD" w:rsidR="001E503D">
        <w:rPr>
          <w:rFonts w:ascii="Verdana" w:hAnsi="Verdana"/>
          <w:color w:val="000000" w:themeColor="text1"/>
          <w:sz w:val="22"/>
          <w:szCs w:val="22"/>
        </w:rPr>
        <w:t xml:space="preserve"> UTLAs</w:t>
      </w:r>
      <w:r w:rsidRPr="00B20ADD" w:rsidR="00060653">
        <w:rPr>
          <w:rFonts w:ascii="Verdana" w:hAnsi="Verdana"/>
          <w:color w:val="000000" w:themeColor="text1"/>
          <w:sz w:val="22"/>
          <w:szCs w:val="22"/>
        </w:rPr>
        <w:t xml:space="preserve"> in total.</w:t>
      </w:r>
      <w:r w:rsidRPr="00B20ADD" w:rsidR="001E503D">
        <w:rPr>
          <w:rFonts w:ascii="Verdana" w:hAnsi="Verdana"/>
          <w:color w:val="000000" w:themeColor="text1"/>
          <w:sz w:val="22"/>
          <w:szCs w:val="22"/>
        </w:rPr>
        <w:t xml:space="preserve"> Throughout our analysis, we compare against ‘quintiles of deprivation’, with UTLAs divided into 5 groups from quintile 1 (the 20% of areas with the lowest levels of deprivation) to quintile 5 (the 20% of areas with </w:t>
      </w:r>
      <w:r w:rsidRPr="00B20ADD" w:rsidR="00F72094">
        <w:rPr>
          <w:rFonts w:ascii="Verdana" w:hAnsi="Verdana"/>
          <w:color w:val="000000" w:themeColor="text1"/>
          <w:sz w:val="22"/>
          <w:szCs w:val="22"/>
        </w:rPr>
        <w:t>t</w:t>
      </w:r>
      <w:r w:rsidRPr="00B20ADD" w:rsidR="001E503D">
        <w:rPr>
          <w:rFonts w:ascii="Verdana" w:hAnsi="Verdana"/>
          <w:color w:val="000000" w:themeColor="text1"/>
          <w:sz w:val="22"/>
          <w:szCs w:val="22"/>
        </w:rPr>
        <w:t>he highest levels of deprivation).</w:t>
      </w:r>
      <w:r w:rsidRPr="00B20ADD" w:rsidR="00D321A6">
        <w:rPr>
          <w:rFonts w:ascii="Verdana" w:hAnsi="Verdana"/>
          <w:color w:val="000000" w:themeColor="text1"/>
          <w:sz w:val="22"/>
          <w:szCs w:val="22"/>
        </w:rPr>
        <w:t xml:space="preserve"> </w:t>
      </w:r>
      <w:r w:rsidRPr="00B20ADD" w:rsidR="00B65C15">
        <w:rPr>
          <w:rFonts w:ascii="Verdana" w:hAnsi="Verdana"/>
          <w:color w:val="000000" w:themeColor="text1"/>
          <w:sz w:val="22"/>
          <w:szCs w:val="22"/>
        </w:rPr>
        <w:t xml:space="preserve">All </w:t>
      </w:r>
      <w:r w:rsidRPr="00B20ADD" w:rsidR="004F1923">
        <w:rPr>
          <w:rFonts w:ascii="Verdana" w:hAnsi="Verdana"/>
          <w:color w:val="000000" w:themeColor="text1"/>
          <w:sz w:val="22"/>
          <w:szCs w:val="22"/>
        </w:rPr>
        <w:t xml:space="preserve">average figures for </w:t>
      </w:r>
      <w:r w:rsidRPr="00B20ADD" w:rsidR="00B65C15">
        <w:rPr>
          <w:rFonts w:ascii="Verdana" w:hAnsi="Verdana"/>
          <w:color w:val="000000" w:themeColor="text1"/>
          <w:sz w:val="22"/>
          <w:szCs w:val="22"/>
        </w:rPr>
        <w:t>each quintile have been</w:t>
      </w:r>
      <w:r w:rsidRPr="00B20ADD" w:rsidR="004F1923">
        <w:rPr>
          <w:rFonts w:ascii="Verdana" w:hAnsi="Verdana"/>
          <w:color w:val="000000" w:themeColor="text1"/>
          <w:sz w:val="22"/>
          <w:szCs w:val="22"/>
        </w:rPr>
        <w:t xml:space="preserve"> population-weighted, taking into account the different number of children aged 5 and under in </w:t>
      </w:r>
      <w:r w:rsidRPr="00B20ADD" w:rsidR="00B65C15">
        <w:rPr>
          <w:rFonts w:ascii="Verdana" w:hAnsi="Verdana"/>
          <w:color w:val="000000" w:themeColor="text1"/>
          <w:sz w:val="22"/>
          <w:szCs w:val="22"/>
        </w:rPr>
        <w:t xml:space="preserve">each UTLA comprising each quintile. </w:t>
      </w:r>
    </w:p>
    <w:p w:rsidR="00A815F2" w:rsidRPr="00B20ADD" w:rsidP="00B20ADD">
      <w:pPr>
        <w:spacing w:after="120" w:line="20" w:lineRule="atLeast"/>
        <w:rPr>
          <w:rFonts w:ascii="Verdana" w:hAnsi="Verdana"/>
          <w:color w:val="000000" w:themeColor="text1"/>
          <w:sz w:val="22"/>
          <w:szCs w:val="22"/>
        </w:rPr>
      </w:pPr>
      <w:r w:rsidRPr="00B20ADD">
        <w:rPr>
          <w:rFonts w:ascii="Verdana" w:hAnsi="Verdana"/>
          <w:color w:val="000000" w:themeColor="text1"/>
          <w:sz w:val="22"/>
          <w:szCs w:val="22"/>
        </w:rPr>
        <w:t>We have looked at all</w:t>
      </w:r>
      <w:r w:rsidRPr="00B20ADD">
        <w:rPr>
          <w:rFonts w:ascii="Verdana" w:hAnsi="Verdana"/>
          <w:color w:val="000000" w:themeColor="text1"/>
          <w:sz w:val="22"/>
          <w:szCs w:val="22"/>
        </w:rPr>
        <w:t xml:space="preserve"> the</w:t>
      </w:r>
      <w:r w:rsidRPr="00B20ADD">
        <w:rPr>
          <w:rFonts w:ascii="Verdana" w:hAnsi="Verdana"/>
          <w:color w:val="000000" w:themeColor="text1"/>
          <w:sz w:val="22"/>
          <w:szCs w:val="22"/>
        </w:rPr>
        <w:t xml:space="preserve"> routine </w:t>
      </w:r>
      <w:r w:rsidRPr="00B20ADD">
        <w:rPr>
          <w:rFonts w:ascii="Verdana" w:hAnsi="Verdana"/>
          <w:color w:val="000000" w:themeColor="text1"/>
          <w:sz w:val="22"/>
          <w:szCs w:val="22"/>
        </w:rPr>
        <w:t>under-5s</w:t>
      </w:r>
      <w:r w:rsidRPr="00B20ADD">
        <w:rPr>
          <w:rFonts w:ascii="Verdana" w:hAnsi="Verdana"/>
          <w:color w:val="000000" w:themeColor="text1"/>
          <w:sz w:val="22"/>
          <w:szCs w:val="22"/>
        </w:rPr>
        <w:t xml:space="preserve"> immunisations listed above in </w:t>
      </w:r>
      <w:r w:rsidRPr="00B20ADD">
        <w:rPr>
          <w:rFonts w:ascii="Verdana" w:hAnsi="Verdana"/>
          <w:color w:val="000000" w:themeColor="text1"/>
          <w:sz w:val="22"/>
          <w:szCs w:val="22"/>
        </w:rPr>
        <w:t>this</w:t>
      </w:r>
      <w:r w:rsidRPr="00B20ADD">
        <w:rPr>
          <w:rFonts w:ascii="Verdana" w:hAnsi="Verdana"/>
          <w:color w:val="000000" w:themeColor="text1"/>
          <w:sz w:val="22"/>
          <w:szCs w:val="22"/>
        </w:rPr>
        <w:t xml:space="preserve"> analysis</w:t>
      </w:r>
      <w:r w:rsidRPr="00B20ADD" w:rsidR="00EB04A7">
        <w:rPr>
          <w:rFonts w:ascii="Verdana" w:hAnsi="Verdana"/>
          <w:color w:val="000000" w:themeColor="text1"/>
          <w:sz w:val="22"/>
          <w:szCs w:val="22"/>
        </w:rPr>
        <w:t xml:space="preserve">, and compared them against each Upper Tier Local Authority’s </w:t>
      </w:r>
      <w:r w:rsidRPr="00B20ADD" w:rsidR="008C58E4">
        <w:rPr>
          <w:rFonts w:ascii="Verdana" w:hAnsi="Verdana"/>
          <w:color w:val="000000" w:themeColor="text1"/>
          <w:sz w:val="22"/>
          <w:szCs w:val="22"/>
        </w:rPr>
        <w:t>IMD and IDACI rank</w:t>
      </w:r>
      <w:r w:rsidRPr="00B20ADD" w:rsidR="00417EE4">
        <w:rPr>
          <w:rFonts w:ascii="Verdana" w:hAnsi="Verdana"/>
          <w:color w:val="000000" w:themeColor="text1"/>
          <w:sz w:val="22"/>
          <w:szCs w:val="22"/>
        </w:rPr>
        <w:t>.</w:t>
      </w:r>
      <w:r w:rsidRPr="00B20ADD" w:rsidR="00EB04A7">
        <w:rPr>
          <w:rFonts w:ascii="Verdana" w:hAnsi="Verdana"/>
          <w:color w:val="000000" w:themeColor="text1"/>
          <w:sz w:val="22"/>
          <w:szCs w:val="22"/>
        </w:rPr>
        <w:t xml:space="preserve"> </w:t>
      </w:r>
      <w:r w:rsidRPr="00B20ADD">
        <w:rPr>
          <w:rFonts w:ascii="Verdana" w:hAnsi="Verdana"/>
          <w:color w:val="000000" w:themeColor="text1"/>
          <w:sz w:val="22"/>
          <w:szCs w:val="22"/>
        </w:rPr>
        <w:t xml:space="preserve"> For the sake of brevity, </w:t>
      </w:r>
      <w:r w:rsidRPr="00B20ADD">
        <w:rPr>
          <w:rFonts w:ascii="Verdana" w:hAnsi="Verdana"/>
          <w:color w:val="000000" w:themeColor="text1"/>
          <w:sz w:val="22"/>
          <w:szCs w:val="22"/>
        </w:rPr>
        <w:t>we have sometimes chosen to only include the results for MMR2 uptake</w:t>
      </w:r>
      <w:r w:rsidRPr="00B20ADD" w:rsidR="004D4386">
        <w:rPr>
          <w:rFonts w:ascii="Verdana" w:hAnsi="Verdana"/>
          <w:color w:val="000000" w:themeColor="text1"/>
          <w:sz w:val="22"/>
          <w:szCs w:val="22"/>
        </w:rPr>
        <w:t xml:space="preserve"> in this submission</w:t>
      </w:r>
      <w:r w:rsidRPr="00B20ADD">
        <w:rPr>
          <w:rFonts w:ascii="Verdana" w:hAnsi="Verdana"/>
          <w:color w:val="000000" w:themeColor="text1"/>
          <w:sz w:val="22"/>
          <w:szCs w:val="22"/>
        </w:rPr>
        <w:t>.</w:t>
      </w:r>
      <w:r w:rsidRPr="00B20ADD">
        <w:rPr>
          <w:rFonts w:ascii="Verdana" w:hAnsi="Verdana" w:cs="Calibri"/>
          <w:color w:val="000000" w:themeColor="text1"/>
          <w:sz w:val="22"/>
          <w:szCs w:val="22"/>
        </w:rPr>
        <w:t xml:space="preserve"> As a 2024 UNICEF global report on immunisation explains, because of its high transmissibility, measles acts as a “canary in the coalmine” quickly exposing wider changes in immunity and uptake, and full coverage (MMR2) is therefore a highly significant indicator to measure.</w:t>
      </w:r>
      <w:r>
        <w:rPr>
          <w:rStyle w:val="FootnoteReference"/>
          <w:rFonts w:ascii="Verdana" w:hAnsi="Verdana" w:cs="Calibri"/>
          <w:color w:val="000000" w:themeColor="text1"/>
          <w:sz w:val="22"/>
          <w:szCs w:val="22"/>
        </w:rPr>
        <w:footnoteReference w:id="3"/>
      </w:r>
    </w:p>
    <w:p w:rsidR="00E66536" w:rsidRPr="00B20ADD" w:rsidP="00B20ADD">
      <w:pPr>
        <w:spacing w:after="120" w:line="20" w:lineRule="atLeast"/>
        <w:rPr>
          <w:rFonts w:ascii="Verdana" w:hAnsi="Verdana" w:cs="Calibri"/>
          <w:b/>
          <w:bCs/>
          <w:color w:val="000000" w:themeColor="text1"/>
          <w:sz w:val="22"/>
          <w:szCs w:val="22"/>
          <w:u w:val="single"/>
        </w:rPr>
      </w:pPr>
      <w:r w:rsidRPr="00B20ADD">
        <w:rPr>
          <w:rFonts w:ascii="Verdana" w:hAnsi="Verdana" w:cs="Calibri"/>
          <w:b/>
          <w:bCs/>
          <w:color w:val="000000" w:themeColor="text1"/>
          <w:sz w:val="22"/>
          <w:szCs w:val="22"/>
          <w:u w:val="single"/>
        </w:rPr>
        <w:t>Key findings</w:t>
      </w:r>
    </w:p>
    <w:p w:rsidR="00931EE4" w:rsidRPr="00B20ADD" w:rsidP="00B20ADD">
      <w:pPr>
        <w:pStyle w:val="ListParagraph"/>
        <w:numPr>
          <w:ilvl w:val="0"/>
          <w:numId w:val="41"/>
        </w:numPr>
        <w:spacing w:after="120" w:line="20" w:lineRule="atLeast"/>
        <w:contextualSpacing w:val="0"/>
        <w:rPr>
          <w:rFonts w:ascii="Verdana" w:eastAsia="Times New Roman" w:hAnsi="Verdana" w:cs="Segoe UI"/>
          <w:b/>
          <w:bCs/>
          <w:kern w:val="0"/>
          <w:sz w:val="22"/>
          <w:szCs w:val="22"/>
          <w:lang w:eastAsia="en-GB"/>
        </w:rPr>
      </w:pPr>
      <w:r w:rsidRPr="00B20ADD">
        <w:rPr>
          <w:rFonts w:ascii="Verdana" w:eastAsia="Times New Roman" w:hAnsi="Verdana" w:cs="Segoe UI"/>
          <w:b/>
          <w:bCs/>
          <w:kern w:val="0"/>
          <w:sz w:val="22"/>
          <w:szCs w:val="22"/>
          <w:lang w:eastAsia="en-GB"/>
        </w:rPr>
        <w:t xml:space="preserve">Our analysis </w:t>
      </w:r>
      <w:r w:rsidRPr="00B20ADD" w:rsidR="006F20AD">
        <w:rPr>
          <w:rFonts w:ascii="Verdana" w:eastAsia="Times New Roman" w:hAnsi="Verdana" w:cs="Segoe UI"/>
          <w:b/>
          <w:bCs/>
          <w:kern w:val="0"/>
          <w:sz w:val="22"/>
          <w:szCs w:val="22"/>
          <w:lang w:eastAsia="en-GB"/>
        </w:rPr>
        <w:t>found</w:t>
      </w:r>
      <w:r w:rsidRPr="00B20ADD">
        <w:rPr>
          <w:rFonts w:ascii="Verdana" w:eastAsia="Times New Roman" w:hAnsi="Verdana" w:cs="Segoe UI"/>
          <w:b/>
          <w:bCs/>
          <w:kern w:val="0"/>
          <w:sz w:val="22"/>
          <w:szCs w:val="22"/>
          <w:lang w:eastAsia="en-GB"/>
        </w:rPr>
        <w:t xml:space="preserve"> a clear and consistent relationship between </w:t>
      </w:r>
      <w:r w:rsidRPr="00B20ADD" w:rsidR="0054160A">
        <w:rPr>
          <w:rFonts w:ascii="Verdana" w:eastAsia="Times New Roman" w:hAnsi="Verdana" w:cs="Segoe UI"/>
          <w:b/>
          <w:bCs/>
          <w:kern w:val="0"/>
          <w:sz w:val="22"/>
          <w:szCs w:val="22"/>
          <w:lang w:eastAsia="en-GB"/>
        </w:rPr>
        <w:t xml:space="preserve">under-5s </w:t>
      </w:r>
      <w:r w:rsidRPr="00B20ADD">
        <w:rPr>
          <w:rFonts w:ascii="Verdana" w:eastAsia="Times New Roman" w:hAnsi="Verdana" w:cs="Segoe UI"/>
          <w:b/>
          <w:bCs/>
          <w:kern w:val="0"/>
          <w:sz w:val="22"/>
          <w:szCs w:val="22"/>
          <w:lang w:eastAsia="en-GB"/>
        </w:rPr>
        <w:t>childhood vaccination coverage and deprivation across England.</w:t>
      </w:r>
    </w:p>
    <w:p w:rsidR="004D1F08" w:rsidRPr="00B20ADD" w:rsidP="00B20ADD">
      <w:pPr>
        <w:pStyle w:val="ListParagraph"/>
        <w:numPr>
          <w:ilvl w:val="0"/>
          <w:numId w:val="41"/>
        </w:numPr>
        <w:spacing w:after="120" w:line="20" w:lineRule="atLeast"/>
        <w:contextualSpacing w:val="0"/>
        <w:rPr>
          <w:rFonts w:ascii="Verdana" w:eastAsia="Times New Roman" w:hAnsi="Verdana" w:cs="Segoe UI"/>
          <w:b/>
          <w:bCs/>
          <w:kern w:val="0"/>
          <w:sz w:val="22"/>
          <w:szCs w:val="22"/>
          <w:lang w:eastAsia="en-GB"/>
        </w:rPr>
      </w:pPr>
      <w:r w:rsidRPr="00B20ADD">
        <w:rPr>
          <w:rFonts w:ascii="Verdana" w:eastAsia="Times New Roman" w:hAnsi="Verdana" w:cs="Segoe UI"/>
          <w:kern w:val="0"/>
          <w:sz w:val="22"/>
          <w:szCs w:val="22"/>
          <w:lang w:eastAsia="en-GB"/>
        </w:rPr>
        <w:t xml:space="preserve">For every routine </w:t>
      </w:r>
      <w:r w:rsidRPr="00B20ADD" w:rsidR="006550BF">
        <w:rPr>
          <w:rFonts w:ascii="Verdana" w:eastAsia="Times New Roman" w:hAnsi="Verdana" w:cs="Segoe UI"/>
          <w:kern w:val="0"/>
          <w:sz w:val="22"/>
          <w:szCs w:val="22"/>
          <w:lang w:eastAsia="en-GB"/>
        </w:rPr>
        <w:t xml:space="preserve">under-5s </w:t>
      </w:r>
      <w:r w:rsidRPr="00B20ADD">
        <w:rPr>
          <w:rFonts w:ascii="Verdana" w:eastAsia="Times New Roman" w:hAnsi="Verdana" w:cs="Segoe UI"/>
          <w:kern w:val="0"/>
          <w:sz w:val="22"/>
          <w:szCs w:val="22"/>
          <w:lang w:eastAsia="en-GB"/>
        </w:rPr>
        <w:t>vaccination, uptake was lowest in the most deprived</w:t>
      </w:r>
      <w:r w:rsidRPr="00B20ADD" w:rsidR="005F13F7">
        <w:rPr>
          <w:rFonts w:ascii="Verdana" w:eastAsia="Times New Roman" w:hAnsi="Verdana" w:cs="Segoe UI"/>
          <w:kern w:val="0"/>
          <w:sz w:val="22"/>
          <w:szCs w:val="22"/>
          <w:lang w:eastAsia="en-GB"/>
        </w:rPr>
        <w:t xml:space="preserve"> </w:t>
      </w:r>
      <w:r w:rsidRPr="00B20ADD">
        <w:rPr>
          <w:rFonts w:ascii="Verdana" w:eastAsia="Times New Roman" w:hAnsi="Verdana" w:cs="Segoe UI"/>
          <w:kern w:val="0"/>
          <w:sz w:val="22"/>
          <w:szCs w:val="22"/>
          <w:lang w:eastAsia="en-GB"/>
        </w:rPr>
        <w:t>areas and highest in the least deprived areas.</w:t>
      </w:r>
      <w:r w:rsidRPr="00B20ADD" w:rsidR="00766813">
        <w:rPr>
          <w:rFonts w:ascii="Verdana" w:eastAsia="Times New Roman" w:hAnsi="Verdana" w:cs="Segoe UI"/>
          <w:kern w:val="0"/>
          <w:sz w:val="22"/>
          <w:szCs w:val="22"/>
          <w:lang w:eastAsia="en-GB"/>
        </w:rPr>
        <w:t xml:space="preserve"> </w:t>
      </w:r>
      <w:r w:rsidRPr="00B20ADD" w:rsidR="00FF619A">
        <w:rPr>
          <w:rFonts w:ascii="Verdana" w:eastAsia="Times New Roman" w:hAnsi="Verdana" w:cs="Segoe UI"/>
          <w:kern w:val="0"/>
          <w:sz w:val="22"/>
          <w:szCs w:val="22"/>
          <w:lang w:eastAsia="en-GB"/>
        </w:rPr>
        <w:t>O</w:t>
      </w:r>
      <w:r w:rsidRPr="00B20ADD" w:rsidR="00766813">
        <w:rPr>
          <w:rFonts w:ascii="Verdana" w:eastAsia="Times New Roman" w:hAnsi="Verdana" w:cs="Segoe UI"/>
          <w:kern w:val="0"/>
          <w:sz w:val="22"/>
          <w:szCs w:val="22"/>
          <w:lang w:eastAsia="en-GB"/>
        </w:rPr>
        <w:t xml:space="preserve">ur analysis </w:t>
      </w:r>
      <w:r w:rsidRPr="00B20ADD" w:rsidR="00766813">
        <w:rPr>
          <w:rFonts w:ascii="Verdana" w:eastAsia="Times New Roman" w:hAnsi="Verdana" w:cs="Segoe UI"/>
          <w:kern w:val="0"/>
          <w:sz w:val="22"/>
          <w:szCs w:val="22"/>
          <w:lang w:eastAsia="en-GB"/>
        </w:rPr>
        <w:t xml:space="preserve">demonstrates that </w:t>
      </w:r>
      <w:r w:rsidRPr="00B20ADD" w:rsidR="002D2BA7">
        <w:rPr>
          <w:rFonts w:ascii="Verdana" w:eastAsia="Times New Roman" w:hAnsi="Verdana" w:cs="Segoe UI"/>
          <w:b/>
          <w:bCs/>
          <w:kern w:val="0"/>
          <w:sz w:val="22"/>
          <w:szCs w:val="22"/>
          <w:lang w:eastAsia="en-GB"/>
        </w:rPr>
        <w:t>vaccination</w:t>
      </w:r>
      <w:r w:rsidRPr="00B20ADD" w:rsidR="00766813">
        <w:rPr>
          <w:rFonts w:ascii="Verdana" w:eastAsia="Times New Roman" w:hAnsi="Verdana" w:cs="Segoe UI"/>
          <w:b/>
          <w:bCs/>
          <w:kern w:val="0"/>
          <w:sz w:val="22"/>
          <w:szCs w:val="22"/>
          <w:lang w:eastAsia="en-GB"/>
        </w:rPr>
        <w:t xml:space="preserve"> rates </w:t>
      </w:r>
      <w:r w:rsidRPr="00B20ADD" w:rsidR="00FF619A">
        <w:rPr>
          <w:rFonts w:ascii="Verdana" w:eastAsia="Times New Roman" w:hAnsi="Verdana" w:cs="Segoe UI"/>
          <w:b/>
          <w:bCs/>
          <w:kern w:val="0"/>
          <w:sz w:val="22"/>
          <w:szCs w:val="22"/>
          <w:lang w:eastAsia="en-GB"/>
        </w:rPr>
        <w:t xml:space="preserve">consistently </w:t>
      </w:r>
      <w:r w:rsidRPr="00B20ADD" w:rsidR="00766813">
        <w:rPr>
          <w:rFonts w:ascii="Verdana" w:eastAsia="Times New Roman" w:hAnsi="Verdana" w:cs="Segoe UI"/>
          <w:b/>
          <w:bCs/>
          <w:kern w:val="0"/>
          <w:sz w:val="22"/>
          <w:szCs w:val="22"/>
          <w:lang w:eastAsia="en-GB"/>
        </w:rPr>
        <w:t xml:space="preserve">decrease </w:t>
      </w:r>
      <w:r w:rsidRPr="00B20ADD" w:rsidR="00A75DB1">
        <w:rPr>
          <w:rFonts w:ascii="Verdana" w:eastAsia="Times New Roman" w:hAnsi="Verdana" w:cs="Segoe UI"/>
          <w:b/>
          <w:bCs/>
          <w:kern w:val="0"/>
          <w:sz w:val="22"/>
          <w:szCs w:val="22"/>
          <w:lang w:eastAsia="en-GB"/>
        </w:rPr>
        <w:t>as deprivation</w:t>
      </w:r>
      <w:r w:rsidRPr="00B20ADD" w:rsidR="00C84531">
        <w:rPr>
          <w:rFonts w:ascii="Verdana" w:eastAsia="Times New Roman" w:hAnsi="Verdana" w:cs="Segoe UI"/>
          <w:b/>
          <w:bCs/>
          <w:kern w:val="0"/>
          <w:sz w:val="22"/>
          <w:szCs w:val="22"/>
          <w:lang w:eastAsia="en-GB"/>
        </w:rPr>
        <w:t xml:space="preserve"> quintiles increase</w:t>
      </w:r>
      <w:r w:rsidRPr="00B20ADD" w:rsidR="00A67D9D">
        <w:rPr>
          <w:rFonts w:ascii="Verdana" w:eastAsia="Times New Roman" w:hAnsi="Verdana" w:cs="Segoe UI"/>
          <w:b/>
          <w:bCs/>
          <w:kern w:val="0"/>
          <w:sz w:val="22"/>
          <w:szCs w:val="22"/>
          <w:lang w:eastAsia="en-GB"/>
        </w:rPr>
        <w:t>d.</w:t>
      </w:r>
    </w:p>
    <w:p w:rsidR="004D1F08" w:rsidRPr="00B20ADD" w:rsidP="00B20ADD">
      <w:pPr>
        <w:pStyle w:val="ListParagraph"/>
        <w:numPr>
          <w:ilvl w:val="1"/>
          <w:numId w:val="41"/>
        </w:numPr>
        <w:spacing w:after="120" w:line="20" w:lineRule="atLeast"/>
        <w:contextualSpacing w:val="0"/>
        <w:rPr>
          <w:rFonts w:ascii="Verdana" w:eastAsia="Times New Roman" w:hAnsi="Verdana" w:cs="Segoe UI"/>
          <w:kern w:val="0"/>
          <w:sz w:val="22"/>
          <w:szCs w:val="22"/>
          <w:lang w:eastAsia="en-GB"/>
        </w:rPr>
      </w:pPr>
      <w:r w:rsidRPr="00B20ADD">
        <w:rPr>
          <w:rFonts w:ascii="Verdana" w:eastAsia="Times New Roman" w:hAnsi="Verdana" w:cs="Segoe UI"/>
          <w:kern w:val="0"/>
          <w:sz w:val="22"/>
          <w:szCs w:val="22"/>
          <w:lang w:eastAsia="en-GB"/>
        </w:rPr>
        <w:t xml:space="preserve">This pattern was observed </w:t>
      </w:r>
      <w:r w:rsidRPr="00B20ADD" w:rsidR="00980C6E">
        <w:rPr>
          <w:rFonts w:ascii="Verdana" w:eastAsia="Times New Roman" w:hAnsi="Verdana" w:cs="Segoe UI"/>
          <w:kern w:val="0"/>
          <w:sz w:val="22"/>
          <w:szCs w:val="22"/>
          <w:lang w:eastAsia="en-GB"/>
        </w:rPr>
        <w:t xml:space="preserve">across all vaccination types </w:t>
      </w:r>
      <w:r w:rsidRPr="00B20ADD">
        <w:rPr>
          <w:rFonts w:ascii="Verdana" w:eastAsia="Times New Roman" w:hAnsi="Verdana" w:cs="Segoe UI"/>
          <w:kern w:val="0"/>
          <w:sz w:val="22"/>
          <w:szCs w:val="22"/>
          <w:lang w:eastAsia="en-GB"/>
        </w:rPr>
        <w:t>without exception and was consistent whether</w:t>
      </w:r>
      <w:r w:rsidRPr="00B20ADD" w:rsidR="00B3349D">
        <w:rPr>
          <w:rFonts w:ascii="Verdana" w:eastAsia="Times New Roman" w:hAnsi="Verdana" w:cs="Segoe UI"/>
          <w:kern w:val="0"/>
          <w:sz w:val="22"/>
          <w:szCs w:val="22"/>
          <w:lang w:eastAsia="en-GB"/>
        </w:rPr>
        <w:t xml:space="preserve"> an area’s level of</w:t>
      </w:r>
      <w:r w:rsidRPr="00B20ADD">
        <w:rPr>
          <w:rFonts w:ascii="Verdana" w:eastAsia="Times New Roman" w:hAnsi="Verdana" w:cs="Segoe UI"/>
          <w:kern w:val="0"/>
          <w:sz w:val="22"/>
          <w:szCs w:val="22"/>
          <w:lang w:eastAsia="en-GB"/>
        </w:rPr>
        <w:t xml:space="preserve"> deprivation was measured using the Index of Multiple Deprivation (IMD) or the Income Deprivation Affecting Children Index (IDACI)</w:t>
      </w:r>
      <w:r w:rsidRPr="00B20ADD" w:rsidR="00B3349D">
        <w:rPr>
          <w:rFonts w:ascii="Verdana" w:eastAsia="Times New Roman" w:hAnsi="Verdana" w:cs="Segoe UI"/>
          <w:kern w:val="0"/>
          <w:sz w:val="22"/>
          <w:szCs w:val="22"/>
          <w:lang w:eastAsia="en-GB"/>
        </w:rPr>
        <w:t>. However</w:t>
      </w:r>
      <w:r w:rsidRPr="00B20ADD" w:rsidR="004E7D23">
        <w:rPr>
          <w:rFonts w:ascii="Verdana" w:eastAsia="Times New Roman" w:hAnsi="Verdana" w:cs="Segoe UI"/>
          <w:kern w:val="0"/>
          <w:sz w:val="22"/>
          <w:szCs w:val="22"/>
          <w:lang w:eastAsia="en-GB"/>
        </w:rPr>
        <w:t>,</w:t>
      </w:r>
      <w:r w:rsidRPr="00B20ADD">
        <w:rPr>
          <w:rFonts w:ascii="Verdana" w:eastAsia="Times New Roman" w:hAnsi="Verdana" w:cs="Segoe UI"/>
          <w:kern w:val="0"/>
          <w:sz w:val="22"/>
          <w:szCs w:val="22"/>
          <w:lang w:eastAsia="en-GB"/>
        </w:rPr>
        <w:t xml:space="preserve"> the </w:t>
      </w:r>
      <w:r w:rsidRPr="00B20ADD">
        <w:rPr>
          <w:rFonts w:ascii="Verdana" w:eastAsia="Times New Roman" w:hAnsi="Verdana" w:cs="Segoe UI"/>
          <w:kern w:val="0"/>
          <w:sz w:val="22"/>
          <w:szCs w:val="22"/>
          <w:lang w:eastAsia="en-GB"/>
        </w:rPr>
        <w:t>relationship</w:t>
      </w:r>
      <w:r w:rsidRPr="00B20ADD" w:rsidR="00B3349D">
        <w:rPr>
          <w:rFonts w:ascii="Verdana" w:eastAsia="Times New Roman" w:hAnsi="Verdana" w:cs="Segoe UI"/>
          <w:kern w:val="0"/>
          <w:sz w:val="22"/>
          <w:szCs w:val="22"/>
          <w:lang w:eastAsia="en-GB"/>
        </w:rPr>
        <w:t xml:space="preserve"> between vaccine uptake and deprivation</w:t>
      </w:r>
      <w:r w:rsidRPr="00B20ADD">
        <w:rPr>
          <w:rFonts w:ascii="Verdana" w:eastAsia="Times New Roman" w:hAnsi="Verdana" w:cs="Segoe UI"/>
          <w:kern w:val="0"/>
          <w:sz w:val="22"/>
          <w:szCs w:val="22"/>
          <w:lang w:eastAsia="en-GB"/>
        </w:rPr>
        <w:t xml:space="preserve"> was generally </w:t>
      </w:r>
      <w:r w:rsidRPr="00B20ADD" w:rsidR="00DB2D23">
        <w:rPr>
          <w:rFonts w:ascii="Verdana" w:eastAsia="Times New Roman" w:hAnsi="Verdana" w:cs="Segoe UI"/>
          <w:kern w:val="0"/>
          <w:sz w:val="22"/>
          <w:szCs w:val="22"/>
          <w:lang w:eastAsia="en-GB"/>
        </w:rPr>
        <w:t>slightly</w:t>
      </w:r>
      <w:r w:rsidRPr="00B20ADD">
        <w:rPr>
          <w:rFonts w:ascii="Verdana" w:eastAsia="Times New Roman" w:hAnsi="Verdana" w:cs="Segoe UI"/>
          <w:kern w:val="0"/>
          <w:sz w:val="22"/>
          <w:szCs w:val="22"/>
          <w:lang w:eastAsia="en-GB"/>
        </w:rPr>
        <w:t xml:space="preserve"> stronger when using IDACI, which specifically measures the proportion of children affected by deprivation in each area</w:t>
      </w:r>
      <w:r w:rsidRPr="00B20ADD" w:rsidR="001417C2">
        <w:rPr>
          <w:rFonts w:ascii="Verdana" w:eastAsia="Times New Roman" w:hAnsi="Verdana" w:cs="Segoe UI"/>
          <w:kern w:val="0"/>
          <w:sz w:val="22"/>
          <w:szCs w:val="22"/>
          <w:lang w:eastAsia="en-GB"/>
        </w:rPr>
        <w:t xml:space="preserve">, than when using IMD, likely reflecting </w:t>
      </w:r>
      <w:r w:rsidRPr="00B20ADD" w:rsidR="002576FF">
        <w:rPr>
          <w:rFonts w:ascii="Verdana" w:eastAsia="Times New Roman" w:hAnsi="Verdana" w:cs="Segoe UI"/>
          <w:kern w:val="0"/>
          <w:sz w:val="22"/>
          <w:szCs w:val="22"/>
          <w:lang w:eastAsia="en-GB"/>
        </w:rPr>
        <w:t xml:space="preserve">IDACI’s </w:t>
      </w:r>
      <w:r w:rsidRPr="00B20ADD" w:rsidR="001417C2">
        <w:rPr>
          <w:rFonts w:ascii="Verdana" w:eastAsia="Times New Roman" w:hAnsi="Verdana" w:cs="Segoe UI"/>
          <w:kern w:val="0"/>
          <w:sz w:val="22"/>
          <w:szCs w:val="22"/>
          <w:lang w:eastAsia="en-GB"/>
        </w:rPr>
        <w:t>specificity to</w:t>
      </w:r>
      <w:r w:rsidRPr="00B20ADD" w:rsidR="002576FF">
        <w:rPr>
          <w:rFonts w:ascii="Verdana" w:eastAsia="Times New Roman" w:hAnsi="Verdana" w:cs="Segoe UI"/>
          <w:kern w:val="0"/>
          <w:sz w:val="22"/>
          <w:szCs w:val="22"/>
          <w:lang w:eastAsia="en-GB"/>
        </w:rPr>
        <w:t xml:space="preserve"> deprivation experienced by</w:t>
      </w:r>
      <w:r w:rsidRPr="00B20ADD" w:rsidR="001417C2">
        <w:rPr>
          <w:rFonts w:ascii="Verdana" w:eastAsia="Times New Roman" w:hAnsi="Verdana" w:cs="Segoe UI"/>
          <w:kern w:val="0"/>
          <w:sz w:val="22"/>
          <w:szCs w:val="22"/>
          <w:lang w:eastAsia="en-GB"/>
        </w:rPr>
        <w:t xml:space="preserve"> children</w:t>
      </w:r>
      <w:r w:rsidRPr="00B20ADD" w:rsidR="004E7D23">
        <w:rPr>
          <w:rFonts w:ascii="Verdana" w:eastAsia="Times New Roman" w:hAnsi="Verdana" w:cs="Segoe UI"/>
          <w:kern w:val="0"/>
          <w:sz w:val="22"/>
          <w:szCs w:val="22"/>
          <w:lang w:eastAsia="en-GB"/>
        </w:rPr>
        <w:t>,</w:t>
      </w:r>
      <w:r w:rsidRPr="00B20ADD" w:rsidR="002576FF">
        <w:rPr>
          <w:rFonts w:ascii="Verdana" w:eastAsia="Times New Roman" w:hAnsi="Verdana" w:cs="Segoe UI"/>
          <w:kern w:val="0"/>
          <w:sz w:val="22"/>
          <w:szCs w:val="22"/>
          <w:lang w:eastAsia="en-GB"/>
        </w:rPr>
        <w:t xml:space="preserve"> rather than across all age groups</w:t>
      </w:r>
      <w:r w:rsidRPr="00B20ADD" w:rsidR="005E37E2">
        <w:rPr>
          <w:rFonts w:ascii="Verdana" w:eastAsia="Times New Roman" w:hAnsi="Verdana" w:cs="Segoe UI"/>
          <w:kern w:val="0"/>
          <w:sz w:val="22"/>
          <w:szCs w:val="22"/>
          <w:lang w:eastAsia="en-GB"/>
        </w:rPr>
        <w:t>.</w:t>
      </w:r>
    </w:p>
    <w:p w:rsidR="00931EE4" w:rsidRPr="00B20ADD" w:rsidP="00B20ADD">
      <w:pPr>
        <w:pStyle w:val="ListParagraph"/>
        <w:numPr>
          <w:ilvl w:val="0"/>
          <w:numId w:val="49"/>
        </w:numPr>
        <w:spacing w:after="120" w:line="20" w:lineRule="atLeast"/>
        <w:contextualSpacing w:val="0"/>
        <w:rPr>
          <w:rFonts w:ascii="Verdana" w:eastAsia="Arial" w:hAnsi="Verdana" w:cs="Calibri"/>
          <w:color w:val="000000" w:themeColor="text1"/>
          <w:sz w:val="22"/>
          <w:szCs w:val="22"/>
        </w:rPr>
      </w:pPr>
      <w:r w:rsidRPr="00B20ADD">
        <w:rPr>
          <w:rFonts w:ascii="Verdana" w:eastAsia="Times New Roman" w:hAnsi="Verdana" w:cs="Segoe UI"/>
          <w:kern w:val="0"/>
          <w:sz w:val="22"/>
          <w:szCs w:val="22"/>
          <w:lang w:eastAsia="en-GB"/>
        </w:rPr>
        <w:t xml:space="preserve">This </w:t>
      </w:r>
      <w:r w:rsidRPr="00B20ADD" w:rsidR="00DF5204">
        <w:rPr>
          <w:rFonts w:ascii="Verdana" w:eastAsia="Times New Roman" w:hAnsi="Verdana" w:cs="Segoe UI"/>
          <w:kern w:val="0"/>
          <w:sz w:val="22"/>
          <w:szCs w:val="22"/>
          <w:lang w:eastAsia="en-GB"/>
        </w:rPr>
        <w:t>means it</w:t>
      </w:r>
      <w:r w:rsidRPr="00B20ADD" w:rsidR="004F57F7">
        <w:rPr>
          <w:rFonts w:ascii="Verdana" w:eastAsia="Times New Roman" w:hAnsi="Verdana" w:cs="Segoe UI"/>
          <w:kern w:val="0"/>
          <w:sz w:val="22"/>
          <w:szCs w:val="22"/>
          <w:lang w:eastAsia="en-GB"/>
        </w:rPr>
        <w:t xml:space="preserve"> is </w:t>
      </w:r>
      <w:r w:rsidRPr="00B20ADD" w:rsidR="004D3034">
        <w:rPr>
          <w:rFonts w:ascii="Verdana" w:eastAsia="Times New Roman" w:hAnsi="Verdana" w:cs="Segoe UI"/>
          <w:kern w:val="0"/>
          <w:sz w:val="22"/>
          <w:szCs w:val="22"/>
          <w:lang w:eastAsia="en-GB"/>
        </w:rPr>
        <w:t xml:space="preserve">often </w:t>
      </w:r>
      <w:r w:rsidRPr="00B20ADD" w:rsidR="004F57F7">
        <w:rPr>
          <w:rFonts w:ascii="Verdana" w:eastAsia="Times New Roman" w:hAnsi="Verdana" w:cs="Segoe UI"/>
          <w:kern w:val="0"/>
          <w:sz w:val="22"/>
          <w:szCs w:val="22"/>
          <w:lang w:eastAsia="en-GB"/>
        </w:rPr>
        <w:t>the same young children who</w:t>
      </w:r>
      <w:r w:rsidRPr="00B20ADD" w:rsidR="00C714CE">
        <w:rPr>
          <w:rFonts w:ascii="Verdana" w:eastAsia="Times New Roman" w:hAnsi="Verdana" w:cs="Segoe UI"/>
          <w:kern w:val="0"/>
          <w:sz w:val="22"/>
          <w:szCs w:val="22"/>
          <w:lang w:eastAsia="en-GB"/>
        </w:rPr>
        <w:t xml:space="preserve"> are already facing </w:t>
      </w:r>
      <w:r w:rsidRPr="00B20ADD" w:rsidR="006A1535">
        <w:rPr>
          <w:rFonts w:ascii="Verdana" w:eastAsia="Times New Roman" w:hAnsi="Verdana" w:cs="Segoe UI"/>
          <w:kern w:val="0"/>
          <w:sz w:val="22"/>
          <w:szCs w:val="22"/>
          <w:lang w:eastAsia="en-GB"/>
        </w:rPr>
        <w:t xml:space="preserve">material </w:t>
      </w:r>
      <w:r w:rsidRPr="00B20ADD">
        <w:rPr>
          <w:rFonts w:ascii="Verdana" w:eastAsia="Times New Roman" w:hAnsi="Verdana" w:cs="Segoe UI"/>
          <w:kern w:val="0"/>
          <w:sz w:val="22"/>
          <w:szCs w:val="22"/>
          <w:lang w:eastAsia="en-GB"/>
        </w:rPr>
        <w:t>disadvantage</w:t>
      </w:r>
      <w:r w:rsidRPr="00B20ADD" w:rsidR="006A1535">
        <w:rPr>
          <w:rFonts w:ascii="Verdana" w:eastAsia="Times New Roman" w:hAnsi="Verdana" w:cs="Segoe UI"/>
          <w:kern w:val="0"/>
          <w:sz w:val="22"/>
          <w:szCs w:val="22"/>
          <w:lang w:eastAsia="en-GB"/>
        </w:rPr>
        <w:t xml:space="preserve"> </w:t>
      </w:r>
      <w:r w:rsidRPr="00B20ADD" w:rsidR="004F57F7">
        <w:rPr>
          <w:rFonts w:ascii="Verdana" w:eastAsia="Times New Roman" w:hAnsi="Verdana" w:cs="Segoe UI"/>
          <w:kern w:val="0"/>
          <w:sz w:val="22"/>
          <w:szCs w:val="22"/>
          <w:lang w:eastAsia="en-GB"/>
        </w:rPr>
        <w:t xml:space="preserve">that are being left behind </w:t>
      </w:r>
      <w:r w:rsidRPr="00B20ADD" w:rsidR="004D3034">
        <w:rPr>
          <w:rFonts w:ascii="Verdana" w:eastAsia="Times New Roman" w:hAnsi="Verdana" w:cs="Segoe UI"/>
          <w:kern w:val="0"/>
          <w:sz w:val="22"/>
          <w:szCs w:val="22"/>
          <w:lang w:eastAsia="en-GB"/>
        </w:rPr>
        <w:t>in vaccine coverage</w:t>
      </w:r>
      <w:r w:rsidRPr="00B20ADD" w:rsidR="00DF5204">
        <w:rPr>
          <w:rFonts w:ascii="Verdana" w:eastAsia="Times New Roman" w:hAnsi="Verdana" w:cs="Segoe UI"/>
          <w:kern w:val="0"/>
          <w:sz w:val="22"/>
          <w:szCs w:val="22"/>
          <w:lang w:eastAsia="en-GB"/>
        </w:rPr>
        <w:t xml:space="preserve"> </w:t>
      </w:r>
      <w:r w:rsidRPr="00B20ADD" w:rsidR="004D3034">
        <w:rPr>
          <w:rFonts w:ascii="Verdana" w:eastAsia="Times New Roman" w:hAnsi="Verdana" w:cs="Segoe UI"/>
          <w:kern w:val="0"/>
          <w:sz w:val="22"/>
          <w:szCs w:val="22"/>
          <w:lang w:eastAsia="en-GB"/>
        </w:rPr>
        <w:t xml:space="preserve">and are </w:t>
      </w:r>
      <w:r w:rsidRPr="00B20ADD" w:rsidR="00DF5204">
        <w:rPr>
          <w:rFonts w:ascii="Verdana" w:eastAsia="Times New Roman" w:hAnsi="Verdana" w:cs="Segoe UI"/>
          <w:kern w:val="0"/>
          <w:sz w:val="22"/>
          <w:szCs w:val="22"/>
          <w:lang w:eastAsia="en-GB"/>
        </w:rPr>
        <w:t xml:space="preserve">therefore </w:t>
      </w:r>
      <w:r w:rsidRPr="00B20ADD" w:rsidR="00203882">
        <w:rPr>
          <w:rFonts w:ascii="Verdana" w:eastAsia="Times New Roman" w:hAnsi="Verdana" w:cs="Segoe UI"/>
          <w:kern w:val="0"/>
          <w:sz w:val="22"/>
          <w:szCs w:val="22"/>
          <w:lang w:eastAsia="en-GB"/>
        </w:rPr>
        <w:t>additionally</w:t>
      </w:r>
      <w:r w:rsidRPr="00B20ADD" w:rsidR="004D3034">
        <w:rPr>
          <w:rFonts w:ascii="Verdana" w:eastAsia="Times New Roman" w:hAnsi="Verdana" w:cs="Segoe UI"/>
          <w:kern w:val="0"/>
          <w:sz w:val="22"/>
          <w:szCs w:val="22"/>
          <w:lang w:eastAsia="en-GB"/>
        </w:rPr>
        <w:t xml:space="preserve"> vulnerable to outbreaks of vaccine-preventable diseases.</w:t>
      </w:r>
    </w:p>
    <w:p w:rsidR="007C0429" w:rsidP="00B20ADD">
      <w:pPr>
        <w:pStyle w:val="ListParagraph"/>
        <w:numPr>
          <w:ilvl w:val="0"/>
          <w:numId w:val="28"/>
        </w:numPr>
        <w:spacing w:after="120" w:line="20" w:lineRule="atLeast"/>
        <w:contextualSpacing w:val="0"/>
        <w:rPr>
          <w:rFonts w:ascii="Verdana" w:hAnsi="Verdana"/>
          <w:color w:val="000000" w:themeColor="text1"/>
          <w:sz w:val="22"/>
          <w:szCs w:val="22"/>
        </w:rPr>
      </w:pPr>
      <w:r w:rsidRPr="00B20ADD">
        <w:rPr>
          <w:rFonts w:ascii="Verdana" w:hAnsi="Verdana"/>
          <w:color w:val="000000" w:themeColor="text1"/>
          <w:sz w:val="22"/>
          <w:szCs w:val="22"/>
        </w:rPr>
        <w:t xml:space="preserve">While there is a clear link with deprivation, it is </w:t>
      </w:r>
      <w:r w:rsidRPr="00B20ADD" w:rsidR="004E7D23">
        <w:rPr>
          <w:rFonts w:ascii="Verdana" w:hAnsi="Verdana"/>
          <w:color w:val="000000" w:themeColor="text1"/>
          <w:sz w:val="22"/>
          <w:szCs w:val="22"/>
        </w:rPr>
        <w:t xml:space="preserve">also </w:t>
      </w:r>
      <w:r w:rsidRPr="00B20ADD">
        <w:rPr>
          <w:rFonts w:ascii="Verdana" w:hAnsi="Verdana"/>
          <w:color w:val="000000" w:themeColor="text1"/>
          <w:sz w:val="22"/>
          <w:szCs w:val="22"/>
        </w:rPr>
        <w:t xml:space="preserve">worth noting that low </w:t>
      </w:r>
      <w:r w:rsidRPr="00B20ADD" w:rsidR="001D4E6D">
        <w:rPr>
          <w:rFonts w:ascii="Verdana" w:hAnsi="Verdana"/>
          <w:color w:val="000000" w:themeColor="text1"/>
          <w:sz w:val="22"/>
          <w:szCs w:val="22"/>
        </w:rPr>
        <w:t>and declin</w:t>
      </w:r>
      <w:r w:rsidRPr="00B20ADD" w:rsidR="00D8608F">
        <w:rPr>
          <w:rFonts w:ascii="Verdana" w:hAnsi="Verdana"/>
          <w:color w:val="000000" w:themeColor="text1"/>
          <w:sz w:val="22"/>
          <w:szCs w:val="22"/>
        </w:rPr>
        <w:t>ing</w:t>
      </w:r>
      <w:r w:rsidRPr="00B20ADD" w:rsidR="001D4E6D">
        <w:rPr>
          <w:rFonts w:ascii="Verdana" w:hAnsi="Verdana"/>
          <w:color w:val="000000" w:themeColor="text1"/>
          <w:sz w:val="22"/>
          <w:szCs w:val="22"/>
        </w:rPr>
        <w:t xml:space="preserve"> </w:t>
      </w:r>
      <w:r w:rsidRPr="00B20ADD" w:rsidR="00B67652">
        <w:rPr>
          <w:rFonts w:ascii="Verdana" w:hAnsi="Verdana"/>
          <w:color w:val="000000" w:themeColor="text1"/>
          <w:sz w:val="22"/>
          <w:szCs w:val="22"/>
        </w:rPr>
        <w:t xml:space="preserve">vaccination coverage is </w:t>
      </w:r>
      <w:r w:rsidRPr="00B20ADD" w:rsidR="001D4E6D">
        <w:rPr>
          <w:rFonts w:ascii="Verdana" w:hAnsi="Verdana"/>
          <w:color w:val="000000" w:themeColor="text1"/>
          <w:sz w:val="22"/>
          <w:szCs w:val="22"/>
        </w:rPr>
        <w:t xml:space="preserve">a </w:t>
      </w:r>
      <w:r w:rsidRPr="00B20ADD" w:rsidR="00692AAD">
        <w:rPr>
          <w:rFonts w:ascii="Verdana" w:hAnsi="Verdana"/>
          <w:color w:val="000000" w:themeColor="text1"/>
          <w:sz w:val="22"/>
          <w:szCs w:val="22"/>
        </w:rPr>
        <w:t xml:space="preserve">widespread issue across </w:t>
      </w:r>
      <w:r w:rsidRPr="00B20ADD" w:rsidR="00464A9C">
        <w:rPr>
          <w:rFonts w:ascii="Verdana" w:hAnsi="Verdana"/>
          <w:color w:val="000000" w:themeColor="text1"/>
          <w:sz w:val="22"/>
          <w:szCs w:val="22"/>
        </w:rPr>
        <w:t>England</w:t>
      </w:r>
      <w:r w:rsidRPr="00B20ADD" w:rsidR="00B67652">
        <w:rPr>
          <w:rFonts w:ascii="Verdana" w:hAnsi="Verdana"/>
          <w:color w:val="000000" w:themeColor="text1"/>
          <w:sz w:val="22"/>
          <w:szCs w:val="22"/>
        </w:rPr>
        <w:t xml:space="preserve">.  </w:t>
      </w:r>
      <w:r w:rsidRPr="00B20ADD">
        <w:rPr>
          <w:rFonts w:ascii="Verdana" w:hAnsi="Verdana"/>
          <w:color w:val="000000" w:themeColor="text1"/>
          <w:sz w:val="22"/>
          <w:szCs w:val="22"/>
        </w:rPr>
        <w:t>No</w:t>
      </w:r>
      <w:r w:rsidRPr="00B20ADD" w:rsidR="00B67652">
        <w:rPr>
          <w:rFonts w:ascii="Verdana" w:hAnsi="Verdana"/>
          <w:color w:val="000000" w:themeColor="text1"/>
          <w:sz w:val="22"/>
          <w:szCs w:val="22"/>
        </w:rPr>
        <w:t xml:space="preserve"> IMD</w:t>
      </w:r>
      <w:r w:rsidRPr="00B20ADD">
        <w:rPr>
          <w:rFonts w:ascii="Verdana" w:hAnsi="Verdana"/>
          <w:color w:val="000000" w:themeColor="text1"/>
          <w:sz w:val="22"/>
          <w:szCs w:val="22"/>
        </w:rPr>
        <w:t xml:space="preserve"> </w:t>
      </w:r>
      <w:r w:rsidRPr="00B20ADD" w:rsidR="00B67652">
        <w:rPr>
          <w:rFonts w:ascii="Verdana" w:hAnsi="Verdana"/>
          <w:color w:val="000000" w:themeColor="text1"/>
          <w:sz w:val="22"/>
          <w:szCs w:val="22"/>
        </w:rPr>
        <w:t xml:space="preserve">quintile of areas, including </w:t>
      </w:r>
      <w:r w:rsidRPr="00B20ADD" w:rsidR="002369F1">
        <w:rPr>
          <w:rFonts w:ascii="Verdana" w:hAnsi="Verdana"/>
          <w:color w:val="000000" w:themeColor="text1"/>
          <w:sz w:val="22"/>
          <w:szCs w:val="22"/>
        </w:rPr>
        <w:t xml:space="preserve">quintile 1 </w:t>
      </w:r>
      <w:r w:rsidRPr="00B20ADD" w:rsidR="006550BF">
        <w:rPr>
          <w:rFonts w:ascii="Verdana" w:hAnsi="Verdana"/>
          <w:color w:val="000000" w:themeColor="text1"/>
          <w:sz w:val="22"/>
          <w:szCs w:val="22"/>
        </w:rPr>
        <w:t xml:space="preserve">which contains </w:t>
      </w:r>
      <w:r w:rsidRPr="00B20ADD" w:rsidR="002369F1">
        <w:rPr>
          <w:rFonts w:ascii="Verdana" w:hAnsi="Verdana"/>
          <w:color w:val="000000" w:themeColor="text1"/>
          <w:sz w:val="22"/>
          <w:szCs w:val="22"/>
        </w:rPr>
        <w:t xml:space="preserve">the most affluent </w:t>
      </w:r>
      <w:r w:rsidRPr="00B20ADD">
        <w:rPr>
          <w:rFonts w:ascii="Verdana" w:hAnsi="Verdana"/>
          <w:color w:val="000000" w:themeColor="text1"/>
          <w:sz w:val="22"/>
          <w:szCs w:val="22"/>
        </w:rPr>
        <w:t>20% of areas, met the WHO 95% uptake threshold for any</w:t>
      </w:r>
      <w:r w:rsidRPr="00B20ADD" w:rsidR="002369F1">
        <w:rPr>
          <w:rFonts w:ascii="Verdana" w:hAnsi="Verdana"/>
          <w:color w:val="000000" w:themeColor="text1"/>
          <w:sz w:val="22"/>
          <w:szCs w:val="22"/>
        </w:rPr>
        <w:t xml:space="preserve"> routine</w:t>
      </w:r>
      <w:r w:rsidRPr="00B20ADD">
        <w:rPr>
          <w:rFonts w:ascii="Verdana" w:hAnsi="Verdana"/>
          <w:color w:val="000000" w:themeColor="text1"/>
          <w:sz w:val="22"/>
          <w:szCs w:val="22"/>
        </w:rPr>
        <w:t xml:space="preserve"> under-5s vaccination</w:t>
      </w:r>
      <w:r w:rsidRPr="00B20ADD" w:rsidR="002369F1">
        <w:rPr>
          <w:rFonts w:ascii="Verdana" w:hAnsi="Verdana"/>
          <w:color w:val="000000" w:themeColor="text1"/>
          <w:sz w:val="22"/>
          <w:szCs w:val="22"/>
        </w:rPr>
        <w:t>.</w:t>
      </w:r>
      <w:r w:rsidRPr="00B20ADD">
        <w:rPr>
          <w:rFonts w:ascii="Verdana" w:hAnsi="Verdana"/>
          <w:color w:val="000000" w:themeColor="text1"/>
          <w:sz w:val="22"/>
          <w:szCs w:val="22"/>
        </w:rPr>
        <w:t xml:space="preserve"> </w:t>
      </w:r>
      <w:r w:rsidRPr="00B20ADD" w:rsidR="00AD5462">
        <w:rPr>
          <w:rFonts w:ascii="Verdana" w:hAnsi="Verdana"/>
          <w:color w:val="000000" w:themeColor="text1"/>
          <w:sz w:val="22"/>
          <w:szCs w:val="22"/>
        </w:rPr>
        <w:t xml:space="preserve">Likewise, no </w:t>
      </w:r>
      <w:r w:rsidRPr="00B20ADD">
        <w:rPr>
          <w:rFonts w:ascii="Verdana" w:hAnsi="Verdana"/>
          <w:color w:val="000000" w:themeColor="text1"/>
          <w:sz w:val="22"/>
          <w:szCs w:val="22"/>
        </w:rPr>
        <w:t xml:space="preserve">Upper Tier Local Authority </w:t>
      </w:r>
      <w:r w:rsidRPr="00B20ADD" w:rsidR="002369F1">
        <w:rPr>
          <w:rFonts w:ascii="Verdana" w:hAnsi="Verdana"/>
          <w:color w:val="000000" w:themeColor="text1"/>
          <w:sz w:val="22"/>
          <w:szCs w:val="22"/>
        </w:rPr>
        <w:t xml:space="preserve">in England </w:t>
      </w:r>
      <w:r w:rsidRPr="00B20ADD">
        <w:rPr>
          <w:rFonts w:ascii="Verdana" w:hAnsi="Verdana"/>
          <w:color w:val="000000" w:themeColor="text1"/>
          <w:sz w:val="22"/>
          <w:szCs w:val="22"/>
        </w:rPr>
        <w:t xml:space="preserve">achieved </w:t>
      </w:r>
      <w:r w:rsidRPr="00B20ADD" w:rsidR="00C629FB">
        <w:rPr>
          <w:rFonts w:ascii="Verdana" w:hAnsi="Verdana"/>
          <w:color w:val="000000" w:themeColor="text1"/>
          <w:sz w:val="22"/>
          <w:szCs w:val="22"/>
        </w:rPr>
        <w:t>the</w:t>
      </w:r>
      <w:r w:rsidRPr="00B20ADD">
        <w:rPr>
          <w:rFonts w:ascii="Verdana" w:hAnsi="Verdana"/>
          <w:color w:val="000000" w:themeColor="text1"/>
          <w:sz w:val="22"/>
          <w:szCs w:val="22"/>
        </w:rPr>
        <w:t xml:space="preserve"> 95% </w:t>
      </w:r>
      <w:r w:rsidRPr="00B20ADD" w:rsidR="00C629FB">
        <w:rPr>
          <w:rFonts w:ascii="Verdana" w:hAnsi="Verdana"/>
          <w:color w:val="000000" w:themeColor="text1"/>
          <w:sz w:val="22"/>
          <w:szCs w:val="22"/>
        </w:rPr>
        <w:t xml:space="preserve">WHO </w:t>
      </w:r>
      <w:r w:rsidRPr="00B20ADD" w:rsidR="002369F1">
        <w:rPr>
          <w:rFonts w:ascii="Verdana" w:hAnsi="Verdana"/>
          <w:color w:val="000000" w:themeColor="text1"/>
          <w:sz w:val="22"/>
          <w:szCs w:val="22"/>
        </w:rPr>
        <w:t xml:space="preserve">coverage </w:t>
      </w:r>
      <w:r w:rsidRPr="00B20ADD" w:rsidR="00C629FB">
        <w:rPr>
          <w:rFonts w:ascii="Verdana" w:hAnsi="Verdana"/>
          <w:color w:val="000000" w:themeColor="text1"/>
          <w:sz w:val="22"/>
          <w:szCs w:val="22"/>
        </w:rPr>
        <w:t xml:space="preserve">target </w:t>
      </w:r>
      <w:r w:rsidRPr="00B20ADD" w:rsidR="002369F1">
        <w:rPr>
          <w:rFonts w:ascii="Verdana" w:hAnsi="Verdana"/>
          <w:color w:val="000000" w:themeColor="text1"/>
          <w:sz w:val="22"/>
          <w:szCs w:val="22"/>
        </w:rPr>
        <w:t xml:space="preserve">for either MMR2 </w:t>
      </w:r>
      <w:r w:rsidRPr="00B20ADD" w:rsidR="004744E3">
        <w:rPr>
          <w:rFonts w:ascii="Verdana" w:hAnsi="Verdana"/>
          <w:color w:val="000000" w:themeColor="text1"/>
          <w:sz w:val="22"/>
          <w:szCs w:val="22"/>
        </w:rPr>
        <w:t>or</w:t>
      </w:r>
      <w:r w:rsidRPr="00B20ADD" w:rsidR="002369F1">
        <w:rPr>
          <w:rFonts w:ascii="Verdana" w:hAnsi="Verdana"/>
          <w:color w:val="000000" w:themeColor="text1"/>
          <w:sz w:val="22"/>
          <w:szCs w:val="22"/>
        </w:rPr>
        <w:t xml:space="preserve"> the </w:t>
      </w:r>
      <w:r w:rsidRPr="00B20ADD">
        <w:rPr>
          <w:rFonts w:ascii="Verdana" w:hAnsi="Verdana"/>
          <w:color w:val="000000" w:themeColor="text1"/>
          <w:sz w:val="22"/>
          <w:szCs w:val="22"/>
        </w:rPr>
        <w:t>DTaP/IPV booster.</w:t>
      </w:r>
      <w:r w:rsidRPr="00B20ADD" w:rsidR="00C1770E">
        <w:rPr>
          <w:rFonts w:ascii="Verdana" w:hAnsi="Verdana"/>
          <w:color w:val="000000" w:themeColor="text1"/>
          <w:sz w:val="22"/>
          <w:szCs w:val="22"/>
        </w:rPr>
        <w:t xml:space="preserve"> </w:t>
      </w:r>
    </w:p>
    <w:p w:rsidR="00B20ADD" w:rsidRPr="00B20ADD" w:rsidP="00B20ADD">
      <w:pPr>
        <w:spacing w:after="120" w:line="20" w:lineRule="atLeast"/>
        <w:rPr>
          <w:rFonts w:ascii="Verdana" w:hAnsi="Verdana"/>
          <w:color w:val="000000" w:themeColor="text1"/>
          <w:sz w:val="22"/>
          <w:szCs w:val="22"/>
        </w:rPr>
      </w:pPr>
    </w:p>
    <w:p w:rsidR="007C0429" w:rsidRPr="00B20ADD" w:rsidP="00B20ADD">
      <w:pPr>
        <w:spacing w:after="120" w:line="20" w:lineRule="atLeast"/>
        <w:jc w:val="center"/>
        <w:rPr>
          <w:rFonts w:ascii="Verdana" w:hAnsi="Verdana"/>
          <w:i/>
          <w:iCs/>
          <w:sz w:val="22"/>
          <w:szCs w:val="22"/>
        </w:rPr>
      </w:pPr>
      <w:r w:rsidRPr="00B20ADD">
        <w:rPr>
          <w:rFonts w:ascii="Verdana" w:hAnsi="Verdana"/>
          <w:i/>
          <w:iCs/>
          <w:sz w:val="22"/>
          <w:szCs w:val="22"/>
        </w:rPr>
        <w:t>Percentage of children aged 5 years vaccinated in 2024-25, using weighted averages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tblPr>
      <w:tblGrid>
        <w:gridCol w:w="1491"/>
        <w:gridCol w:w="1631"/>
        <w:gridCol w:w="1559"/>
        <w:gridCol w:w="1560"/>
        <w:gridCol w:w="1559"/>
        <w:gridCol w:w="1417"/>
      </w:tblGrid>
      <w:tr w:rsidTr="00BF4A87">
        <w:tblPrEx>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tblPrEx>
        <w:trPr>
          <w:trHeight w:val="1334"/>
        </w:trPr>
        <w:tc>
          <w:tcPr>
            <w:tcW w:w="1341" w:type="dxa"/>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IMD Deprivation Quintiles</w:t>
            </w:r>
          </w:p>
        </w:tc>
        <w:tc>
          <w:tcPr>
            <w:tcW w:w="1631" w:type="dxa"/>
            <w:vAlign w:val="center"/>
            <w:hideMark/>
          </w:tcPr>
          <w:p w:rsidR="007C0429" w:rsidRPr="00B20ADD">
            <w:pPr>
              <w:spacing w:after="0" w:line="240" w:lineRule="auto"/>
              <w:jc w:val="center"/>
              <w:rPr>
                <w:rFonts w:ascii="Verdana" w:eastAsia="Times New Roman" w:hAnsi="Verdana" w:cs="Times New Roman"/>
                <w:b/>
                <w:color w:val="31849B" w:themeColor="accent5" w:themeShade="BF"/>
                <w:kern w:val="0"/>
                <w:sz w:val="22"/>
                <w:szCs w:val="22"/>
                <w:lang w:eastAsia="en-GB"/>
              </w:rPr>
            </w:pPr>
            <w:r w:rsidRPr="00B20ADD">
              <w:rPr>
                <w:rFonts w:ascii="Verdana" w:eastAsia="Times New Roman" w:hAnsi="Verdana" w:cs="Times New Roman"/>
                <w:b/>
                <w:color w:val="31849B" w:themeColor="accent5" w:themeShade="BF"/>
                <w:kern w:val="0"/>
                <w:sz w:val="22"/>
                <w:szCs w:val="22"/>
                <w:lang w:eastAsia="en-GB"/>
              </w:rPr>
              <w:t>DTaP/IPV/</w:t>
            </w:r>
            <w:r w:rsidRPr="00B20ADD" w:rsidR="00BF4A87">
              <w:rPr>
                <w:rFonts w:ascii="Verdana" w:eastAsia="Times New Roman" w:hAnsi="Verdana" w:cs="Times New Roman"/>
                <w:b/>
                <w:bCs/>
                <w:color w:val="31849B" w:themeColor="accent5" w:themeShade="BF"/>
                <w:kern w:val="0"/>
                <w:sz w:val="22"/>
                <w:szCs w:val="22"/>
                <w:lang w:eastAsia="en-GB"/>
              </w:rPr>
              <w:t xml:space="preserve"> </w:t>
            </w:r>
            <w:r w:rsidRPr="00B20ADD">
              <w:rPr>
                <w:rFonts w:ascii="Verdana" w:eastAsia="Times New Roman" w:hAnsi="Verdana" w:cs="Times New Roman"/>
                <w:b/>
                <w:color w:val="31849B" w:themeColor="accent5" w:themeShade="BF"/>
                <w:kern w:val="0"/>
                <w:sz w:val="22"/>
                <w:szCs w:val="22"/>
                <w:lang w:eastAsia="en-GB"/>
              </w:rPr>
              <w:t xml:space="preserve">Hib/HepB </w:t>
            </w:r>
            <w:r w:rsidRPr="00B20ADD">
              <w:rPr>
                <w:rFonts w:ascii="Verdana" w:eastAsia="Times New Roman" w:hAnsi="Verdana" w:cs="Times New Roman"/>
                <w:b/>
                <w:color w:val="31849B" w:themeColor="accent5" w:themeShade="BF"/>
                <w:kern w:val="0"/>
                <w:sz w:val="22"/>
                <w:szCs w:val="22"/>
                <w:lang w:eastAsia="en-GB"/>
              </w:rPr>
              <w:br/>
            </w:r>
          </w:p>
        </w:tc>
        <w:tc>
          <w:tcPr>
            <w:tcW w:w="1559" w:type="dxa"/>
            <w:vAlign w:val="center"/>
            <w:hideMark/>
          </w:tcPr>
          <w:p w:rsidR="007C0429" w:rsidRPr="00B20ADD">
            <w:pPr>
              <w:spacing w:after="0" w:line="240" w:lineRule="auto"/>
              <w:jc w:val="center"/>
              <w:rPr>
                <w:rFonts w:ascii="Verdana" w:eastAsia="Times New Roman" w:hAnsi="Verdana" w:cs="Times New Roman"/>
                <w:b/>
                <w:color w:val="31849B" w:themeColor="accent5" w:themeShade="BF"/>
                <w:kern w:val="0"/>
                <w:sz w:val="22"/>
                <w:szCs w:val="22"/>
                <w:lang w:eastAsia="en-GB"/>
              </w:rPr>
            </w:pPr>
            <w:r w:rsidRPr="00B20ADD">
              <w:rPr>
                <w:rFonts w:ascii="Verdana" w:eastAsia="Times New Roman" w:hAnsi="Verdana" w:cs="Times New Roman"/>
                <w:b/>
                <w:color w:val="31849B" w:themeColor="accent5" w:themeShade="BF"/>
                <w:kern w:val="0"/>
                <w:sz w:val="22"/>
                <w:szCs w:val="22"/>
                <w:lang w:eastAsia="en-GB"/>
              </w:rPr>
              <w:t>MMR1</w:t>
            </w:r>
            <w:r w:rsidRPr="00B20ADD">
              <w:rPr>
                <w:rFonts w:ascii="Verdana" w:eastAsia="Times New Roman" w:hAnsi="Verdana" w:cs="Times New Roman"/>
                <w:b/>
                <w:color w:val="31849B" w:themeColor="accent5" w:themeShade="BF"/>
                <w:kern w:val="0"/>
                <w:sz w:val="22"/>
                <w:szCs w:val="22"/>
                <w:lang w:eastAsia="en-GB"/>
              </w:rPr>
              <w:br/>
            </w:r>
          </w:p>
        </w:tc>
        <w:tc>
          <w:tcPr>
            <w:tcW w:w="1560" w:type="dxa"/>
            <w:vAlign w:val="center"/>
            <w:hideMark/>
          </w:tcPr>
          <w:p w:rsidR="007C0429" w:rsidRPr="00B20ADD">
            <w:pPr>
              <w:spacing w:after="0" w:line="240" w:lineRule="auto"/>
              <w:jc w:val="center"/>
              <w:rPr>
                <w:rFonts w:ascii="Verdana" w:eastAsia="Times New Roman" w:hAnsi="Verdana" w:cs="Times New Roman"/>
                <w:b/>
                <w:color w:val="31849B" w:themeColor="accent5" w:themeShade="BF"/>
                <w:kern w:val="0"/>
                <w:sz w:val="22"/>
                <w:szCs w:val="22"/>
                <w:lang w:eastAsia="en-GB"/>
              </w:rPr>
            </w:pPr>
            <w:r w:rsidRPr="00B20ADD">
              <w:rPr>
                <w:rFonts w:ascii="Verdana" w:eastAsia="Times New Roman" w:hAnsi="Verdana" w:cs="Times New Roman"/>
                <w:b/>
                <w:color w:val="31849B" w:themeColor="accent5" w:themeShade="BF"/>
                <w:kern w:val="0"/>
                <w:sz w:val="22"/>
                <w:szCs w:val="22"/>
                <w:lang w:eastAsia="en-GB"/>
              </w:rPr>
              <w:t>DTaP/IPV booster</w:t>
            </w:r>
            <w:r w:rsidRPr="00B20ADD">
              <w:rPr>
                <w:rFonts w:ascii="Verdana" w:eastAsia="Times New Roman" w:hAnsi="Verdana" w:cs="Times New Roman"/>
                <w:b/>
                <w:color w:val="31849B" w:themeColor="accent5" w:themeShade="BF"/>
                <w:kern w:val="0"/>
                <w:sz w:val="22"/>
                <w:szCs w:val="22"/>
                <w:lang w:eastAsia="en-GB"/>
              </w:rPr>
              <w:br/>
            </w:r>
          </w:p>
        </w:tc>
        <w:tc>
          <w:tcPr>
            <w:tcW w:w="1559" w:type="dxa"/>
            <w:vAlign w:val="center"/>
            <w:hideMark/>
          </w:tcPr>
          <w:p w:rsidR="007C0429" w:rsidRPr="00B20ADD">
            <w:pPr>
              <w:spacing w:after="0" w:line="240" w:lineRule="auto"/>
              <w:jc w:val="center"/>
              <w:rPr>
                <w:rFonts w:ascii="Verdana" w:eastAsia="Times New Roman" w:hAnsi="Verdana" w:cs="Times New Roman"/>
                <w:b/>
                <w:color w:val="31849B" w:themeColor="accent5" w:themeShade="BF"/>
                <w:kern w:val="0"/>
                <w:sz w:val="22"/>
                <w:szCs w:val="22"/>
                <w:lang w:eastAsia="en-GB"/>
              </w:rPr>
            </w:pPr>
            <w:r w:rsidRPr="00B20ADD">
              <w:rPr>
                <w:rFonts w:ascii="Verdana" w:eastAsia="Times New Roman" w:hAnsi="Verdana" w:cs="Times New Roman"/>
                <w:b/>
                <w:color w:val="31849B" w:themeColor="accent5" w:themeShade="BF"/>
                <w:kern w:val="0"/>
                <w:sz w:val="22"/>
                <w:szCs w:val="22"/>
                <w:lang w:eastAsia="en-GB"/>
              </w:rPr>
              <w:t>Hib/MenC booster</w:t>
            </w:r>
            <w:r w:rsidRPr="00B20ADD">
              <w:rPr>
                <w:rFonts w:ascii="Verdana" w:eastAsia="Times New Roman" w:hAnsi="Verdana" w:cs="Times New Roman"/>
                <w:b/>
                <w:color w:val="31849B" w:themeColor="accent5" w:themeShade="BF"/>
                <w:kern w:val="0"/>
                <w:sz w:val="22"/>
                <w:szCs w:val="22"/>
                <w:lang w:eastAsia="en-GB"/>
              </w:rPr>
              <w:br/>
            </w:r>
          </w:p>
        </w:tc>
        <w:tc>
          <w:tcPr>
            <w:tcW w:w="1417" w:type="dxa"/>
            <w:vAlign w:val="center"/>
            <w:hideMark/>
          </w:tcPr>
          <w:p w:rsidR="007C0429" w:rsidRPr="00B20ADD">
            <w:pPr>
              <w:spacing w:after="0" w:line="240" w:lineRule="auto"/>
              <w:jc w:val="center"/>
              <w:rPr>
                <w:rFonts w:ascii="Verdana" w:eastAsia="Times New Roman" w:hAnsi="Verdana" w:cs="Times New Roman"/>
                <w:b/>
                <w:color w:val="31849B" w:themeColor="accent5" w:themeShade="BF"/>
                <w:kern w:val="0"/>
                <w:sz w:val="22"/>
                <w:szCs w:val="22"/>
                <w:lang w:eastAsia="en-GB"/>
              </w:rPr>
            </w:pPr>
            <w:r w:rsidRPr="00B20ADD">
              <w:rPr>
                <w:rFonts w:ascii="Verdana" w:eastAsia="Times New Roman" w:hAnsi="Verdana" w:cs="Times New Roman"/>
                <w:b/>
                <w:color w:val="31849B" w:themeColor="accent5" w:themeShade="BF"/>
                <w:kern w:val="0"/>
                <w:sz w:val="22"/>
                <w:szCs w:val="22"/>
                <w:lang w:eastAsia="en-GB"/>
              </w:rPr>
              <w:t>MMR2</w:t>
            </w:r>
            <w:r w:rsidRPr="00B20ADD">
              <w:rPr>
                <w:rFonts w:ascii="Verdana" w:eastAsia="Times New Roman" w:hAnsi="Verdana" w:cs="Times New Roman"/>
                <w:b/>
                <w:color w:val="31849B" w:themeColor="accent5" w:themeShade="BF"/>
                <w:kern w:val="0"/>
                <w:sz w:val="22"/>
                <w:szCs w:val="22"/>
                <w:lang w:eastAsia="en-GB"/>
              </w:rPr>
              <w:br/>
            </w:r>
          </w:p>
        </w:tc>
      </w:tr>
      <w:tr w:rsidTr="00BF4A87">
        <w:tblPrEx>
          <w:tblW w:w="9067" w:type="dxa"/>
          <w:tblCellMar>
            <w:top w:w="15" w:type="dxa"/>
            <w:bottom w:w="15" w:type="dxa"/>
          </w:tblCellMar>
          <w:tblLook w:val="04A0"/>
        </w:tblPrEx>
        <w:trPr>
          <w:trHeight w:val="298"/>
        </w:trPr>
        <w:tc>
          <w:tcPr>
            <w:tcW w:w="1341" w:type="dxa"/>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1st Quintile (least deprived)</w:t>
            </w:r>
          </w:p>
        </w:tc>
        <w:tc>
          <w:tcPr>
            <w:tcW w:w="1631" w:type="dxa"/>
            <w:shd w:val="clear" w:color="000000" w:fill="74C58A"/>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94.73%</w:t>
            </w:r>
          </w:p>
        </w:tc>
        <w:tc>
          <w:tcPr>
            <w:tcW w:w="1559" w:type="dxa"/>
            <w:shd w:val="clear" w:color="000000" w:fill="7AC88F"/>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94.11%</w:t>
            </w:r>
          </w:p>
        </w:tc>
        <w:tc>
          <w:tcPr>
            <w:tcW w:w="1560" w:type="dxa"/>
            <w:shd w:val="clear" w:color="000000" w:fill="81CA95"/>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85.62%</w:t>
            </w:r>
          </w:p>
        </w:tc>
        <w:tc>
          <w:tcPr>
            <w:tcW w:w="1559" w:type="dxa"/>
            <w:shd w:val="clear" w:color="000000" w:fill="7DC992"/>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91.90%</w:t>
            </w:r>
          </w:p>
        </w:tc>
        <w:tc>
          <w:tcPr>
            <w:tcW w:w="1417" w:type="dxa"/>
            <w:shd w:val="clear" w:color="000000" w:fill="7BC890"/>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87.81%</w:t>
            </w:r>
          </w:p>
        </w:tc>
      </w:tr>
      <w:tr w:rsidTr="00BF4A87">
        <w:tblPrEx>
          <w:tblW w:w="9067" w:type="dxa"/>
          <w:tblCellMar>
            <w:top w:w="15" w:type="dxa"/>
            <w:bottom w:w="15" w:type="dxa"/>
          </w:tblCellMar>
          <w:tblLook w:val="04A0"/>
        </w:tblPrEx>
        <w:trPr>
          <w:trHeight w:val="298"/>
        </w:trPr>
        <w:tc>
          <w:tcPr>
            <w:tcW w:w="1341" w:type="dxa"/>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2nd Quintile</w:t>
            </w:r>
          </w:p>
        </w:tc>
        <w:tc>
          <w:tcPr>
            <w:tcW w:w="1631" w:type="dxa"/>
            <w:shd w:val="clear" w:color="000000" w:fill="9ED6AE"/>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94.02%</w:t>
            </w:r>
          </w:p>
        </w:tc>
        <w:tc>
          <w:tcPr>
            <w:tcW w:w="1559" w:type="dxa"/>
            <w:shd w:val="clear" w:color="000000" w:fill="ACDCBA"/>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93.17%</w:t>
            </w:r>
          </w:p>
        </w:tc>
        <w:tc>
          <w:tcPr>
            <w:tcW w:w="1560" w:type="dxa"/>
            <w:shd w:val="clear" w:color="000000" w:fill="ADDCB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84.27%</w:t>
            </w:r>
          </w:p>
        </w:tc>
        <w:tc>
          <w:tcPr>
            <w:tcW w:w="1559" w:type="dxa"/>
            <w:shd w:val="clear" w:color="000000" w:fill="B2DEC0"/>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90.59%</w:t>
            </w:r>
          </w:p>
        </w:tc>
        <w:tc>
          <w:tcPr>
            <w:tcW w:w="1417" w:type="dxa"/>
            <w:shd w:val="clear" w:color="000000" w:fill="ACDCBA"/>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86.22%</w:t>
            </w:r>
          </w:p>
        </w:tc>
      </w:tr>
      <w:tr w:rsidTr="00BF4A87">
        <w:tblPrEx>
          <w:tblW w:w="9067" w:type="dxa"/>
          <w:tblCellMar>
            <w:top w:w="15" w:type="dxa"/>
            <w:bottom w:w="15" w:type="dxa"/>
          </w:tblCellMar>
          <w:tblLook w:val="04A0"/>
        </w:tblPrEx>
        <w:trPr>
          <w:trHeight w:val="298"/>
        </w:trPr>
        <w:tc>
          <w:tcPr>
            <w:tcW w:w="1341" w:type="dxa"/>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3rd Quintile</w:t>
            </w:r>
          </w:p>
        </w:tc>
        <w:tc>
          <w:tcPr>
            <w:tcW w:w="1631" w:type="dxa"/>
            <w:shd w:val="clear" w:color="000000" w:fill="FBF3F6"/>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92.20%</w:t>
            </w:r>
          </w:p>
        </w:tc>
        <w:tc>
          <w:tcPr>
            <w:tcW w:w="1559" w:type="dxa"/>
            <w:shd w:val="clear" w:color="000000" w:fill="FBECEF"/>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91.21%</w:t>
            </w:r>
          </w:p>
        </w:tc>
        <w:tc>
          <w:tcPr>
            <w:tcW w:w="1560" w:type="dxa"/>
            <w:shd w:val="clear" w:color="000000" w:fill="FBDBDD"/>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79.78%</w:t>
            </w:r>
          </w:p>
        </w:tc>
        <w:tc>
          <w:tcPr>
            <w:tcW w:w="1559" w:type="dxa"/>
            <w:shd w:val="clear" w:color="000000" w:fill="FBDCDF"/>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87.80%</w:t>
            </w:r>
          </w:p>
        </w:tc>
        <w:tc>
          <w:tcPr>
            <w:tcW w:w="1417" w:type="dxa"/>
            <w:shd w:val="clear" w:color="000000" w:fill="FBE2E5"/>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82.29%</w:t>
            </w:r>
          </w:p>
        </w:tc>
      </w:tr>
      <w:tr w:rsidTr="00BF4A87">
        <w:tblPrEx>
          <w:tblW w:w="9067" w:type="dxa"/>
          <w:tblCellMar>
            <w:top w:w="15" w:type="dxa"/>
            <w:bottom w:w="15" w:type="dxa"/>
          </w:tblCellMar>
          <w:tblLook w:val="04A0"/>
        </w:tblPrEx>
        <w:trPr>
          <w:trHeight w:val="298"/>
        </w:trPr>
        <w:tc>
          <w:tcPr>
            <w:tcW w:w="1341" w:type="dxa"/>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4th Quintile</w:t>
            </w:r>
          </w:p>
        </w:tc>
        <w:tc>
          <w:tcPr>
            <w:tcW w:w="1631" w:type="dxa"/>
            <w:shd w:val="clear" w:color="000000" w:fill="FBEEF1"/>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92.07%</w:t>
            </w:r>
          </w:p>
        </w:tc>
        <w:tc>
          <w:tcPr>
            <w:tcW w:w="1559" w:type="dxa"/>
            <w:shd w:val="clear" w:color="000000" w:fill="FBEAED"/>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91.17%</w:t>
            </w:r>
          </w:p>
        </w:tc>
        <w:tc>
          <w:tcPr>
            <w:tcW w:w="1560" w:type="dxa"/>
            <w:shd w:val="clear" w:color="000000" w:fill="FAD0D3"/>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79.14%</w:t>
            </w:r>
          </w:p>
        </w:tc>
        <w:tc>
          <w:tcPr>
            <w:tcW w:w="1559" w:type="dxa"/>
            <w:shd w:val="clear" w:color="000000" w:fill="FAC5C8"/>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87.09%</w:t>
            </w:r>
          </w:p>
        </w:tc>
        <w:tc>
          <w:tcPr>
            <w:tcW w:w="1417" w:type="dxa"/>
            <w:shd w:val="clear" w:color="000000" w:fill="FBDFE2"/>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82.14%</w:t>
            </w:r>
          </w:p>
        </w:tc>
      </w:tr>
      <w:tr w:rsidTr="00BF4A87">
        <w:tblPrEx>
          <w:tblW w:w="9067" w:type="dxa"/>
          <w:tblCellMar>
            <w:top w:w="15" w:type="dxa"/>
            <w:bottom w:w="15" w:type="dxa"/>
          </w:tblCellMar>
          <w:tblLook w:val="04A0"/>
        </w:tblPrEx>
        <w:trPr>
          <w:trHeight w:val="298"/>
        </w:trPr>
        <w:tc>
          <w:tcPr>
            <w:tcW w:w="1341" w:type="dxa"/>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5th Quintile (most deprived)</w:t>
            </w:r>
          </w:p>
        </w:tc>
        <w:tc>
          <w:tcPr>
            <w:tcW w:w="1631" w:type="dxa"/>
            <w:shd w:val="clear" w:color="000000" w:fill="F9989A"/>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90.03%</w:t>
            </w:r>
          </w:p>
        </w:tc>
        <w:tc>
          <w:tcPr>
            <w:tcW w:w="1559" w:type="dxa"/>
            <w:shd w:val="clear" w:color="000000" w:fill="F99597"/>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88.68%</w:t>
            </w:r>
          </w:p>
        </w:tc>
        <w:tc>
          <w:tcPr>
            <w:tcW w:w="1560" w:type="dxa"/>
            <w:shd w:val="clear" w:color="000000" w:fill="F99B9E"/>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75.90%</w:t>
            </w:r>
          </w:p>
        </w:tc>
        <w:tc>
          <w:tcPr>
            <w:tcW w:w="1559" w:type="dxa"/>
            <w:shd w:val="clear" w:color="000000" w:fill="F99EA0"/>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85.87%</w:t>
            </w:r>
          </w:p>
        </w:tc>
        <w:tc>
          <w:tcPr>
            <w:tcW w:w="1417" w:type="dxa"/>
            <w:shd w:val="clear" w:color="000000" w:fill="F99698"/>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78.32%</w:t>
            </w:r>
          </w:p>
        </w:tc>
      </w:tr>
    </w:tbl>
    <w:p w:rsidR="007C0429" w:rsidP="007C0429"/>
    <w:p w:rsidR="00DF5204" w:rsidP="007C0429"/>
    <w:tbl>
      <w:tblPr>
        <w:tblW w:w="9067" w:type="dxa"/>
        <w:tblLayout w:type="fixed"/>
        <w:tblCellMar>
          <w:top w:w="15" w:type="dxa"/>
          <w:bottom w:w="15" w:type="dxa"/>
        </w:tblCellMar>
        <w:tblLook w:val="04A0"/>
      </w:tblPr>
      <w:tblGrid>
        <w:gridCol w:w="1271"/>
        <w:gridCol w:w="1701"/>
        <w:gridCol w:w="1559"/>
        <w:gridCol w:w="1560"/>
        <w:gridCol w:w="1559"/>
        <w:gridCol w:w="1417"/>
      </w:tblGrid>
      <w:tr w:rsidTr="00BF4A87">
        <w:tblPrEx>
          <w:tblW w:w="9067" w:type="dxa"/>
          <w:tblLayout w:type="fixed"/>
          <w:tblCellMar>
            <w:top w:w="15" w:type="dxa"/>
            <w:bottom w:w="15" w:type="dxa"/>
          </w:tblCellMar>
          <w:tblLook w:val="04A0"/>
        </w:tblPrEx>
        <w:trPr>
          <w:trHeight w:val="800"/>
        </w:trPr>
        <w:tc>
          <w:tcPr>
            <w:tcW w:w="1271" w:type="dxa"/>
            <w:tcBorders>
              <w:top w:val="single" w:sz="4" w:space="0" w:color="auto"/>
              <w:left w:val="single" w:sz="4" w:space="0" w:color="auto"/>
              <w:bottom w:val="single" w:sz="4" w:space="0" w:color="auto"/>
              <w:right w:val="single" w:sz="4" w:space="0" w:color="auto"/>
            </w:tcBorders>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 xml:space="preserve">IDACI </w:t>
            </w:r>
            <w:r w:rsidRPr="00B20ADD">
              <w:rPr>
                <w:rFonts w:ascii="Verdana" w:eastAsia="Times New Roman" w:hAnsi="Verdana" w:cs="Times New Roman"/>
                <w:color w:val="000000"/>
                <w:kern w:val="0"/>
                <w:sz w:val="22"/>
                <w:szCs w:val="22"/>
                <w:lang w:eastAsia="en-GB"/>
              </w:rPr>
              <w:br/>
              <w:t>Quintiles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0429" w:rsidRPr="00B20ADD">
            <w:pPr>
              <w:spacing w:after="0" w:line="240" w:lineRule="auto"/>
              <w:jc w:val="center"/>
              <w:rPr>
                <w:rFonts w:ascii="Verdana" w:eastAsia="Times New Roman" w:hAnsi="Verdana" w:cs="Times New Roman"/>
                <w:b/>
                <w:bCs/>
                <w:color w:val="782170"/>
                <w:kern w:val="0"/>
                <w:sz w:val="22"/>
                <w:szCs w:val="22"/>
                <w:lang w:eastAsia="en-GB"/>
              </w:rPr>
            </w:pPr>
            <w:r w:rsidRPr="00B20ADD">
              <w:rPr>
                <w:rFonts w:ascii="Verdana" w:eastAsia="Times New Roman" w:hAnsi="Verdana" w:cs="Times New Roman"/>
                <w:b/>
                <w:bCs/>
                <w:color w:val="782170"/>
                <w:kern w:val="0"/>
                <w:sz w:val="22"/>
                <w:szCs w:val="22"/>
                <w:lang w:eastAsia="en-GB"/>
              </w:rPr>
              <w:t xml:space="preserve">DTaP/IPV/Hib/HepB </w:t>
            </w:r>
          </w:p>
        </w:tc>
        <w:tc>
          <w:tcPr>
            <w:tcW w:w="1559" w:type="dxa"/>
            <w:tcBorders>
              <w:top w:val="single" w:sz="4" w:space="0" w:color="auto"/>
              <w:left w:val="single" w:sz="4" w:space="0" w:color="auto"/>
              <w:bottom w:val="single" w:sz="4" w:space="0" w:color="auto"/>
              <w:right w:val="single" w:sz="4" w:space="0" w:color="auto"/>
            </w:tcBorders>
            <w:vAlign w:val="center"/>
            <w:hideMark/>
          </w:tcPr>
          <w:p w:rsidR="007C0429" w:rsidRPr="00B20ADD">
            <w:pPr>
              <w:spacing w:after="0" w:line="240" w:lineRule="auto"/>
              <w:jc w:val="center"/>
              <w:rPr>
                <w:rFonts w:ascii="Verdana" w:eastAsia="Times New Roman" w:hAnsi="Verdana" w:cs="Times New Roman"/>
                <w:b/>
                <w:bCs/>
                <w:color w:val="782170"/>
                <w:kern w:val="0"/>
                <w:sz w:val="22"/>
                <w:szCs w:val="22"/>
                <w:lang w:eastAsia="en-GB"/>
              </w:rPr>
            </w:pPr>
            <w:r w:rsidRPr="00B20ADD">
              <w:rPr>
                <w:rFonts w:ascii="Verdana" w:eastAsia="Times New Roman" w:hAnsi="Verdana" w:cs="Times New Roman"/>
                <w:b/>
                <w:bCs/>
                <w:color w:val="782170"/>
                <w:kern w:val="0"/>
                <w:sz w:val="22"/>
                <w:szCs w:val="22"/>
                <w:lang w:eastAsia="en-GB"/>
              </w:rPr>
              <w:t>MMR1</w:t>
            </w:r>
            <w:r w:rsidRPr="00B20ADD">
              <w:rPr>
                <w:rFonts w:ascii="Verdana" w:eastAsia="Times New Roman" w:hAnsi="Verdana" w:cs="Times New Roman"/>
                <w:b/>
                <w:bCs/>
                <w:color w:val="782170"/>
                <w:kern w:val="0"/>
                <w:sz w:val="22"/>
                <w:szCs w:val="22"/>
                <w:lang w:eastAsia="en-GB"/>
              </w:rPr>
              <w:br/>
            </w:r>
          </w:p>
        </w:tc>
        <w:tc>
          <w:tcPr>
            <w:tcW w:w="1560" w:type="dxa"/>
            <w:tcBorders>
              <w:top w:val="single" w:sz="4" w:space="0" w:color="auto"/>
              <w:left w:val="single" w:sz="4" w:space="0" w:color="auto"/>
              <w:bottom w:val="single" w:sz="4" w:space="0" w:color="auto"/>
              <w:right w:val="single" w:sz="4" w:space="0" w:color="auto"/>
            </w:tcBorders>
            <w:vAlign w:val="center"/>
            <w:hideMark/>
          </w:tcPr>
          <w:p w:rsidR="007C0429" w:rsidRPr="00B20ADD">
            <w:pPr>
              <w:spacing w:after="0" w:line="240" w:lineRule="auto"/>
              <w:jc w:val="center"/>
              <w:rPr>
                <w:rFonts w:ascii="Verdana" w:eastAsia="Times New Roman" w:hAnsi="Verdana" w:cs="Times New Roman"/>
                <w:b/>
                <w:bCs/>
                <w:color w:val="782170"/>
                <w:kern w:val="0"/>
                <w:sz w:val="22"/>
                <w:szCs w:val="22"/>
                <w:lang w:eastAsia="en-GB"/>
              </w:rPr>
            </w:pPr>
            <w:r w:rsidRPr="00B20ADD">
              <w:rPr>
                <w:rFonts w:ascii="Verdana" w:eastAsia="Times New Roman" w:hAnsi="Verdana" w:cs="Times New Roman"/>
                <w:b/>
                <w:bCs/>
                <w:color w:val="782170"/>
                <w:kern w:val="0"/>
                <w:sz w:val="22"/>
                <w:szCs w:val="22"/>
                <w:lang w:eastAsia="en-GB"/>
              </w:rPr>
              <w:t>DTaP/IPV booster</w:t>
            </w:r>
            <w:r w:rsidRPr="00B20ADD">
              <w:rPr>
                <w:rFonts w:ascii="Verdana" w:eastAsia="Times New Roman" w:hAnsi="Verdana" w:cs="Times New Roman"/>
                <w:b/>
                <w:bCs/>
                <w:color w:val="782170"/>
                <w:kern w:val="0"/>
                <w:sz w:val="22"/>
                <w:szCs w:val="22"/>
                <w:lang w:eastAsia="en-GB"/>
              </w:rPr>
              <w:br/>
            </w:r>
          </w:p>
        </w:tc>
        <w:tc>
          <w:tcPr>
            <w:tcW w:w="1559" w:type="dxa"/>
            <w:tcBorders>
              <w:top w:val="single" w:sz="4" w:space="0" w:color="auto"/>
              <w:left w:val="single" w:sz="4" w:space="0" w:color="auto"/>
              <w:bottom w:val="single" w:sz="4" w:space="0" w:color="auto"/>
              <w:right w:val="single" w:sz="4" w:space="0" w:color="auto"/>
            </w:tcBorders>
            <w:vAlign w:val="center"/>
            <w:hideMark/>
          </w:tcPr>
          <w:p w:rsidR="007C0429" w:rsidRPr="00B20ADD">
            <w:pPr>
              <w:spacing w:after="0" w:line="240" w:lineRule="auto"/>
              <w:jc w:val="center"/>
              <w:rPr>
                <w:rFonts w:ascii="Verdana" w:eastAsia="Times New Roman" w:hAnsi="Verdana" w:cs="Times New Roman"/>
                <w:b/>
                <w:bCs/>
                <w:color w:val="782170"/>
                <w:kern w:val="0"/>
                <w:sz w:val="22"/>
                <w:szCs w:val="22"/>
                <w:lang w:eastAsia="en-GB"/>
              </w:rPr>
            </w:pPr>
            <w:r w:rsidRPr="00B20ADD">
              <w:rPr>
                <w:rFonts w:ascii="Verdana" w:eastAsia="Times New Roman" w:hAnsi="Verdana" w:cs="Times New Roman"/>
                <w:b/>
                <w:bCs/>
                <w:color w:val="782170"/>
                <w:kern w:val="0"/>
                <w:sz w:val="22"/>
                <w:szCs w:val="22"/>
                <w:lang w:eastAsia="en-GB"/>
              </w:rPr>
              <w:t>Hib/MenC booster</w:t>
            </w:r>
            <w:r w:rsidRPr="00B20ADD">
              <w:rPr>
                <w:rFonts w:ascii="Verdana" w:eastAsia="Times New Roman" w:hAnsi="Verdana" w:cs="Times New Roman"/>
                <w:b/>
                <w:bCs/>
                <w:color w:val="782170"/>
                <w:kern w:val="0"/>
                <w:sz w:val="22"/>
                <w:szCs w:val="22"/>
                <w:lang w:eastAsia="en-GB"/>
              </w:rPr>
              <w:br/>
            </w:r>
          </w:p>
        </w:tc>
        <w:tc>
          <w:tcPr>
            <w:tcW w:w="1417" w:type="dxa"/>
            <w:tcBorders>
              <w:top w:val="single" w:sz="4" w:space="0" w:color="auto"/>
              <w:left w:val="single" w:sz="4" w:space="0" w:color="auto"/>
              <w:bottom w:val="single" w:sz="4" w:space="0" w:color="auto"/>
              <w:right w:val="single" w:sz="4" w:space="0" w:color="auto"/>
            </w:tcBorders>
            <w:vAlign w:val="center"/>
            <w:hideMark/>
          </w:tcPr>
          <w:p w:rsidR="007C0429" w:rsidRPr="00B20ADD">
            <w:pPr>
              <w:spacing w:after="0" w:line="240" w:lineRule="auto"/>
              <w:jc w:val="center"/>
              <w:rPr>
                <w:rFonts w:ascii="Verdana" w:eastAsia="Times New Roman" w:hAnsi="Verdana" w:cs="Times New Roman"/>
                <w:b/>
                <w:bCs/>
                <w:color w:val="782170"/>
                <w:kern w:val="0"/>
                <w:sz w:val="22"/>
                <w:szCs w:val="22"/>
                <w:lang w:eastAsia="en-GB"/>
              </w:rPr>
            </w:pPr>
            <w:r w:rsidRPr="00B20ADD">
              <w:rPr>
                <w:rFonts w:ascii="Verdana" w:eastAsia="Times New Roman" w:hAnsi="Verdana" w:cs="Times New Roman"/>
                <w:b/>
                <w:bCs/>
                <w:color w:val="782170"/>
                <w:kern w:val="0"/>
                <w:sz w:val="22"/>
                <w:szCs w:val="22"/>
                <w:lang w:eastAsia="en-GB"/>
              </w:rPr>
              <w:t>MMR2</w:t>
            </w:r>
            <w:r w:rsidRPr="00B20ADD">
              <w:rPr>
                <w:rFonts w:ascii="Verdana" w:eastAsia="Times New Roman" w:hAnsi="Verdana" w:cs="Times New Roman"/>
                <w:b/>
                <w:bCs/>
                <w:color w:val="782170"/>
                <w:kern w:val="0"/>
                <w:sz w:val="22"/>
                <w:szCs w:val="22"/>
                <w:lang w:eastAsia="en-GB"/>
              </w:rPr>
              <w:br/>
            </w:r>
          </w:p>
        </w:tc>
      </w:tr>
      <w:tr w:rsidTr="00BF4A87">
        <w:tblPrEx>
          <w:tblW w:w="9067" w:type="dxa"/>
          <w:tblLayout w:type="fixed"/>
          <w:tblCellMar>
            <w:top w:w="15" w:type="dxa"/>
            <w:bottom w:w="15" w:type="dxa"/>
          </w:tblCellMar>
          <w:tblLook w:val="04A0"/>
        </w:tblPrEx>
        <w:trPr>
          <w:trHeight w:val="282"/>
        </w:trPr>
        <w:tc>
          <w:tcPr>
            <w:tcW w:w="1271" w:type="dxa"/>
            <w:tcBorders>
              <w:top w:val="single" w:sz="4" w:space="0" w:color="auto"/>
              <w:left w:val="single" w:sz="4" w:space="0" w:color="auto"/>
              <w:bottom w:val="nil"/>
              <w:right w:val="single" w:sz="4" w:space="0" w:color="auto"/>
            </w:tcBorders>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1st Quintile</w:t>
            </w:r>
          </w:p>
        </w:tc>
        <w:tc>
          <w:tcPr>
            <w:tcW w:w="1701" w:type="dxa"/>
            <w:tcBorders>
              <w:top w:val="single" w:sz="4" w:space="0" w:color="auto"/>
              <w:left w:val="single" w:sz="4" w:space="0" w:color="auto"/>
              <w:bottom w:val="nil"/>
              <w:right w:val="single" w:sz="4" w:space="0" w:color="auto"/>
            </w:tcBorders>
            <w:shd w:val="clear" w:color="000000" w:fill="63BE7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95.01%</w:t>
            </w:r>
          </w:p>
        </w:tc>
        <w:tc>
          <w:tcPr>
            <w:tcW w:w="1559" w:type="dxa"/>
            <w:tcBorders>
              <w:top w:val="single" w:sz="4" w:space="0" w:color="auto"/>
              <w:left w:val="single" w:sz="4" w:space="0" w:color="auto"/>
              <w:bottom w:val="nil"/>
              <w:right w:val="single" w:sz="4" w:space="0" w:color="auto"/>
            </w:tcBorders>
            <w:shd w:val="clear" w:color="000000" w:fill="63BE7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94.54%</w:t>
            </w:r>
          </w:p>
        </w:tc>
        <w:tc>
          <w:tcPr>
            <w:tcW w:w="1560" w:type="dxa"/>
            <w:tcBorders>
              <w:top w:val="single" w:sz="4" w:space="0" w:color="auto"/>
              <w:left w:val="single" w:sz="4" w:space="0" w:color="auto"/>
              <w:bottom w:val="nil"/>
              <w:right w:val="single" w:sz="4" w:space="0" w:color="auto"/>
            </w:tcBorders>
            <w:shd w:val="clear" w:color="000000" w:fill="63BE7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86.51%</w:t>
            </w:r>
          </w:p>
        </w:tc>
        <w:tc>
          <w:tcPr>
            <w:tcW w:w="1559" w:type="dxa"/>
            <w:tcBorders>
              <w:top w:val="single" w:sz="4" w:space="0" w:color="auto"/>
              <w:left w:val="single" w:sz="4" w:space="0" w:color="auto"/>
              <w:bottom w:val="nil"/>
              <w:right w:val="single" w:sz="4" w:space="0" w:color="auto"/>
            </w:tcBorders>
            <w:shd w:val="clear" w:color="000000" w:fill="63BE7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92.53%</w:t>
            </w:r>
          </w:p>
        </w:tc>
        <w:tc>
          <w:tcPr>
            <w:tcW w:w="1417" w:type="dxa"/>
            <w:tcBorders>
              <w:top w:val="single" w:sz="4" w:space="0" w:color="auto"/>
              <w:left w:val="single" w:sz="4" w:space="0" w:color="auto"/>
              <w:bottom w:val="nil"/>
              <w:right w:val="single" w:sz="4" w:space="0" w:color="auto"/>
            </w:tcBorders>
            <w:shd w:val="clear" w:color="000000" w:fill="63BE7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88.58%</w:t>
            </w:r>
          </w:p>
        </w:tc>
      </w:tr>
      <w:tr w:rsidTr="00BF4A87">
        <w:tblPrEx>
          <w:tblW w:w="9067" w:type="dxa"/>
          <w:tblLayout w:type="fixed"/>
          <w:tblCellMar>
            <w:top w:w="15" w:type="dxa"/>
            <w:bottom w:w="15" w:type="dxa"/>
          </w:tblCellMar>
          <w:tblLook w:val="04A0"/>
        </w:tblPrEx>
        <w:trPr>
          <w:trHeight w:val="282"/>
        </w:trPr>
        <w:tc>
          <w:tcPr>
            <w:tcW w:w="1271" w:type="dxa"/>
            <w:tcBorders>
              <w:top w:val="nil"/>
              <w:left w:val="single" w:sz="4" w:space="0" w:color="auto"/>
              <w:bottom w:val="nil"/>
              <w:right w:val="single" w:sz="4" w:space="0" w:color="auto"/>
            </w:tcBorders>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2nd Quintile</w:t>
            </w:r>
          </w:p>
        </w:tc>
        <w:tc>
          <w:tcPr>
            <w:tcW w:w="1701" w:type="dxa"/>
            <w:tcBorders>
              <w:top w:val="nil"/>
              <w:left w:val="single" w:sz="4" w:space="0" w:color="auto"/>
              <w:bottom w:val="nil"/>
              <w:right w:val="single" w:sz="4" w:space="0" w:color="auto"/>
            </w:tcBorders>
            <w:shd w:val="clear" w:color="000000" w:fill="74C589"/>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94.74%</w:t>
            </w:r>
          </w:p>
        </w:tc>
        <w:tc>
          <w:tcPr>
            <w:tcW w:w="1559" w:type="dxa"/>
            <w:tcBorders>
              <w:top w:val="nil"/>
              <w:left w:val="single" w:sz="4" w:space="0" w:color="auto"/>
              <w:bottom w:val="nil"/>
              <w:right w:val="single" w:sz="4" w:space="0" w:color="auto"/>
            </w:tcBorders>
            <w:shd w:val="clear" w:color="000000" w:fill="7DC992"/>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94.05%</w:t>
            </w:r>
          </w:p>
        </w:tc>
        <w:tc>
          <w:tcPr>
            <w:tcW w:w="1560" w:type="dxa"/>
            <w:tcBorders>
              <w:top w:val="nil"/>
              <w:left w:val="single" w:sz="4" w:space="0" w:color="auto"/>
              <w:bottom w:val="nil"/>
              <w:right w:val="single" w:sz="4" w:space="0" w:color="auto"/>
            </w:tcBorders>
            <w:shd w:val="clear" w:color="000000" w:fill="72C488"/>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86.06%</w:t>
            </w:r>
          </w:p>
        </w:tc>
        <w:tc>
          <w:tcPr>
            <w:tcW w:w="1559" w:type="dxa"/>
            <w:tcBorders>
              <w:top w:val="nil"/>
              <w:left w:val="single" w:sz="4" w:space="0" w:color="auto"/>
              <w:bottom w:val="nil"/>
              <w:right w:val="single" w:sz="4" w:space="0" w:color="auto"/>
            </w:tcBorders>
            <w:shd w:val="clear" w:color="000000" w:fill="97D3A8"/>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91.26%</w:t>
            </w:r>
          </w:p>
        </w:tc>
        <w:tc>
          <w:tcPr>
            <w:tcW w:w="1417" w:type="dxa"/>
            <w:tcBorders>
              <w:top w:val="nil"/>
              <w:left w:val="single" w:sz="4" w:space="0" w:color="auto"/>
              <w:bottom w:val="nil"/>
              <w:right w:val="single" w:sz="4" w:space="0" w:color="auto"/>
            </w:tcBorders>
            <w:shd w:val="clear" w:color="000000" w:fill="81CB95"/>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87.61%</w:t>
            </w:r>
          </w:p>
        </w:tc>
      </w:tr>
      <w:tr w:rsidTr="00BF4A87">
        <w:tblPrEx>
          <w:tblW w:w="9067" w:type="dxa"/>
          <w:tblLayout w:type="fixed"/>
          <w:tblCellMar>
            <w:top w:w="15" w:type="dxa"/>
            <w:bottom w:w="15" w:type="dxa"/>
          </w:tblCellMar>
          <w:tblLook w:val="04A0"/>
        </w:tblPrEx>
        <w:trPr>
          <w:trHeight w:val="282"/>
        </w:trPr>
        <w:tc>
          <w:tcPr>
            <w:tcW w:w="1271" w:type="dxa"/>
            <w:tcBorders>
              <w:top w:val="nil"/>
              <w:left w:val="single" w:sz="4" w:space="0" w:color="auto"/>
              <w:bottom w:val="nil"/>
              <w:right w:val="single" w:sz="4" w:space="0" w:color="auto"/>
            </w:tcBorders>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3rd Quintile</w:t>
            </w:r>
          </w:p>
        </w:tc>
        <w:tc>
          <w:tcPr>
            <w:tcW w:w="1701" w:type="dxa"/>
            <w:tcBorders>
              <w:top w:val="nil"/>
              <w:left w:val="single" w:sz="4" w:space="0" w:color="auto"/>
              <w:bottom w:val="nil"/>
              <w:right w:val="single" w:sz="4" w:space="0" w:color="auto"/>
            </w:tcBorders>
            <w:shd w:val="clear" w:color="000000" w:fill="FBF3F6"/>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92.20%</w:t>
            </w:r>
          </w:p>
        </w:tc>
        <w:tc>
          <w:tcPr>
            <w:tcW w:w="1559" w:type="dxa"/>
            <w:tcBorders>
              <w:top w:val="nil"/>
              <w:left w:val="single" w:sz="4" w:space="0" w:color="auto"/>
              <w:bottom w:val="nil"/>
              <w:right w:val="single" w:sz="4" w:space="0" w:color="auto"/>
            </w:tcBorders>
            <w:shd w:val="clear" w:color="000000" w:fill="FBEDF0"/>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91.23%</w:t>
            </w:r>
          </w:p>
        </w:tc>
        <w:tc>
          <w:tcPr>
            <w:tcW w:w="1560" w:type="dxa"/>
            <w:tcBorders>
              <w:top w:val="nil"/>
              <w:left w:val="single" w:sz="4" w:space="0" w:color="auto"/>
              <w:bottom w:val="nil"/>
              <w:right w:val="single" w:sz="4" w:space="0" w:color="auto"/>
            </w:tcBorders>
            <w:shd w:val="clear" w:color="000000" w:fill="FBE0E2"/>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80.10%</w:t>
            </w:r>
          </w:p>
        </w:tc>
        <w:tc>
          <w:tcPr>
            <w:tcW w:w="1559" w:type="dxa"/>
            <w:tcBorders>
              <w:top w:val="nil"/>
              <w:left w:val="single" w:sz="4" w:space="0" w:color="auto"/>
              <w:bottom w:val="nil"/>
              <w:right w:val="single" w:sz="4" w:space="0" w:color="auto"/>
            </w:tcBorders>
            <w:shd w:val="clear" w:color="000000" w:fill="FBE2E5"/>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87.98%</w:t>
            </w:r>
          </w:p>
        </w:tc>
        <w:tc>
          <w:tcPr>
            <w:tcW w:w="1417" w:type="dxa"/>
            <w:tcBorders>
              <w:top w:val="nil"/>
              <w:left w:val="single" w:sz="4" w:space="0" w:color="auto"/>
              <w:bottom w:val="nil"/>
              <w:right w:val="single" w:sz="4" w:space="0" w:color="auto"/>
            </w:tcBorders>
            <w:shd w:val="clear" w:color="000000" w:fill="FBE9EC"/>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82.64%</w:t>
            </w:r>
          </w:p>
        </w:tc>
      </w:tr>
      <w:tr w:rsidTr="00BF4A87">
        <w:tblPrEx>
          <w:tblW w:w="9067" w:type="dxa"/>
          <w:tblLayout w:type="fixed"/>
          <w:tblCellMar>
            <w:top w:w="15" w:type="dxa"/>
            <w:bottom w:w="15" w:type="dxa"/>
          </w:tblCellMar>
          <w:tblLook w:val="04A0"/>
        </w:tblPrEx>
        <w:trPr>
          <w:trHeight w:val="282"/>
        </w:trPr>
        <w:tc>
          <w:tcPr>
            <w:tcW w:w="1271" w:type="dxa"/>
            <w:tcBorders>
              <w:top w:val="nil"/>
              <w:left w:val="single" w:sz="4" w:space="0" w:color="auto"/>
              <w:bottom w:val="nil"/>
              <w:right w:val="single" w:sz="4" w:space="0" w:color="auto"/>
            </w:tcBorders>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4th Quintile</w:t>
            </w:r>
          </w:p>
        </w:tc>
        <w:tc>
          <w:tcPr>
            <w:tcW w:w="1701" w:type="dxa"/>
            <w:tcBorders>
              <w:top w:val="nil"/>
              <w:left w:val="single" w:sz="4" w:space="0" w:color="auto"/>
              <w:bottom w:val="nil"/>
              <w:right w:val="single" w:sz="4" w:space="0" w:color="auto"/>
            </w:tcBorders>
            <w:shd w:val="clear" w:color="000000" w:fill="FBE6E9"/>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91.89%</w:t>
            </w:r>
          </w:p>
        </w:tc>
        <w:tc>
          <w:tcPr>
            <w:tcW w:w="1559" w:type="dxa"/>
            <w:tcBorders>
              <w:top w:val="nil"/>
              <w:left w:val="single" w:sz="4" w:space="0" w:color="auto"/>
              <w:bottom w:val="nil"/>
              <w:right w:val="single" w:sz="4" w:space="0" w:color="auto"/>
            </w:tcBorders>
            <w:shd w:val="clear" w:color="000000" w:fill="FBDBDE"/>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90.72%</w:t>
            </w:r>
          </w:p>
        </w:tc>
        <w:tc>
          <w:tcPr>
            <w:tcW w:w="1560" w:type="dxa"/>
            <w:tcBorders>
              <w:top w:val="nil"/>
              <w:left w:val="single" w:sz="4" w:space="0" w:color="auto"/>
              <w:bottom w:val="nil"/>
              <w:right w:val="single" w:sz="4" w:space="0" w:color="auto"/>
            </w:tcBorders>
            <w:shd w:val="clear" w:color="000000" w:fill="FAC2C5"/>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78.27%</w:t>
            </w:r>
          </w:p>
        </w:tc>
        <w:tc>
          <w:tcPr>
            <w:tcW w:w="1559" w:type="dxa"/>
            <w:tcBorders>
              <w:top w:val="nil"/>
              <w:left w:val="single" w:sz="4" w:space="0" w:color="auto"/>
              <w:bottom w:val="nil"/>
              <w:right w:val="single" w:sz="4" w:space="0" w:color="auto"/>
            </w:tcBorders>
            <w:shd w:val="clear" w:color="000000" w:fill="FABCBF"/>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86.82%</w:t>
            </w:r>
          </w:p>
        </w:tc>
        <w:tc>
          <w:tcPr>
            <w:tcW w:w="1417" w:type="dxa"/>
            <w:tcBorders>
              <w:top w:val="nil"/>
              <w:left w:val="single" w:sz="4" w:space="0" w:color="auto"/>
              <w:bottom w:val="nil"/>
              <w:right w:val="single" w:sz="4" w:space="0" w:color="auto"/>
            </w:tcBorders>
            <w:shd w:val="clear" w:color="000000" w:fill="FACDD0"/>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81.20%</w:t>
            </w:r>
          </w:p>
        </w:tc>
      </w:tr>
      <w:tr w:rsidTr="00BF4A87">
        <w:tblPrEx>
          <w:tblW w:w="9067" w:type="dxa"/>
          <w:tblLayout w:type="fixed"/>
          <w:tblCellMar>
            <w:top w:w="15" w:type="dxa"/>
            <w:bottom w:w="15" w:type="dxa"/>
          </w:tblCellMar>
          <w:tblLook w:val="04A0"/>
        </w:tblPrEx>
        <w:trPr>
          <w:trHeight w:val="282"/>
        </w:trPr>
        <w:tc>
          <w:tcPr>
            <w:tcW w:w="1271" w:type="dxa"/>
            <w:tcBorders>
              <w:top w:val="nil"/>
              <w:left w:val="single" w:sz="4" w:space="0" w:color="auto"/>
              <w:bottom w:val="single" w:sz="4" w:space="0" w:color="auto"/>
              <w:right w:val="single" w:sz="4" w:space="0" w:color="auto"/>
            </w:tcBorders>
            <w:noWrap/>
            <w:vAlign w:val="bottom"/>
            <w:hideMark/>
          </w:tcPr>
          <w:p w:rsidR="007C0429" w:rsidRPr="00B20ADD">
            <w:pPr>
              <w:spacing w:after="0" w:line="240" w:lineRule="auto"/>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5th Quintile</w:t>
            </w:r>
          </w:p>
        </w:tc>
        <w:tc>
          <w:tcPr>
            <w:tcW w:w="1701" w:type="dxa"/>
            <w:tcBorders>
              <w:top w:val="nil"/>
              <w:left w:val="single" w:sz="4" w:space="0" w:color="auto"/>
              <w:bottom w:val="single" w:sz="4" w:space="0" w:color="auto"/>
              <w:right w:val="single" w:sz="4" w:space="0" w:color="auto"/>
            </w:tcBorders>
            <w:shd w:val="clear" w:color="000000" w:fill="F8696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88.90%</w:t>
            </w:r>
          </w:p>
        </w:tc>
        <w:tc>
          <w:tcPr>
            <w:tcW w:w="1559" w:type="dxa"/>
            <w:tcBorders>
              <w:top w:val="nil"/>
              <w:left w:val="single" w:sz="4" w:space="0" w:color="auto"/>
              <w:bottom w:val="single" w:sz="4" w:space="0" w:color="auto"/>
              <w:right w:val="single" w:sz="4" w:space="0" w:color="auto"/>
            </w:tcBorders>
            <w:shd w:val="clear" w:color="000000" w:fill="F8696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87.39%</w:t>
            </w:r>
          </w:p>
        </w:tc>
        <w:tc>
          <w:tcPr>
            <w:tcW w:w="1560" w:type="dxa"/>
            <w:tcBorders>
              <w:top w:val="nil"/>
              <w:left w:val="single" w:sz="4" w:space="0" w:color="auto"/>
              <w:bottom w:val="single" w:sz="4" w:space="0" w:color="auto"/>
              <w:right w:val="single" w:sz="4" w:space="0" w:color="auto"/>
            </w:tcBorders>
            <w:shd w:val="clear" w:color="000000" w:fill="F8696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72.76%</w:t>
            </w:r>
          </w:p>
        </w:tc>
        <w:tc>
          <w:tcPr>
            <w:tcW w:w="1559" w:type="dxa"/>
            <w:tcBorders>
              <w:top w:val="nil"/>
              <w:left w:val="single" w:sz="4" w:space="0" w:color="auto"/>
              <w:bottom w:val="single" w:sz="4" w:space="0" w:color="auto"/>
              <w:right w:val="single" w:sz="4" w:space="0" w:color="auto"/>
            </w:tcBorders>
            <w:shd w:val="clear" w:color="000000" w:fill="F8696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84.23%</w:t>
            </w:r>
          </w:p>
        </w:tc>
        <w:tc>
          <w:tcPr>
            <w:tcW w:w="1417" w:type="dxa"/>
            <w:tcBorders>
              <w:top w:val="nil"/>
              <w:left w:val="single" w:sz="4" w:space="0" w:color="auto"/>
              <w:bottom w:val="single" w:sz="4" w:space="0" w:color="auto"/>
              <w:right w:val="single" w:sz="4" w:space="0" w:color="auto"/>
            </w:tcBorders>
            <w:shd w:val="clear" w:color="000000" w:fill="F8696B"/>
            <w:noWrap/>
            <w:vAlign w:val="center"/>
            <w:hideMark/>
          </w:tcPr>
          <w:p w:rsidR="007C0429" w:rsidRPr="00B20ADD">
            <w:pPr>
              <w:spacing w:after="0" w:line="240" w:lineRule="auto"/>
              <w:jc w:val="center"/>
              <w:rPr>
                <w:rFonts w:ascii="Verdana" w:eastAsia="Times New Roman" w:hAnsi="Verdana" w:cs="Times New Roman"/>
                <w:color w:val="000000"/>
                <w:kern w:val="0"/>
                <w:sz w:val="22"/>
                <w:szCs w:val="22"/>
                <w:lang w:eastAsia="en-GB"/>
              </w:rPr>
            </w:pPr>
            <w:r w:rsidRPr="00B20ADD">
              <w:rPr>
                <w:rFonts w:ascii="Verdana" w:eastAsia="Times New Roman" w:hAnsi="Verdana" w:cs="Times New Roman"/>
                <w:color w:val="000000"/>
                <w:kern w:val="0"/>
                <w:sz w:val="22"/>
                <w:szCs w:val="22"/>
                <w:lang w:eastAsia="en-GB"/>
              </w:rPr>
              <w:t>75.98%</w:t>
            </w:r>
          </w:p>
        </w:tc>
      </w:tr>
    </w:tbl>
    <w:p w:rsidR="007C0429" w:rsidP="007C0429">
      <w:r>
        <w:rPr>
          <w:noProof/>
        </w:rPr>
        <w:drawing>
          <wp:anchor distT="0" distB="0" distL="114300" distR="114300" simplePos="0" relativeHeight="251659264" behindDoc="0" locked="0" layoutInCell="1" allowOverlap="1">
            <wp:simplePos x="0" y="0"/>
            <wp:positionH relativeFrom="margin">
              <wp:posOffset>4969483</wp:posOffset>
            </wp:positionH>
            <wp:positionV relativeFrom="paragraph">
              <wp:posOffset>4561260</wp:posOffset>
            </wp:positionV>
            <wp:extent cx="741023" cy="585993"/>
            <wp:effectExtent l="0" t="0" r="2540" b="5080"/>
            <wp:wrapNone/>
            <wp:docPr id="2098656970"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ign with white text&#10;&#10;AI-generated content may be incorrect."/>
                    <pic:cNvPicPr>
                      <a:picLocks noChangeAspect="1" noChangeArrowheads="1"/>
                    </pic:cNvPicPr>
                  </pic:nvPicPr>
                  <pic: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pic:blipFill>
                  <pic:spPr bwMode="auto">
                    <a:xfrm>
                      <a:off x="0" y="0"/>
                      <a:ext cx="741023" cy="585993"/>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589280</wp:posOffset>
            </wp:positionV>
            <wp:extent cx="5875655" cy="4619625"/>
            <wp:effectExtent l="0" t="0" r="10795" b="9525"/>
            <wp:wrapSquare wrapText="bothSides"/>
            <wp:docPr id="156745508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7C0429" w:rsidRPr="007C0429" w:rsidP="007C0429">
      <w:r>
        <w:rPr>
          <w:noProof/>
        </w:rPr>
        <w:drawing>
          <wp:anchor distT="0" distB="0" distL="114300" distR="114300" simplePos="0" relativeHeight="251660288" behindDoc="0" locked="0" layoutInCell="1" allowOverlap="1">
            <wp:simplePos x="0" y="0"/>
            <wp:positionH relativeFrom="margin">
              <wp:posOffset>4879975</wp:posOffset>
            </wp:positionH>
            <wp:positionV relativeFrom="paragraph">
              <wp:posOffset>3854063</wp:posOffset>
            </wp:positionV>
            <wp:extent cx="741023" cy="585993"/>
            <wp:effectExtent l="0" t="0" r="2540" b="5080"/>
            <wp:wrapNone/>
            <wp:docPr id="864769897"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ign with white text&#10;&#10;AI-generated content may be incorrect."/>
                    <pic:cNvPicPr>
                      <a:picLocks noChangeAspect="1" noChangeArrowheads="1"/>
                    </pic:cNvPicPr>
                  </pic:nvPicPr>
                  <pic: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pic:blipFill>
                  <pic:spPr bwMode="auto">
                    <a:xfrm>
                      <a:off x="0" y="0"/>
                      <a:ext cx="741023" cy="585993"/>
                    </a:xfrm>
                    <a:prstGeom prst="rect">
                      <a:avLst/>
                    </a:prstGeom>
                    <a:noFill/>
                    <a:ln>
                      <a:noFill/>
                    </a:ln>
                  </pic:spPr>
                </pic:pic>
              </a:graphicData>
            </a:graphic>
          </wp:anchor>
        </w:drawing>
      </w:r>
      <w:r>
        <w:rPr>
          <w:noProof/>
        </w:rPr>
        <w:drawing>
          <wp:inline distT="0" distB="0" distL="0" distR="0">
            <wp:extent cx="5731510" cy="4518734"/>
            <wp:effectExtent l="0" t="0" r="2540" b="15240"/>
            <wp:docPr id="15402123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4424F" w:rsidRPr="007C0429" w:rsidP="00B20ADD">
      <w:pPr>
        <w:spacing w:after="120" w:line="20" w:lineRule="atLeast"/>
      </w:pPr>
    </w:p>
    <w:p w:rsidR="00387486" w:rsidRPr="00B20ADD" w:rsidP="00B20ADD">
      <w:pPr>
        <w:spacing w:after="120" w:line="20" w:lineRule="atLeast"/>
        <w:rPr>
          <w:rFonts w:ascii="Verdana" w:eastAsia="Arial" w:hAnsi="Verdana" w:cs="Calibri"/>
          <w:b/>
          <w:bCs/>
          <w:color w:val="000000" w:themeColor="text1"/>
          <w:sz w:val="22"/>
          <w:szCs w:val="22"/>
        </w:rPr>
      </w:pPr>
      <w:r w:rsidRPr="00B20ADD">
        <w:rPr>
          <w:rFonts w:ascii="Verdana" w:eastAsia="Arial" w:hAnsi="Verdana" w:cs="Calibri"/>
          <w:b/>
          <w:bCs/>
          <w:color w:val="000000" w:themeColor="text1"/>
          <w:sz w:val="22"/>
          <w:szCs w:val="22"/>
        </w:rPr>
        <w:t>Vaccination coverage is consistently lower in more deprived areas</w:t>
      </w:r>
    </w:p>
    <w:p w:rsidR="00387486" w:rsidRPr="00B20ADD" w:rsidP="00B20ADD">
      <w:pPr>
        <w:pStyle w:val="ListParagraph"/>
        <w:numPr>
          <w:ilvl w:val="0"/>
          <w:numId w:val="42"/>
        </w:numPr>
        <w:spacing w:after="120" w:line="20" w:lineRule="atLeast"/>
        <w:contextualSpacing w:val="0"/>
        <w:rPr>
          <w:rFonts w:ascii="Verdana" w:eastAsia="Arial" w:hAnsi="Verdana" w:cs="Calibri"/>
          <w:color w:val="000000" w:themeColor="text1"/>
          <w:sz w:val="22"/>
          <w:szCs w:val="22"/>
        </w:rPr>
      </w:pPr>
      <w:r w:rsidRPr="00B20ADD">
        <w:rPr>
          <w:rFonts w:ascii="Verdana" w:eastAsia="Arial" w:hAnsi="Verdana" w:cs="Calibri"/>
          <w:color w:val="000000" w:themeColor="text1"/>
          <w:sz w:val="22"/>
          <w:szCs w:val="22"/>
        </w:rPr>
        <w:t>The relationship between deprivation and vaccine uptake is evident across all routine under-5 vaccinations.</w:t>
      </w:r>
    </w:p>
    <w:p w:rsidR="00387486" w:rsidRPr="00B20ADD" w:rsidP="00B20ADD">
      <w:pPr>
        <w:pStyle w:val="ListParagraph"/>
        <w:numPr>
          <w:ilvl w:val="0"/>
          <w:numId w:val="42"/>
        </w:numPr>
        <w:spacing w:after="120" w:line="20" w:lineRule="atLeast"/>
        <w:contextualSpacing w:val="0"/>
        <w:rPr>
          <w:rFonts w:ascii="Verdana" w:eastAsia="Arial" w:hAnsi="Verdana" w:cs="Calibri"/>
          <w:color w:val="000000" w:themeColor="text1"/>
          <w:sz w:val="22"/>
          <w:szCs w:val="22"/>
        </w:rPr>
      </w:pPr>
      <w:r w:rsidRPr="00B20ADD">
        <w:rPr>
          <w:rFonts w:ascii="Verdana" w:eastAsia="Arial" w:hAnsi="Verdana" w:cs="Calibri"/>
          <w:color w:val="000000" w:themeColor="text1"/>
          <w:sz w:val="22"/>
          <w:szCs w:val="22"/>
        </w:rPr>
        <w:t>Uptake of</w:t>
      </w:r>
      <w:r w:rsidRPr="00B20ADD">
        <w:rPr>
          <w:rFonts w:ascii="Verdana" w:eastAsia="Arial" w:hAnsi="Verdana" w:cs="Calibri"/>
          <w:color w:val="000000" w:themeColor="text1"/>
          <w:sz w:val="22"/>
          <w:szCs w:val="22"/>
        </w:rPr>
        <w:t xml:space="preserve"> the first dose of MMR</w:t>
      </w:r>
      <w:r w:rsidRPr="00B20ADD" w:rsidR="0087623C">
        <w:rPr>
          <w:rFonts w:ascii="Verdana" w:eastAsia="Arial" w:hAnsi="Verdana" w:cs="Calibri"/>
          <w:color w:val="000000" w:themeColor="text1"/>
          <w:sz w:val="22"/>
          <w:szCs w:val="22"/>
        </w:rPr>
        <w:t xml:space="preserve"> (MMR1)</w:t>
      </w:r>
      <w:r w:rsidRPr="00B20ADD" w:rsidR="00483D6C">
        <w:rPr>
          <w:rFonts w:ascii="Verdana" w:eastAsia="Arial" w:hAnsi="Verdana" w:cs="Calibri"/>
          <w:color w:val="000000" w:themeColor="text1"/>
          <w:sz w:val="22"/>
          <w:szCs w:val="22"/>
        </w:rPr>
        <w:t xml:space="preserve"> in 2024-25</w:t>
      </w:r>
      <w:r w:rsidRPr="00B20ADD">
        <w:rPr>
          <w:rFonts w:ascii="Verdana" w:eastAsia="Arial" w:hAnsi="Verdana" w:cs="Calibri"/>
          <w:color w:val="000000" w:themeColor="text1"/>
          <w:sz w:val="22"/>
          <w:szCs w:val="22"/>
        </w:rPr>
        <w:t xml:space="preserve"> </w:t>
      </w:r>
      <w:r w:rsidRPr="00B20ADD">
        <w:rPr>
          <w:rFonts w:ascii="Verdana" w:eastAsia="Arial" w:hAnsi="Verdana" w:cs="Calibri"/>
          <w:color w:val="000000" w:themeColor="text1"/>
          <w:sz w:val="22"/>
          <w:szCs w:val="22"/>
        </w:rPr>
        <w:t>declined</w:t>
      </w:r>
      <w:r w:rsidRPr="00B20ADD">
        <w:rPr>
          <w:rFonts w:ascii="Verdana" w:eastAsia="Arial" w:hAnsi="Verdana" w:cs="Calibri"/>
          <w:color w:val="000000" w:themeColor="text1"/>
          <w:sz w:val="22"/>
          <w:szCs w:val="22"/>
        </w:rPr>
        <w:t xml:space="preserve"> steadily from 94.54% in the least deprived quintile of areas </w:t>
      </w:r>
      <w:r w:rsidRPr="00B20ADD">
        <w:rPr>
          <w:rFonts w:ascii="Verdana" w:eastAsia="Arial" w:hAnsi="Verdana" w:cs="Calibri"/>
          <w:color w:val="000000" w:themeColor="text1"/>
          <w:sz w:val="22"/>
          <w:szCs w:val="22"/>
        </w:rPr>
        <w:t>(IDACI</w:t>
      </w:r>
      <w:r w:rsidRPr="00B20ADD" w:rsidR="003763B0">
        <w:rPr>
          <w:rFonts w:ascii="Verdana" w:eastAsia="Arial" w:hAnsi="Verdana" w:cs="Calibri"/>
          <w:color w:val="000000" w:themeColor="text1"/>
          <w:sz w:val="22"/>
          <w:szCs w:val="22"/>
        </w:rPr>
        <w:t xml:space="preserve"> Quintile 1</w:t>
      </w:r>
      <w:r w:rsidRPr="00B20ADD">
        <w:rPr>
          <w:rFonts w:ascii="Verdana" w:eastAsia="Arial" w:hAnsi="Verdana" w:cs="Calibri"/>
          <w:color w:val="000000" w:themeColor="text1"/>
          <w:sz w:val="22"/>
          <w:szCs w:val="22"/>
        </w:rPr>
        <w:t xml:space="preserve">) </w:t>
      </w:r>
      <w:r w:rsidRPr="00B20ADD">
        <w:rPr>
          <w:rFonts w:ascii="Verdana" w:eastAsia="Arial" w:hAnsi="Verdana" w:cs="Calibri"/>
          <w:color w:val="000000" w:themeColor="text1"/>
          <w:sz w:val="22"/>
          <w:szCs w:val="22"/>
        </w:rPr>
        <w:t>to 87.39% in the most deprived quintile, a gap of 7.15 percentage points.</w:t>
      </w:r>
    </w:p>
    <w:p w:rsidR="00F83D81" w:rsidRPr="00B20ADD" w:rsidP="00B20ADD">
      <w:pPr>
        <w:pStyle w:val="ListParagraph"/>
        <w:numPr>
          <w:ilvl w:val="0"/>
          <w:numId w:val="42"/>
        </w:numPr>
        <w:spacing w:after="120" w:line="20" w:lineRule="atLeast"/>
        <w:contextualSpacing w:val="0"/>
        <w:rPr>
          <w:rFonts w:ascii="Verdana" w:eastAsia="Arial" w:hAnsi="Verdana" w:cs="Calibri"/>
          <w:color w:val="000000" w:themeColor="text1"/>
          <w:sz w:val="22"/>
          <w:szCs w:val="22"/>
        </w:rPr>
      </w:pPr>
      <w:r w:rsidRPr="00B20ADD">
        <w:rPr>
          <w:rFonts w:ascii="Verdana" w:eastAsia="Arial" w:hAnsi="Verdana" w:cs="Calibri"/>
          <w:color w:val="000000" w:themeColor="text1"/>
          <w:sz w:val="22"/>
          <w:szCs w:val="22"/>
        </w:rPr>
        <w:t xml:space="preserve">The relationship </w:t>
      </w:r>
      <w:r w:rsidRPr="00B20ADD" w:rsidR="00E632D3">
        <w:rPr>
          <w:rFonts w:ascii="Verdana" w:eastAsia="Arial" w:hAnsi="Verdana" w:cs="Calibri"/>
          <w:color w:val="000000" w:themeColor="text1"/>
          <w:sz w:val="22"/>
          <w:szCs w:val="22"/>
        </w:rPr>
        <w:t xml:space="preserve">between deprivation and vaccine uptake </w:t>
      </w:r>
      <w:r w:rsidRPr="00B20ADD">
        <w:rPr>
          <w:rFonts w:ascii="Verdana" w:eastAsia="Arial" w:hAnsi="Verdana" w:cs="Calibri"/>
          <w:color w:val="000000" w:themeColor="text1"/>
          <w:sz w:val="22"/>
          <w:szCs w:val="22"/>
        </w:rPr>
        <w:t xml:space="preserve">is even stronger for secondary or booster vaccinations. Coverage of the second MMR dose (MMR2) was 88.58% in the least deprived quintile, compared with just 75.98% in the most deprived </w:t>
      </w:r>
      <w:r w:rsidRPr="00B20ADD" w:rsidR="003A26E7">
        <w:rPr>
          <w:rFonts w:ascii="Verdana" w:eastAsia="Arial" w:hAnsi="Verdana" w:cs="Calibri"/>
          <w:color w:val="000000" w:themeColor="text1"/>
          <w:sz w:val="22"/>
          <w:szCs w:val="22"/>
        </w:rPr>
        <w:t>quintile -</w:t>
      </w:r>
      <w:r w:rsidRPr="00B20ADD">
        <w:rPr>
          <w:rFonts w:ascii="Verdana" w:eastAsia="Arial" w:hAnsi="Verdana" w:cs="Calibri"/>
          <w:color w:val="000000" w:themeColor="text1"/>
          <w:sz w:val="22"/>
          <w:szCs w:val="22"/>
        </w:rPr>
        <w:t xml:space="preserve"> a</w:t>
      </w:r>
      <w:r w:rsidRPr="00B20ADD" w:rsidR="00316DC3">
        <w:rPr>
          <w:rFonts w:ascii="Verdana" w:eastAsia="Arial" w:hAnsi="Verdana" w:cs="Calibri"/>
          <w:color w:val="000000" w:themeColor="text1"/>
          <w:sz w:val="22"/>
          <w:szCs w:val="22"/>
        </w:rPr>
        <w:t xml:space="preserve"> significant</w:t>
      </w:r>
      <w:r w:rsidRPr="00B20ADD">
        <w:rPr>
          <w:rFonts w:ascii="Verdana" w:eastAsia="Arial" w:hAnsi="Verdana" w:cs="Calibri"/>
          <w:color w:val="000000" w:themeColor="text1"/>
          <w:sz w:val="22"/>
          <w:szCs w:val="22"/>
        </w:rPr>
        <w:t xml:space="preserve"> gap of 12.6 percentage points. Similarly, </w:t>
      </w:r>
      <w:r w:rsidRPr="00B20ADD" w:rsidR="00E15E23">
        <w:rPr>
          <w:rFonts w:ascii="Verdana" w:eastAsia="Arial" w:hAnsi="Verdana" w:cs="Calibri"/>
          <w:color w:val="000000" w:themeColor="text1"/>
          <w:sz w:val="22"/>
          <w:szCs w:val="22"/>
        </w:rPr>
        <w:t xml:space="preserve">coverage of the </w:t>
      </w:r>
      <w:r w:rsidRPr="00B20ADD">
        <w:rPr>
          <w:rFonts w:ascii="Verdana" w:eastAsia="Arial" w:hAnsi="Verdana" w:cs="Calibri"/>
          <w:color w:val="000000" w:themeColor="text1"/>
          <w:sz w:val="22"/>
          <w:szCs w:val="22"/>
        </w:rPr>
        <w:t xml:space="preserve">DTaP/IPV booster </w:t>
      </w:r>
      <w:r w:rsidRPr="00B20ADD" w:rsidR="00E15E23">
        <w:rPr>
          <w:rFonts w:ascii="Verdana" w:eastAsia="Arial" w:hAnsi="Verdana" w:cs="Calibri"/>
          <w:color w:val="000000" w:themeColor="text1"/>
          <w:sz w:val="22"/>
          <w:szCs w:val="22"/>
        </w:rPr>
        <w:t>varied</w:t>
      </w:r>
      <w:r w:rsidRPr="00B20ADD">
        <w:rPr>
          <w:rFonts w:ascii="Verdana" w:eastAsia="Arial" w:hAnsi="Verdana" w:cs="Calibri"/>
          <w:color w:val="000000" w:themeColor="text1"/>
          <w:sz w:val="22"/>
          <w:szCs w:val="22"/>
        </w:rPr>
        <w:t xml:space="preserve"> from 86.51</w:t>
      </w:r>
      <w:r w:rsidRPr="00B20ADD" w:rsidR="003A26E7">
        <w:rPr>
          <w:rFonts w:ascii="Verdana" w:eastAsia="Arial" w:hAnsi="Verdana" w:cs="Calibri"/>
          <w:color w:val="000000" w:themeColor="text1"/>
          <w:sz w:val="22"/>
          <w:szCs w:val="22"/>
        </w:rPr>
        <w:t>% in</w:t>
      </w:r>
      <w:r w:rsidRPr="00B20ADD" w:rsidR="00E15E23">
        <w:rPr>
          <w:rFonts w:ascii="Verdana" w:eastAsia="Arial" w:hAnsi="Verdana" w:cs="Calibri"/>
          <w:color w:val="000000" w:themeColor="text1"/>
          <w:sz w:val="22"/>
          <w:szCs w:val="22"/>
        </w:rPr>
        <w:t xml:space="preserve"> the most affluents areas </w:t>
      </w:r>
      <w:r w:rsidRPr="00B20ADD">
        <w:rPr>
          <w:rFonts w:ascii="Verdana" w:eastAsia="Arial" w:hAnsi="Verdana" w:cs="Calibri"/>
          <w:color w:val="000000" w:themeColor="text1"/>
          <w:sz w:val="22"/>
          <w:szCs w:val="22"/>
        </w:rPr>
        <w:t xml:space="preserve">to 72.76% </w:t>
      </w:r>
      <w:r w:rsidRPr="00B20ADD" w:rsidR="00E15E23">
        <w:rPr>
          <w:rFonts w:ascii="Verdana" w:eastAsia="Arial" w:hAnsi="Verdana" w:cs="Calibri"/>
          <w:color w:val="000000" w:themeColor="text1"/>
          <w:sz w:val="22"/>
          <w:szCs w:val="22"/>
        </w:rPr>
        <w:t xml:space="preserve">in the most deprived areas. </w:t>
      </w:r>
    </w:p>
    <w:p w:rsidR="00F83D81" w:rsidRPr="00B20ADD" w:rsidP="00B20ADD">
      <w:pPr>
        <w:pStyle w:val="ListParagraph"/>
        <w:numPr>
          <w:ilvl w:val="0"/>
          <w:numId w:val="42"/>
        </w:numPr>
        <w:spacing w:after="120" w:line="20" w:lineRule="atLeast"/>
        <w:contextualSpacing w:val="0"/>
        <w:rPr>
          <w:rFonts w:ascii="Verdana" w:eastAsia="Arial" w:hAnsi="Verdana" w:cs="Calibri"/>
          <w:b/>
          <w:bCs/>
          <w:color w:val="000000" w:themeColor="text1"/>
          <w:sz w:val="22"/>
          <w:szCs w:val="22"/>
        </w:rPr>
      </w:pPr>
      <w:r w:rsidRPr="00B20ADD">
        <w:rPr>
          <w:rFonts w:ascii="Verdana" w:eastAsia="Arial" w:hAnsi="Verdana" w:cs="Calibri"/>
          <w:color w:val="000000" w:themeColor="text1"/>
          <w:sz w:val="22"/>
          <w:szCs w:val="22"/>
        </w:rPr>
        <w:t xml:space="preserve">As a result, </w:t>
      </w:r>
      <w:r w:rsidRPr="00B20ADD">
        <w:rPr>
          <w:rFonts w:ascii="Verdana" w:eastAsia="Arial" w:hAnsi="Verdana" w:cs="Calibri"/>
          <w:b/>
          <w:bCs/>
          <w:color w:val="000000" w:themeColor="text1"/>
          <w:sz w:val="22"/>
          <w:szCs w:val="22"/>
        </w:rPr>
        <w:t>a</w:t>
      </w:r>
      <w:r w:rsidRPr="00B20ADD" w:rsidR="001E503D">
        <w:rPr>
          <w:rFonts w:ascii="Verdana" w:eastAsia="Arial" w:hAnsi="Verdana" w:cs="Calibri"/>
          <w:b/>
          <w:bCs/>
          <w:color w:val="000000" w:themeColor="text1"/>
          <w:sz w:val="22"/>
          <w:szCs w:val="22"/>
        </w:rPr>
        <w:t>lmost 1 in 4 children (24.8%) living in areas with the highest level</w:t>
      </w:r>
      <w:r w:rsidRPr="00B20ADD" w:rsidR="009B5964">
        <w:rPr>
          <w:rFonts w:ascii="Verdana" w:eastAsia="Arial" w:hAnsi="Verdana" w:cs="Calibri"/>
          <w:b/>
          <w:bCs/>
          <w:color w:val="000000" w:themeColor="text1"/>
          <w:sz w:val="22"/>
          <w:szCs w:val="22"/>
        </w:rPr>
        <w:t>s</w:t>
      </w:r>
      <w:r w:rsidRPr="00B20ADD" w:rsidR="001E503D">
        <w:rPr>
          <w:rFonts w:ascii="Verdana" w:eastAsia="Arial" w:hAnsi="Verdana" w:cs="Calibri"/>
          <w:b/>
          <w:bCs/>
          <w:color w:val="000000" w:themeColor="text1"/>
          <w:sz w:val="22"/>
          <w:szCs w:val="22"/>
        </w:rPr>
        <w:t xml:space="preserve"> of deprivation (IDACI</w:t>
      </w:r>
      <w:r w:rsidRPr="00B20ADD" w:rsidR="00F84B1A">
        <w:rPr>
          <w:rFonts w:ascii="Verdana" w:eastAsia="Arial" w:hAnsi="Verdana" w:cs="Calibri"/>
          <w:b/>
          <w:bCs/>
          <w:color w:val="000000" w:themeColor="text1"/>
          <w:sz w:val="22"/>
          <w:szCs w:val="22"/>
        </w:rPr>
        <w:t xml:space="preserve"> Quintile 5</w:t>
      </w:r>
      <w:r w:rsidRPr="00B20ADD" w:rsidR="001E503D">
        <w:rPr>
          <w:rFonts w:ascii="Verdana" w:eastAsia="Arial" w:hAnsi="Verdana" w:cs="Calibri"/>
          <w:b/>
          <w:bCs/>
          <w:color w:val="000000" w:themeColor="text1"/>
          <w:sz w:val="22"/>
          <w:szCs w:val="22"/>
        </w:rPr>
        <w:t>) are not fully vaccinated against MMR,</w:t>
      </w:r>
      <w:r w:rsidRPr="00B20ADD" w:rsidR="001E503D">
        <w:rPr>
          <w:rFonts w:ascii="Verdana" w:eastAsia="Arial" w:hAnsi="Verdana" w:cs="Calibri"/>
          <w:color w:val="000000" w:themeColor="text1"/>
          <w:sz w:val="22"/>
          <w:szCs w:val="22"/>
        </w:rPr>
        <w:t xml:space="preserve"> leaving them vulnerable to</w:t>
      </w:r>
      <w:r w:rsidRPr="00B20ADD" w:rsidR="00770EE3">
        <w:rPr>
          <w:rFonts w:ascii="Verdana" w:eastAsia="Arial" w:hAnsi="Verdana" w:cs="Calibri"/>
          <w:color w:val="000000" w:themeColor="text1"/>
          <w:sz w:val="22"/>
          <w:szCs w:val="22"/>
        </w:rPr>
        <w:t xml:space="preserve"> measles outbreaks</w:t>
      </w:r>
      <w:r w:rsidRPr="00B20ADD" w:rsidR="00E25210">
        <w:rPr>
          <w:rFonts w:ascii="Verdana" w:eastAsia="Arial" w:hAnsi="Verdana" w:cs="Calibri"/>
          <w:color w:val="000000" w:themeColor="text1"/>
          <w:sz w:val="22"/>
          <w:szCs w:val="22"/>
        </w:rPr>
        <w:t xml:space="preserve">. This is more than twice the rate of children unvaccinated with MMR2 in </w:t>
      </w:r>
      <w:r w:rsidRPr="00B20ADD" w:rsidR="009B5964">
        <w:rPr>
          <w:rFonts w:ascii="Verdana" w:eastAsia="Arial" w:hAnsi="Verdana" w:cs="Calibri"/>
          <w:color w:val="000000" w:themeColor="text1"/>
          <w:sz w:val="22"/>
          <w:szCs w:val="22"/>
        </w:rPr>
        <w:t xml:space="preserve">areas with the lowest levels of deprivation (11.42%). </w:t>
      </w:r>
    </w:p>
    <w:p w:rsidR="006D6C3B" w:rsidRPr="00B20ADD" w:rsidP="00B20ADD">
      <w:pPr>
        <w:pStyle w:val="ListParagraph"/>
        <w:numPr>
          <w:ilvl w:val="1"/>
          <w:numId w:val="28"/>
        </w:numPr>
        <w:spacing w:after="120" w:line="20" w:lineRule="atLeast"/>
        <w:contextualSpacing w:val="0"/>
        <w:rPr>
          <w:rFonts w:ascii="Verdana" w:eastAsia="Arial" w:hAnsi="Verdana" w:cs="Calibri"/>
          <w:b/>
          <w:bCs/>
          <w:color w:val="000000" w:themeColor="text1"/>
          <w:sz w:val="22"/>
          <w:szCs w:val="22"/>
        </w:rPr>
      </w:pPr>
      <w:r w:rsidRPr="00B20ADD">
        <w:rPr>
          <w:rFonts w:ascii="Verdana" w:eastAsia="Arial" w:hAnsi="Verdana" w:cs="Calibri"/>
          <w:color w:val="000000" w:themeColor="text1"/>
          <w:sz w:val="22"/>
          <w:szCs w:val="22"/>
        </w:rPr>
        <w:t xml:space="preserve">This </w:t>
      </w:r>
      <w:r w:rsidRPr="00B20ADD" w:rsidR="00BF5A5F">
        <w:rPr>
          <w:rFonts w:ascii="Verdana" w:eastAsia="Arial" w:hAnsi="Verdana" w:cs="Calibri"/>
          <w:color w:val="000000" w:themeColor="text1"/>
          <w:sz w:val="22"/>
          <w:szCs w:val="22"/>
        </w:rPr>
        <w:t>is</w:t>
      </w:r>
      <w:r w:rsidRPr="00B20ADD">
        <w:rPr>
          <w:rFonts w:ascii="Verdana" w:eastAsia="Arial" w:hAnsi="Verdana" w:cs="Calibri"/>
          <w:color w:val="000000" w:themeColor="text1"/>
          <w:sz w:val="22"/>
          <w:szCs w:val="22"/>
        </w:rPr>
        <w:t xml:space="preserve"> a notable decline from 2018</w:t>
      </w:r>
      <w:r w:rsidRPr="00B20ADD" w:rsidR="00770EE3">
        <w:rPr>
          <w:rFonts w:ascii="Verdana" w:eastAsia="Arial" w:hAnsi="Verdana" w:cs="Calibri"/>
          <w:color w:val="000000" w:themeColor="text1"/>
          <w:sz w:val="22"/>
          <w:szCs w:val="22"/>
        </w:rPr>
        <w:t>-2019</w:t>
      </w:r>
      <w:r w:rsidRPr="00B20ADD">
        <w:rPr>
          <w:rFonts w:ascii="Verdana" w:eastAsia="Arial" w:hAnsi="Verdana" w:cs="Calibri"/>
          <w:color w:val="000000" w:themeColor="text1"/>
          <w:sz w:val="22"/>
          <w:szCs w:val="22"/>
        </w:rPr>
        <w:t xml:space="preserve">, when fewer than 1 in 5 children (17.2%) </w:t>
      </w:r>
      <w:r w:rsidRPr="00B20ADD" w:rsidR="00BF5A5F">
        <w:rPr>
          <w:rFonts w:ascii="Verdana" w:eastAsia="Arial" w:hAnsi="Verdana" w:cs="Calibri"/>
          <w:color w:val="000000" w:themeColor="text1"/>
          <w:sz w:val="22"/>
          <w:szCs w:val="22"/>
        </w:rPr>
        <w:t xml:space="preserve">in the most deprived areas </w:t>
      </w:r>
      <w:r w:rsidRPr="00B20ADD">
        <w:rPr>
          <w:rFonts w:ascii="Verdana" w:eastAsia="Arial" w:hAnsi="Verdana" w:cs="Calibri"/>
          <w:color w:val="000000" w:themeColor="text1"/>
          <w:sz w:val="22"/>
          <w:szCs w:val="22"/>
        </w:rPr>
        <w:t>were not vaccinated</w:t>
      </w:r>
      <w:r w:rsidRPr="00B20ADD" w:rsidR="00770EE3">
        <w:rPr>
          <w:rFonts w:ascii="Verdana" w:eastAsia="Arial" w:hAnsi="Verdana" w:cs="Calibri"/>
          <w:color w:val="000000" w:themeColor="text1"/>
          <w:sz w:val="22"/>
          <w:szCs w:val="22"/>
        </w:rPr>
        <w:t xml:space="preserve"> with MMR2.</w:t>
      </w:r>
    </w:p>
    <w:p w:rsidR="006D6C3B" w:rsidRPr="00B20ADD" w:rsidP="00B20ADD">
      <w:pPr>
        <w:pStyle w:val="ListParagraph"/>
        <w:numPr>
          <w:ilvl w:val="1"/>
          <w:numId w:val="28"/>
        </w:numPr>
        <w:spacing w:after="120" w:line="20" w:lineRule="atLeast"/>
        <w:contextualSpacing w:val="0"/>
        <w:rPr>
          <w:rFonts w:ascii="Verdana" w:eastAsia="Arial" w:hAnsi="Verdana" w:cs="Calibri"/>
          <w:b/>
          <w:bCs/>
          <w:color w:val="000000" w:themeColor="text1"/>
          <w:sz w:val="22"/>
          <w:szCs w:val="22"/>
        </w:rPr>
      </w:pPr>
      <w:r w:rsidRPr="00B20ADD">
        <w:rPr>
          <w:rFonts w:ascii="Verdana" w:eastAsia="Arial" w:hAnsi="Verdana" w:cs="Calibri"/>
          <w:color w:val="000000" w:themeColor="text1"/>
          <w:sz w:val="22"/>
          <w:szCs w:val="22"/>
        </w:rPr>
        <w:t xml:space="preserve">In comparison, </w:t>
      </w:r>
      <w:r w:rsidRPr="00B20ADD">
        <w:rPr>
          <w:rFonts w:ascii="Verdana" w:eastAsia="Arial" w:hAnsi="Verdana" w:cs="Calibri"/>
          <w:color w:val="000000" w:themeColor="text1"/>
          <w:sz w:val="22"/>
          <w:szCs w:val="22"/>
        </w:rPr>
        <w:t xml:space="preserve">uptake </w:t>
      </w:r>
      <w:r w:rsidRPr="00B20ADD" w:rsidR="00D139BE">
        <w:rPr>
          <w:rFonts w:ascii="Verdana" w:eastAsia="Arial" w:hAnsi="Verdana" w:cs="Calibri"/>
          <w:color w:val="000000" w:themeColor="text1"/>
          <w:sz w:val="22"/>
          <w:szCs w:val="22"/>
        </w:rPr>
        <w:t xml:space="preserve">of </w:t>
      </w:r>
      <w:r w:rsidRPr="00B20ADD">
        <w:rPr>
          <w:rFonts w:ascii="Verdana" w:eastAsia="Arial" w:hAnsi="Verdana" w:cs="Calibri"/>
          <w:color w:val="000000" w:themeColor="text1"/>
          <w:sz w:val="22"/>
          <w:szCs w:val="22"/>
        </w:rPr>
        <w:t xml:space="preserve">MMR2 in the least deprived areas has remained </w:t>
      </w:r>
      <w:r w:rsidRPr="00B20ADD">
        <w:rPr>
          <w:rFonts w:ascii="Verdana" w:eastAsia="Arial" w:hAnsi="Verdana" w:cs="Calibri"/>
          <w:color w:val="000000" w:themeColor="text1"/>
          <w:sz w:val="22"/>
          <w:szCs w:val="22"/>
        </w:rPr>
        <w:t xml:space="preserve">relatively </w:t>
      </w:r>
      <w:r w:rsidRPr="00B20ADD">
        <w:rPr>
          <w:rFonts w:ascii="Verdana" w:eastAsia="Arial" w:hAnsi="Verdana" w:cs="Calibri"/>
          <w:color w:val="000000" w:themeColor="text1"/>
          <w:sz w:val="22"/>
          <w:szCs w:val="22"/>
        </w:rPr>
        <w:t>stable</w:t>
      </w:r>
      <w:r w:rsidRPr="00B20ADD" w:rsidR="00D139BE">
        <w:rPr>
          <w:rFonts w:ascii="Verdana" w:eastAsia="Arial" w:hAnsi="Verdana" w:cs="Calibri"/>
          <w:color w:val="000000" w:themeColor="text1"/>
          <w:sz w:val="22"/>
          <w:szCs w:val="22"/>
        </w:rPr>
        <w:t xml:space="preserve"> over time</w:t>
      </w:r>
      <w:r w:rsidRPr="00B20ADD">
        <w:rPr>
          <w:rFonts w:ascii="Verdana" w:eastAsia="Arial" w:hAnsi="Verdana" w:cs="Calibri"/>
          <w:color w:val="000000" w:themeColor="text1"/>
          <w:sz w:val="22"/>
          <w:szCs w:val="22"/>
        </w:rPr>
        <w:t>,</w:t>
      </w:r>
      <w:r w:rsidRPr="00B20ADD">
        <w:rPr>
          <w:rFonts w:ascii="Verdana" w:eastAsia="Arial" w:hAnsi="Verdana" w:cs="Calibri"/>
          <w:color w:val="000000" w:themeColor="text1"/>
          <w:sz w:val="22"/>
          <w:szCs w:val="22"/>
        </w:rPr>
        <w:t xml:space="preserve"> </w:t>
      </w:r>
      <w:r w:rsidRPr="00B20ADD" w:rsidR="00D139BE">
        <w:rPr>
          <w:rFonts w:ascii="Verdana" w:eastAsia="Arial" w:hAnsi="Verdana" w:cs="Calibri"/>
          <w:color w:val="000000" w:themeColor="text1"/>
          <w:sz w:val="22"/>
          <w:szCs w:val="22"/>
        </w:rPr>
        <w:t>even</w:t>
      </w:r>
      <w:r w:rsidRPr="00B20ADD">
        <w:rPr>
          <w:rFonts w:ascii="Verdana" w:eastAsia="Arial" w:hAnsi="Verdana" w:cs="Calibri"/>
          <w:color w:val="000000" w:themeColor="text1"/>
          <w:sz w:val="22"/>
          <w:szCs w:val="22"/>
        </w:rPr>
        <w:t xml:space="preserve"> reporting a small improvement from</w:t>
      </w:r>
      <w:r w:rsidRPr="00B20ADD" w:rsidR="00D139BE">
        <w:rPr>
          <w:rFonts w:ascii="Verdana" w:eastAsia="Arial" w:hAnsi="Verdana" w:cs="Calibri"/>
          <w:color w:val="000000" w:themeColor="text1"/>
          <w:sz w:val="22"/>
          <w:szCs w:val="22"/>
        </w:rPr>
        <w:t xml:space="preserve"> </w:t>
      </w:r>
      <w:r w:rsidRPr="00B20ADD">
        <w:rPr>
          <w:rFonts w:ascii="Verdana" w:eastAsia="Arial" w:hAnsi="Verdana" w:cs="Calibri"/>
          <w:color w:val="000000" w:themeColor="text1"/>
          <w:sz w:val="22"/>
          <w:szCs w:val="22"/>
        </w:rPr>
        <w:t>11.8% children not receiving MMR2 in 2018/19</w:t>
      </w:r>
      <w:r w:rsidRPr="00B20ADD" w:rsidR="00D139BE">
        <w:rPr>
          <w:rFonts w:ascii="Verdana" w:eastAsia="Arial" w:hAnsi="Verdana" w:cs="Calibri"/>
          <w:color w:val="000000" w:themeColor="text1"/>
          <w:sz w:val="22"/>
          <w:szCs w:val="22"/>
        </w:rPr>
        <w:t xml:space="preserve"> to </w:t>
      </w:r>
      <w:r w:rsidRPr="00B20ADD" w:rsidR="00E25210">
        <w:rPr>
          <w:rFonts w:ascii="Verdana" w:eastAsia="Arial" w:hAnsi="Verdana" w:cs="Calibri"/>
          <w:color w:val="000000" w:themeColor="text1"/>
          <w:sz w:val="22"/>
          <w:szCs w:val="22"/>
        </w:rPr>
        <w:t>11.42% in 2024/25</w:t>
      </w:r>
    </w:p>
    <w:p w:rsidR="006D6C3B" w:rsidRPr="00B20ADD" w:rsidP="00B20ADD">
      <w:pPr>
        <w:pStyle w:val="ListParagraph"/>
        <w:numPr>
          <w:ilvl w:val="1"/>
          <w:numId w:val="28"/>
        </w:numPr>
        <w:spacing w:after="120" w:line="20" w:lineRule="atLeast"/>
        <w:contextualSpacing w:val="0"/>
        <w:rPr>
          <w:rFonts w:ascii="Verdana" w:eastAsia="Arial" w:hAnsi="Verdana" w:cs="Calibri"/>
          <w:b/>
          <w:bCs/>
          <w:color w:val="000000" w:themeColor="text1"/>
          <w:sz w:val="22"/>
          <w:szCs w:val="22"/>
        </w:rPr>
      </w:pPr>
      <w:r w:rsidRPr="00B20ADD">
        <w:rPr>
          <w:rFonts w:ascii="Verdana" w:eastAsia="Arial" w:hAnsi="Verdana" w:cs="Calibri"/>
          <w:b/>
          <w:color w:val="000000" w:themeColor="text1"/>
          <w:sz w:val="22"/>
          <w:szCs w:val="22"/>
        </w:rPr>
        <w:t>The gap between uptake</w:t>
      </w:r>
      <w:r w:rsidRPr="00B20ADD" w:rsidR="00A07EF8">
        <w:rPr>
          <w:rFonts w:ascii="Verdana" w:eastAsia="Arial" w:hAnsi="Verdana" w:cs="Calibri"/>
          <w:b/>
          <w:bCs/>
          <w:color w:val="000000" w:themeColor="text1"/>
          <w:sz w:val="22"/>
          <w:szCs w:val="22"/>
        </w:rPr>
        <w:t xml:space="preserve"> of</w:t>
      </w:r>
      <w:r w:rsidRPr="00B20ADD">
        <w:rPr>
          <w:rFonts w:ascii="Verdana" w:eastAsia="Arial" w:hAnsi="Verdana" w:cs="Calibri"/>
          <w:b/>
          <w:bCs/>
          <w:color w:val="000000" w:themeColor="text1"/>
          <w:sz w:val="22"/>
          <w:szCs w:val="22"/>
        </w:rPr>
        <w:t xml:space="preserve"> MMR2</w:t>
      </w:r>
      <w:r w:rsidRPr="00B20ADD">
        <w:rPr>
          <w:rFonts w:ascii="Verdana" w:eastAsia="Arial" w:hAnsi="Verdana" w:cs="Calibri"/>
          <w:b/>
          <w:color w:val="000000" w:themeColor="text1"/>
          <w:sz w:val="22"/>
          <w:szCs w:val="22"/>
        </w:rPr>
        <w:t xml:space="preserve"> in the least deprived areas and the most deprived areas has more than doubled since 2018/19 – with 5.4 percentage points of difference in 2018/19</w:t>
      </w:r>
      <w:r w:rsidRPr="00B20ADD" w:rsidR="00BF5A5F">
        <w:rPr>
          <w:rFonts w:ascii="Verdana" w:eastAsia="Arial" w:hAnsi="Verdana" w:cs="Calibri"/>
          <w:b/>
          <w:color w:val="000000" w:themeColor="text1"/>
          <w:sz w:val="22"/>
          <w:szCs w:val="22"/>
        </w:rPr>
        <w:t>,</w:t>
      </w:r>
      <w:r w:rsidRPr="00B20ADD">
        <w:rPr>
          <w:rFonts w:ascii="Verdana" w:eastAsia="Arial" w:hAnsi="Verdana" w:cs="Calibri"/>
          <w:b/>
          <w:color w:val="000000" w:themeColor="text1"/>
          <w:sz w:val="22"/>
          <w:szCs w:val="22"/>
        </w:rPr>
        <w:t xml:space="preserve"> compared to 12.6 percentage points of difference in 2024/25.</w:t>
      </w:r>
    </w:p>
    <w:p w:rsidR="00BF5A5F" w:rsidRPr="00B20ADD" w:rsidP="00B20ADD">
      <w:pPr>
        <w:pStyle w:val="ListParagraph"/>
        <w:numPr>
          <w:ilvl w:val="1"/>
          <w:numId w:val="28"/>
        </w:numPr>
        <w:spacing w:after="120" w:line="20" w:lineRule="atLeast"/>
        <w:contextualSpacing w:val="0"/>
        <w:rPr>
          <w:rFonts w:ascii="Verdana" w:eastAsia="Arial" w:hAnsi="Verdana" w:cs="Calibri"/>
          <w:b/>
          <w:bCs/>
          <w:color w:val="000000" w:themeColor="text1"/>
          <w:sz w:val="22"/>
          <w:szCs w:val="22"/>
        </w:rPr>
      </w:pPr>
      <w:r w:rsidRPr="00B20ADD">
        <w:rPr>
          <w:rFonts w:ascii="Verdana" w:eastAsia="Arial" w:hAnsi="Verdana" w:cs="Calibri"/>
          <w:color w:val="000000" w:themeColor="text1"/>
          <w:sz w:val="22"/>
          <w:szCs w:val="22"/>
        </w:rPr>
        <w:t xml:space="preserve">The picture is consistent if </w:t>
      </w:r>
      <w:r w:rsidRPr="00B20ADD" w:rsidR="00F84B1A">
        <w:rPr>
          <w:rFonts w:ascii="Verdana" w:eastAsia="Arial" w:hAnsi="Verdana" w:cs="Calibri"/>
          <w:color w:val="000000" w:themeColor="text1"/>
          <w:sz w:val="22"/>
          <w:szCs w:val="22"/>
        </w:rPr>
        <w:t>comparing</w:t>
      </w:r>
      <w:r w:rsidRPr="00B20ADD">
        <w:rPr>
          <w:rFonts w:ascii="Verdana" w:eastAsia="Arial" w:hAnsi="Verdana" w:cs="Calibri"/>
          <w:color w:val="000000" w:themeColor="text1"/>
          <w:sz w:val="22"/>
          <w:szCs w:val="22"/>
        </w:rPr>
        <w:t xml:space="preserve"> against IMD measures of deprivation instead of IDACI, with the gap in MMR2 uptake between least deprived areas and most deprived areas (IMD) </w:t>
      </w:r>
      <w:r w:rsidRPr="00B20ADD" w:rsidR="002F2CAF">
        <w:rPr>
          <w:rFonts w:ascii="Verdana" w:eastAsia="Arial" w:hAnsi="Verdana" w:cs="Calibri"/>
          <w:color w:val="000000" w:themeColor="text1"/>
          <w:sz w:val="22"/>
          <w:szCs w:val="22"/>
        </w:rPr>
        <w:t xml:space="preserve">also </w:t>
      </w:r>
      <w:r w:rsidRPr="00B20ADD">
        <w:rPr>
          <w:rFonts w:ascii="Verdana" w:eastAsia="Arial" w:hAnsi="Verdana" w:cs="Calibri"/>
          <w:color w:val="000000" w:themeColor="text1"/>
          <w:sz w:val="22"/>
          <w:szCs w:val="22"/>
        </w:rPr>
        <w:t>more than doubling from 3.19 percentage points in 2018/19 to 9.49 percentage points in 2024/25</w:t>
      </w:r>
      <w:r w:rsidRPr="00B20ADD" w:rsidR="00A815F2">
        <w:rPr>
          <w:rFonts w:ascii="Verdana" w:eastAsia="Arial" w:hAnsi="Verdana" w:cs="Calibri"/>
          <w:color w:val="000000" w:themeColor="text1"/>
          <w:sz w:val="22"/>
          <w:szCs w:val="22"/>
        </w:rPr>
        <w:t>.</w:t>
      </w:r>
    </w:p>
    <w:p w:rsidR="00BF5A5F" w:rsidRPr="00B20ADD" w:rsidP="00B20ADD">
      <w:pPr>
        <w:pStyle w:val="ListParagraph"/>
        <w:numPr>
          <w:ilvl w:val="0"/>
          <w:numId w:val="28"/>
        </w:numPr>
        <w:spacing w:after="120" w:line="20" w:lineRule="atLeast"/>
        <w:contextualSpacing w:val="0"/>
        <w:rPr>
          <w:rFonts w:ascii="Verdana" w:eastAsia="Arial" w:hAnsi="Verdana" w:cs="Calibri"/>
          <w:b/>
          <w:color w:val="000000" w:themeColor="text1"/>
          <w:sz w:val="22"/>
          <w:szCs w:val="22"/>
        </w:rPr>
      </w:pPr>
      <w:r w:rsidRPr="00B20ADD">
        <w:rPr>
          <w:rFonts w:ascii="Verdana" w:eastAsia="Arial" w:hAnsi="Verdana" w:cs="Calibri"/>
          <w:b/>
          <w:bCs/>
          <w:color w:val="000000" w:themeColor="text1"/>
          <w:sz w:val="22"/>
          <w:szCs w:val="22"/>
        </w:rPr>
        <w:t>Likewise, m</w:t>
      </w:r>
      <w:r w:rsidRPr="00B20ADD">
        <w:rPr>
          <w:rFonts w:ascii="Verdana" w:eastAsia="Arial" w:hAnsi="Verdana" w:cs="Calibri"/>
          <w:b/>
          <w:bCs/>
          <w:color w:val="000000" w:themeColor="text1"/>
          <w:sz w:val="22"/>
          <w:szCs w:val="22"/>
        </w:rPr>
        <w:t>ore than 1 in 4 children (2</w:t>
      </w:r>
      <w:r w:rsidRPr="00B20ADD" w:rsidR="00F84B1A">
        <w:rPr>
          <w:rFonts w:ascii="Verdana" w:eastAsia="Arial" w:hAnsi="Verdana" w:cs="Calibri"/>
          <w:b/>
          <w:bCs/>
          <w:color w:val="000000" w:themeColor="text1"/>
          <w:sz w:val="22"/>
          <w:szCs w:val="22"/>
        </w:rPr>
        <w:t xml:space="preserve">7.24 </w:t>
      </w:r>
      <w:r w:rsidRPr="00B20ADD">
        <w:rPr>
          <w:rFonts w:ascii="Verdana" w:eastAsia="Arial" w:hAnsi="Verdana" w:cs="Calibri"/>
          <w:b/>
          <w:bCs/>
          <w:color w:val="000000" w:themeColor="text1"/>
          <w:sz w:val="22"/>
          <w:szCs w:val="22"/>
        </w:rPr>
        <w:t>%) living in areas with the highest level of deprivation (IDACI</w:t>
      </w:r>
      <w:r w:rsidRPr="00B20ADD" w:rsidR="00F84B1A">
        <w:rPr>
          <w:rFonts w:ascii="Verdana" w:eastAsia="Arial" w:hAnsi="Verdana" w:cs="Calibri"/>
          <w:b/>
          <w:bCs/>
          <w:color w:val="000000" w:themeColor="text1"/>
          <w:sz w:val="22"/>
          <w:szCs w:val="22"/>
        </w:rPr>
        <w:t xml:space="preserve"> Quintile 5</w:t>
      </w:r>
      <w:r w:rsidRPr="00B20ADD">
        <w:rPr>
          <w:rFonts w:ascii="Verdana" w:eastAsia="Arial" w:hAnsi="Verdana" w:cs="Calibri"/>
          <w:b/>
          <w:bCs/>
          <w:color w:val="000000" w:themeColor="text1"/>
          <w:sz w:val="22"/>
          <w:szCs w:val="22"/>
        </w:rPr>
        <w:t xml:space="preserve">) </w:t>
      </w:r>
      <w:r w:rsidRPr="00B20ADD" w:rsidR="00F84B1A">
        <w:rPr>
          <w:rFonts w:ascii="Verdana" w:eastAsia="Arial" w:hAnsi="Verdana" w:cs="Calibri"/>
          <w:b/>
          <w:bCs/>
          <w:color w:val="000000" w:themeColor="text1"/>
          <w:sz w:val="22"/>
          <w:szCs w:val="22"/>
        </w:rPr>
        <w:t>were not vaccinated with the DTaP/IPV booster</w:t>
      </w:r>
      <w:r w:rsidRPr="00B20ADD" w:rsidR="00F84B1A">
        <w:rPr>
          <w:rFonts w:ascii="Verdana" w:eastAsia="Arial" w:hAnsi="Verdana" w:cs="Calibri"/>
          <w:color w:val="000000" w:themeColor="text1"/>
          <w:sz w:val="22"/>
          <w:szCs w:val="22"/>
        </w:rPr>
        <w:t xml:space="preserve">, meaning </w:t>
      </w:r>
      <w:r w:rsidRPr="00B20ADD" w:rsidR="00BD3C06">
        <w:rPr>
          <w:rFonts w:ascii="Verdana" w:eastAsia="Arial" w:hAnsi="Verdana" w:cs="Calibri"/>
          <w:color w:val="000000" w:themeColor="text1"/>
          <w:sz w:val="22"/>
          <w:szCs w:val="22"/>
        </w:rPr>
        <w:t>thousands of children in those areas</w:t>
      </w:r>
      <w:r w:rsidRPr="00B20ADD" w:rsidR="00F84B1A">
        <w:rPr>
          <w:rFonts w:ascii="Verdana" w:eastAsia="Arial" w:hAnsi="Verdana" w:cs="Calibri"/>
          <w:color w:val="000000" w:themeColor="text1"/>
          <w:sz w:val="22"/>
          <w:szCs w:val="22"/>
        </w:rPr>
        <w:t xml:space="preserve"> are</w:t>
      </w:r>
      <w:r w:rsidRPr="00B20ADD">
        <w:rPr>
          <w:rFonts w:ascii="Verdana" w:eastAsia="Arial" w:hAnsi="Verdana" w:cs="Calibri"/>
          <w:color w:val="000000" w:themeColor="text1"/>
          <w:sz w:val="22"/>
          <w:szCs w:val="22"/>
        </w:rPr>
        <w:t xml:space="preserve"> not fully </w:t>
      </w:r>
      <w:r w:rsidRPr="00B20ADD" w:rsidR="00F84B1A">
        <w:rPr>
          <w:rFonts w:ascii="Verdana" w:eastAsia="Arial" w:hAnsi="Verdana" w:cs="Calibri"/>
          <w:color w:val="000000" w:themeColor="text1"/>
          <w:sz w:val="22"/>
          <w:szCs w:val="22"/>
        </w:rPr>
        <w:t>protected</w:t>
      </w:r>
      <w:r w:rsidRPr="00B20ADD">
        <w:rPr>
          <w:rFonts w:ascii="Verdana" w:eastAsia="Arial" w:hAnsi="Verdana" w:cs="Calibri"/>
          <w:color w:val="000000" w:themeColor="text1"/>
          <w:sz w:val="22"/>
          <w:szCs w:val="22"/>
        </w:rPr>
        <w:t xml:space="preserve"> against </w:t>
      </w:r>
      <w:r w:rsidRPr="00B20ADD" w:rsidR="00F84B1A">
        <w:rPr>
          <w:rFonts w:ascii="Verdana" w:eastAsia="Arial" w:hAnsi="Verdana" w:cs="Calibri"/>
          <w:color w:val="000000" w:themeColor="text1"/>
          <w:sz w:val="22"/>
          <w:szCs w:val="22"/>
        </w:rPr>
        <w:t xml:space="preserve">diphtheria, tetanus, pertussis and polio. </w:t>
      </w:r>
      <w:r w:rsidRPr="00B20ADD" w:rsidR="00F84B1A">
        <w:rPr>
          <w:rFonts w:ascii="Verdana" w:eastAsia="Arial" w:hAnsi="Verdana" w:cs="Calibri"/>
          <w:b/>
          <w:color w:val="000000" w:themeColor="text1"/>
          <w:sz w:val="22"/>
          <w:szCs w:val="22"/>
        </w:rPr>
        <w:t>As with MMR2, the gap between the most deprived and least deprived areas has significantly widened: from 4.77 percentage points in 2018/29 to 13.75 percentage points in 2024/25.</w:t>
      </w:r>
    </w:p>
    <w:p w:rsidR="00F84B1A" w:rsidRPr="00B20ADD" w:rsidP="00B20ADD">
      <w:pPr>
        <w:pStyle w:val="ListParagraph"/>
        <w:numPr>
          <w:ilvl w:val="0"/>
          <w:numId w:val="28"/>
        </w:numPr>
        <w:spacing w:after="120" w:line="20" w:lineRule="atLeast"/>
        <w:contextualSpacing w:val="0"/>
        <w:rPr>
          <w:rFonts w:ascii="Verdana" w:eastAsia="Arial" w:hAnsi="Verdana" w:cs="Calibri"/>
          <w:b/>
          <w:bCs/>
          <w:color w:val="000000" w:themeColor="text1"/>
          <w:sz w:val="22"/>
          <w:szCs w:val="22"/>
        </w:rPr>
      </w:pPr>
      <w:r w:rsidRPr="00B20ADD">
        <w:rPr>
          <w:rFonts w:ascii="Verdana" w:eastAsia="Arial" w:hAnsi="Verdana" w:cs="Calibri"/>
          <w:color w:val="000000" w:themeColor="text1"/>
          <w:sz w:val="22"/>
          <w:szCs w:val="22"/>
        </w:rPr>
        <w:t xml:space="preserve">While uptake of first vaccinations (MMR1 and primary DTaP/IPV/Hib/HepB) is higher, the link between vaccine uptake and deprivation remains: </w:t>
      </w:r>
    </w:p>
    <w:p w:rsidR="006550BF" w:rsidRPr="00B20ADD" w:rsidP="00B20ADD">
      <w:pPr>
        <w:pStyle w:val="ListParagraph"/>
        <w:numPr>
          <w:ilvl w:val="1"/>
          <w:numId w:val="28"/>
        </w:numPr>
        <w:spacing w:after="120" w:line="20" w:lineRule="atLeast"/>
        <w:contextualSpacing w:val="0"/>
        <w:rPr>
          <w:rFonts w:ascii="Verdana" w:eastAsia="Arial" w:hAnsi="Verdana" w:cs="Calibri"/>
          <w:b/>
          <w:bCs/>
          <w:color w:val="000000" w:themeColor="text1"/>
          <w:sz w:val="22"/>
          <w:szCs w:val="22"/>
        </w:rPr>
      </w:pPr>
      <w:r w:rsidRPr="00B20ADD">
        <w:rPr>
          <w:rFonts w:ascii="Verdana" w:eastAsia="Arial" w:hAnsi="Verdana" w:cs="Calibri"/>
          <w:color w:val="000000" w:themeColor="text1"/>
          <w:sz w:val="22"/>
          <w:szCs w:val="22"/>
        </w:rPr>
        <w:t>For MMR1: 94.54% of children in the least deprived quintile of areas (IDACI Quintile 1) were vaccinated with MMR1, compared to 94.05% children in IDACI Quintile 2, 91.23% children in IDACI Quintile 3, 90.72% children in IDACI Quintile 4, and 87.39% of children in IDACI Quintile 5 – a gap of 7.15 percentage points between the most and least deprived areas.</w:t>
      </w:r>
    </w:p>
    <w:p w:rsidR="00DF5204" w:rsidRPr="007E1DF0" w:rsidP="007E1DF0">
      <w:pPr>
        <w:pStyle w:val="ListParagraph"/>
        <w:spacing w:after="120" w:line="20" w:lineRule="atLeast"/>
        <w:ind w:left="1440"/>
        <w:contextualSpacing w:val="0"/>
        <w:rPr>
          <w:rFonts w:ascii="Verdana" w:eastAsia="Arial" w:hAnsi="Verdana" w:cs="Calibri"/>
          <w:b/>
          <w:bCs/>
          <w:color w:val="000000" w:themeColor="text1"/>
          <w:sz w:val="22"/>
          <w:szCs w:val="22"/>
        </w:rPr>
      </w:pPr>
    </w:p>
    <w:p w:rsidR="00BD1710" w:rsidRPr="007E1DF0" w:rsidP="007E1DF0">
      <w:pPr>
        <w:spacing w:after="120" w:line="20" w:lineRule="atLeast"/>
        <w:rPr>
          <w:rFonts w:ascii="Verdana" w:eastAsia="Arial" w:hAnsi="Verdana" w:cs="Calibri"/>
          <w:b/>
          <w:bCs/>
          <w:color w:val="000000" w:themeColor="text1"/>
          <w:sz w:val="22"/>
          <w:szCs w:val="22"/>
        </w:rPr>
      </w:pPr>
      <w:r w:rsidRPr="007E1DF0">
        <w:rPr>
          <w:rFonts w:ascii="Verdana" w:eastAsia="Arial" w:hAnsi="Verdana" w:cs="Calibri"/>
          <w:b/>
          <w:bCs/>
          <w:color w:val="000000" w:themeColor="text1"/>
          <w:sz w:val="22"/>
          <w:szCs w:val="22"/>
        </w:rPr>
        <w:t>Deprivation-related vaccine inequalities have widened</w:t>
      </w:r>
      <w:r w:rsidRPr="007E1DF0" w:rsidR="007C0429">
        <w:rPr>
          <w:rFonts w:ascii="Verdana" w:eastAsia="Arial" w:hAnsi="Verdana" w:cs="Calibri"/>
          <w:b/>
          <w:bCs/>
          <w:color w:val="000000" w:themeColor="text1"/>
          <w:sz w:val="22"/>
          <w:szCs w:val="22"/>
        </w:rPr>
        <w:t xml:space="preserve"> over time</w:t>
      </w:r>
    </w:p>
    <w:p w:rsidR="00BD1710" w:rsidRPr="007E1DF0" w:rsidP="007E1DF0">
      <w:pPr>
        <w:pStyle w:val="ListParagraph"/>
        <w:numPr>
          <w:ilvl w:val="0"/>
          <w:numId w:val="44"/>
        </w:numPr>
        <w:spacing w:after="120" w:line="20" w:lineRule="atLeast"/>
        <w:contextualSpacing w:val="0"/>
        <w:rPr>
          <w:rFonts w:ascii="Verdana" w:eastAsia="Arial" w:hAnsi="Verdana" w:cs="Calibri"/>
          <w:b/>
          <w:bCs/>
          <w:color w:val="000000" w:themeColor="text1"/>
          <w:sz w:val="22"/>
          <w:szCs w:val="22"/>
        </w:rPr>
      </w:pPr>
      <w:r w:rsidRPr="007E1DF0">
        <w:rPr>
          <w:rFonts w:ascii="Verdana" w:eastAsia="Arial" w:hAnsi="Verdana" w:cs="Calibri"/>
          <w:b/>
          <w:bCs/>
          <w:color w:val="000000" w:themeColor="text1"/>
          <w:sz w:val="22"/>
          <w:szCs w:val="22"/>
        </w:rPr>
        <w:t>Across England as a whole, childhood vaccination uptake has declined since 2018/19. However, the most deprived areas have experienced much larger reductions in coverage than more affluent areas, resulting in widening inequalities.</w:t>
      </w:r>
    </w:p>
    <w:p w:rsidR="00BD1710" w:rsidRPr="007E1DF0" w:rsidP="007E1DF0">
      <w:pPr>
        <w:pStyle w:val="ListParagraph"/>
        <w:numPr>
          <w:ilvl w:val="0"/>
          <w:numId w:val="44"/>
        </w:numPr>
        <w:spacing w:after="120" w:line="20" w:lineRule="atLeast"/>
        <w:contextualSpacing w:val="0"/>
        <w:rPr>
          <w:rFonts w:ascii="Verdana" w:eastAsia="Arial" w:hAnsi="Verdana" w:cs="Calibri"/>
          <w:color w:val="000000" w:themeColor="text1"/>
          <w:sz w:val="22"/>
          <w:szCs w:val="22"/>
        </w:rPr>
      </w:pPr>
      <w:r w:rsidRPr="007E1DF0">
        <w:rPr>
          <w:rFonts w:ascii="Verdana" w:eastAsia="Arial" w:hAnsi="Verdana" w:cs="Calibri"/>
          <w:color w:val="000000" w:themeColor="text1"/>
          <w:sz w:val="22"/>
          <w:szCs w:val="22"/>
        </w:rPr>
        <w:t xml:space="preserve">For MMR1, uptake fell by just 0.19 percentage points in the least deprived IDACI quintile between 2018/19 and 2024/25, compared with 6.0 percentage points in the most deprived quintile. In other words, </w:t>
      </w:r>
      <w:r w:rsidRPr="007E1DF0">
        <w:rPr>
          <w:rFonts w:ascii="Verdana" w:eastAsia="Arial" w:hAnsi="Verdana" w:cs="Calibri"/>
          <w:b/>
          <w:bCs/>
          <w:color w:val="000000" w:themeColor="text1"/>
          <w:sz w:val="22"/>
          <w:szCs w:val="22"/>
        </w:rPr>
        <w:t>coverage declined more than thirty times faster in the most deprived areas than in the least deprived areas.</w:t>
      </w:r>
      <w:r w:rsidRPr="007E1DF0">
        <w:rPr>
          <w:rFonts w:ascii="Verdana" w:eastAsia="Arial" w:hAnsi="Verdana" w:cs="Calibri"/>
          <w:color w:val="000000" w:themeColor="text1"/>
          <w:sz w:val="22"/>
          <w:szCs w:val="22"/>
        </w:rPr>
        <w:t xml:space="preserve"> </w:t>
      </w:r>
    </w:p>
    <w:p w:rsidR="00BD1710" w:rsidRPr="007E1DF0" w:rsidP="007E1DF0">
      <w:pPr>
        <w:pStyle w:val="ListParagraph"/>
        <w:numPr>
          <w:ilvl w:val="0"/>
          <w:numId w:val="44"/>
        </w:numPr>
        <w:spacing w:after="120" w:line="20" w:lineRule="atLeast"/>
        <w:contextualSpacing w:val="0"/>
        <w:rPr>
          <w:rFonts w:ascii="Verdana" w:eastAsia="Arial" w:hAnsi="Verdana" w:cs="Calibri"/>
          <w:color w:val="000000" w:themeColor="text1"/>
          <w:sz w:val="22"/>
          <w:szCs w:val="22"/>
        </w:rPr>
      </w:pPr>
      <w:r w:rsidRPr="007E1DF0">
        <w:rPr>
          <w:rFonts w:ascii="Verdana" w:eastAsia="Arial" w:hAnsi="Verdana" w:cs="Calibri"/>
          <w:color w:val="000000" w:themeColor="text1"/>
          <w:sz w:val="22"/>
          <w:szCs w:val="22"/>
        </w:rPr>
        <w:t>The widening gap</w:t>
      </w:r>
      <w:r w:rsidRPr="007E1DF0" w:rsidR="00060E23">
        <w:rPr>
          <w:rFonts w:ascii="Verdana" w:eastAsia="Arial" w:hAnsi="Verdana" w:cs="Calibri"/>
          <w:color w:val="000000" w:themeColor="text1"/>
          <w:sz w:val="22"/>
          <w:szCs w:val="22"/>
        </w:rPr>
        <w:t xml:space="preserve"> between deprived and affluent areas</w:t>
      </w:r>
      <w:r w:rsidRPr="007E1DF0">
        <w:rPr>
          <w:rFonts w:ascii="Verdana" w:eastAsia="Arial" w:hAnsi="Verdana" w:cs="Calibri"/>
          <w:color w:val="000000" w:themeColor="text1"/>
          <w:sz w:val="22"/>
          <w:szCs w:val="22"/>
        </w:rPr>
        <w:t xml:space="preserve"> is even more pronounced for </w:t>
      </w:r>
      <w:r w:rsidRPr="007E1DF0" w:rsidR="00060E23">
        <w:rPr>
          <w:rFonts w:ascii="Verdana" w:eastAsia="Arial" w:hAnsi="Verdana" w:cs="Calibri"/>
          <w:color w:val="000000" w:themeColor="text1"/>
          <w:sz w:val="22"/>
          <w:szCs w:val="22"/>
        </w:rPr>
        <w:t xml:space="preserve">secondary or </w:t>
      </w:r>
      <w:r w:rsidRPr="007E1DF0">
        <w:rPr>
          <w:rFonts w:ascii="Verdana" w:eastAsia="Arial" w:hAnsi="Verdana" w:cs="Calibri"/>
          <w:color w:val="000000" w:themeColor="text1"/>
          <w:sz w:val="22"/>
          <w:szCs w:val="22"/>
        </w:rPr>
        <w:t>booster vaccinations.</w:t>
      </w:r>
    </w:p>
    <w:p w:rsidR="00BD1710" w:rsidRPr="007E1DF0" w:rsidP="007E1DF0">
      <w:pPr>
        <w:pStyle w:val="ListParagraph"/>
        <w:numPr>
          <w:ilvl w:val="1"/>
          <w:numId w:val="44"/>
        </w:numPr>
        <w:spacing w:after="120" w:line="20" w:lineRule="atLeast"/>
        <w:contextualSpacing w:val="0"/>
        <w:rPr>
          <w:rFonts w:ascii="Verdana" w:eastAsia="Arial" w:hAnsi="Verdana" w:cs="Calibri"/>
          <w:color w:val="000000" w:themeColor="text1"/>
          <w:sz w:val="22"/>
          <w:szCs w:val="22"/>
        </w:rPr>
      </w:pPr>
      <w:r w:rsidRPr="007E1DF0">
        <w:rPr>
          <w:rFonts w:ascii="Verdana" w:eastAsia="Arial" w:hAnsi="Verdana" w:cs="Calibri"/>
          <w:color w:val="000000" w:themeColor="text1"/>
          <w:sz w:val="22"/>
          <w:szCs w:val="22"/>
        </w:rPr>
        <w:t xml:space="preserve">For MMR2, the difference in coverage between the least and most deprived IDACI quintiles increased from 5.4 percentage points in 2018/19 to 12.6 percentage points in 2024/25. Using IMD, the equivalent gap more than doubled from 3.2 percentage points to 9.5 percentage points. </w:t>
      </w:r>
    </w:p>
    <w:p w:rsidR="00BD1710" w:rsidRPr="007E1DF0" w:rsidP="007E1DF0">
      <w:pPr>
        <w:pStyle w:val="ListParagraph"/>
        <w:numPr>
          <w:ilvl w:val="1"/>
          <w:numId w:val="44"/>
        </w:numPr>
        <w:spacing w:after="120" w:line="20" w:lineRule="atLeast"/>
        <w:contextualSpacing w:val="0"/>
        <w:rPr>
          <w:rFonts w:ascii="Verdana" w:eastAsia="Arial" w:hAnsi="Verdana" w:cs="Calibri"/>
          <w:color w:val="000000" w:themeColor="text1"/>
          <w:sz w:val="22"/>
          <w:szCs w:val="22"/>
        </w:rPr>
      </w:pPr>
      <w:r w:rsidRPr="007E1DF0">
        <w:rPr>
          <w:rFonts w:ascii="Verdana" w:eastAsia="Arial" w:hAnsi="Verdana" w:cs="Calibri"/>
          <w:color w:val="000000" w:themeColor="text1"/>
          <w:sz w:val="22"/>
          <w:szCs w:val="22"/>
        </w:rPr>
        <w:t>Similarly, the gap in DTaP/IPV booster coverage between the least and most deprived IDACI quintiles widened from 4.8 percentage points in 2018/19 to 13.8 percentage points in 2024/25.</w:t>
      </w:r>
    </w:p>
    <w:p w:rsidR="00BD1710" w:rsidRPr="007E1DF0" w:rsidP="007E1DF0">
      <w:pPr>
        <w:pStyle w:val="ListParagraph"/>
        <w:numPr>
          <w:ilvl w:val="0"/>
          <w:numId w:val="44"/>
        </w:numPr>
        <w:spacing w:after="120" w:line="20" w:lineRule="atLeast"/>
        <w:contextualSpacing w:val="0"/>
        <w:rPr>
          <w:rFonts w:ascii="Verdana" w:eastAsia="Arial" w:hAnsi="Verdana" w:cs="Calibri"/>
          <w:color w:val="000000" w:themeColor="text1"/>
          <w:sz w:val="22"/>
          <w:szCs w:val="22"/>
        </w:rPr>
      </w:pPr>
      <w:r w:rsidRPr="007E1DF0">
        <w:rPr>
          <w:rFonts w:ascii="Verdana" w:eastAsia="Arial" w:hAnsi="Verdana" w:cs="Calibri"/>
          <w:color w:val="000000" w:themeColor="text1"/>
          <w:sz w:val="22"/>
          <w:szCs w:val="22"/>
        </w:rPr>
        <w:t xml:space="preserve">While vaccination uptake has declined across most of England, some of the least deprived areas have maintained stable coverage and, in some cases, seen modest improvements in booster uptake. For example, MMR2 coverage increased by 0.43 percentage points in the least deprived IDACI quintile, while falling by 6.76 percentage points in the most deprived quintile. </w:t>
      </w:r>
    </w:p>
    <w:p w:rsidR="00BD1710" w:rsidRPr="007E1DF0" w:rsidP="007E1DF0">
      <w:pPr>
        <w:pStyle w:val="ListParagraph"/>
        <w:numPr>
          <w:ilvl w:val="0"/>
          <w:numId w:val="44"/>
        </w:numPr>
        <w:spacing w:after="120" w:line="20" w:lineRule="atLeast"/>
        <w:contextualSpacing w:val="0"/>
        <w:rPr>
          <w:rFonts w:ascii="Verdana" w:eastAsia="Arial" w:hAnsi="Verdana" w:cs="Calibri"/>
          <w:b/>
          <w:bCs/>
          <w:color w:val="000000" w:themeColor="text1"/>
          <w:sz w:val="22"/>
          <w:szCs w:val="22"/>
        </w:rPr>
      </w:pPr>
      <w:r w:rsidRPr="007E1DF0">
        <w:rPr>
          <w:rFonts w:ascii="Verdana" w:eastAsia="Arial" w:hAnsi="Verdana" w:cs="Calibri"/>
          <w:b/>
          <w:bCs/>
          <w:color w:val="000000" w:themeColor="text1"/>
          <w:sz w:val="22"/>
          <w:szCs w:val="22"/>
        </w:rPr>
        <w:t xml:space="preserve">Overall, </w:t>
      </w:r>
      <w:r w:rsidRPr="007E1DF0" w:rsidR="00F3529E">
        <w:rPr>
          <w:rFonts w:ascii="Verdana" w:eastAsia="Arial" w:hAnsi="Verdana" w:cs="Calibri"/>
          <w:b/>
          <w:bCs/>
          <w:color w:val="000000" w:themeColor="text1"/>
          <w:sz w:val="22"/>
          <w:szCs w:val="22"/>
        </w:rPr>
        <w:t xml:space="preserve">our analysis shows not only that </w:t>
      </w:r>
      <w:r w:rsidRPr="007E1DF0">
        <w:rPr>
          <w:rFonts w:ascii="Verdana" w:eastAsia="Arial" w:hAnsi="Verdana" w:cs="Calibri"/>
          <w:b/>
          <w:bCs/>
          <w:color w:val="000000" w:themeColor="text1"/>
          <w:sz w:val="22"/>
          <w:szCs w:val="22"/>
        </w:rPr>
        <w:t>vaccination coverage is</w:t>
      </w:r>
      <w:r w:rsidRPr="007E1DF0" w:rsidR="00B9619B">
        <w:rPr>
          <w:rFonts w:ascii="Verdana" w:eastAsia="Arial" w:hAnsi="Verdana" w:cs="Calibri"/>
          <w:b/>
          <w:bCs/>
          <w:color w:val="000000" w:themeColor="text1"/>
          <w:sz w:val="22"/>
          <w:szCs w:val="22"/>
        </w:rPr>
        <w:t xml:space="preserve"> significantly</w:t>
      </w:r>
      <w:r w:rsidRPr="007E1DF0">
        <w:rPr>
          <w:rFonts w:ascii="Verdana" w:eastAsia="Arial" w:hAnsi="Verdana" w:cs="Calibri"/>
          <w:b/>
          <w:bCs/>
          <w:color w:val="000000" w:themeColor="text1"/>
          <w:sz w:val="22"/>
          <w:szCs w:val="22"/>
        </w:rPr>
        <w:t xml:space="preserve"> lower in </w:t>
      </w:r>
      <w:r w:rsidRPr="007E1DF0" w:rsidR="00F3529E">
        <w:rPr>
          <w:rFonts w:ascii="Verdana" w:eastAsia="Arial" w:hAnsi="Verdana" w:cs="Calibri"/>
          <w:b/>
          <w:bCs/>
          <w:color w:val="000000" w:themeColor="text1"/>
          <w:sz w:val="22"/>
          <w:szCs w:val="22"/>
        </w:rPr>
        <w:t>more deprived</w:t>
      </w:r>
      <w:r w:rsidRPr="007E1DF0">
        <w:rPr>
          <w:rFonts w:ascii="Verdana" w:eastAsia="Arial" w:hAnsi="Verdana" w:cs="Calibri"/>
          <w:b/>
          <w:bCs/>
          <w:color w:val="000000" w:themeColor="text1"/>
          <w:sz w:val="22"/>
          <w:szCs w:val="22"/>
        </w:rPr>
        <w:t xml:space="preserve"> areas, </w:t>
      </w:r>
      <w:r w:rsidRPr="007E1DF0" w:rsidR="00AD6BD4">
        <w:rPr>
          <w:rFonts w:ascii="Verdana" w:eastAsia="Arial" w:hAnsi="Verdana" w:cs="Calibri"/>
          <w:b/>
          <w:bCs/>
          <w:color w:val="000000" w:themeColor="text1"/>
          <w:sz w:val="22"/>
          <w:szCs w:val="22"/>
        </w:rPr>
        <w:t>as was the case in 2018/19</w:t>
      </w:r>
      <w:r w:rsidRPr="007E1DF0" w:rsidR="00D42AAE">
        <w:rPr>
          <w:rFonts w:ascii="Verdana" w:eastAsia="Arial" w:hAnsi="Verdana" w:cs="Calibri"/>
          <w:b/>
          <w:bCs/>
          <w:color w:val="000000" w:themeColor="text1"/>
          <w:sz w:val="22"/>
          <w:szCs w:val="22"/>
        </w:rPr>
        <w:t>,</w:t>
      </w:r>
      <w:r w:rsidRPr="007E1DF0">
        <w:rPr>
          <w:rFonts w:ascii="Verdana" w:eastAsia="Arial" w:hAnsi="Verdana" w:cs="Calibri"/>
          <w:b/>
          <w:bCs/>
          <w:color w:val="000000" w:themeColor="text1"/>
          <w:sz w:val="22"/>
          <w:szCs w:val="22"/>
        </w:rPr>
        <w:t xml:space="preserve"> but that </w:t>
      </w:r>
      <w:r w:rsidRPr="007E1DF0" w:rsidR="0077125F">
        <w:rPr>
          <w:rFonts w:ascii="Verdana" w:eastAsia="Arial" w:hAnsi="Verdana" w:cs="Calibri"/>
          <w:b/>
          <w:bCs/>
          <w:color w:val="000000" w:themeColor="text1"/>
          <w:sz w:val="22"/>
          <w:szCs w:val="22"/>
        </w:rPr>
        <w:t>these areas have</w:t>
      </w:r>
      <w:r w:rsidRPr="007E1DF0" w:rsidR="00AD6BD4">
        <w:rPr>
          <w:rFonts w:ascii="Verdana" w:eastAsia="Arial" w:hAnsi="Verdana" w:cs="Calibri"/>
          <w:b/>
          <w:bCs/>
          <w:color w:val="000000" w:themeColor="text1"/>
          <w:sz w:val="22"/>
          <w:szCs w:val="22"/>
        </w:rPr>
        <w:t xml:space="preserve"> also</w:t>
      </w:r>
      <w:r w:rsidRPr="007E1DF0" w:rsidR="0077125F">
        <w:rPr>
          <w:rFonts w:ascii="Verdana" w:eastAsia="Arial" w:hAnsi="Verdana" w:cs="Calibri"/>
          <w:b/>
          <w:bCs/>
          <w:color w:val="000000" w:themeColor="text1"/>
          <w:sz w:val="22"/>
          <w:szCs w:val="22"/>
        </w:rPr>
        <w:t xml:space="preserve"> seen the sharpest decline in coverage</w:t>
      </w:r>
      <w:r w:rsidRPr="007E1DF0" w:rsidR="00AD6BD4">
        <w:rPr>
          <w:rFonts w:ascii="Verdana" w:eastAsia="Arial" w:hAnsi="Verdana" w:cs="Calibri"/>
          <w:b/>
          <w:bCs/>
          <w:color w:val="000000" w:themeColor="text1"/>
          <w:sz w:val="22"/>
          <w:szCs w:val="22"/>
        </w:rPr>
        <w:t xml:space="preserve"> – meaning</w:t>
      </w:r>
      <w:r w:rsidRPr="007E1DF0">
        <w:rPr>
          <w:rFonts w:ascii="Verdana" w:eastAsia="Arial" w:hAnsi="Verdana" w:cs="Calibri"/>
          <w:b/>
          <w:bCs/>
          <w:color w:val="000000" w:themeColor="text1"/>
          <w:sz w:val="22"/>
          <w:szCs w:val="22"/>
        </w:rPr>
        <w:t xml:space="preserve"> inequalities are widen</w:t>
      </w:r>
      <w:r w:rsidRPr="007E1DF0" w:rsidR="00D42AAE">
        <w:rPr>
          <w:rFonts w:ascii="Verdana" w:eastAsia="Arial" w:hAnsi="Verdana" w:cs="Calibri"/>
          <w:b/>
          <w:bCs/>
          <w:color w:val="000000" w:themeColor="text1"/>
          <w:sz w:val="22"/>
          <w:szCs w:val="22"/>
        </w:rPr>
        <w:t>ing</w:t>
      </w:r>
      <w:r w:rsidRPr="007E1DF0">
        <w:rPr>
          <w:rFonts w:ascii="Verdana" w:eastAsia="Arial" w:hAnsi="Verdana" w:cs="Calibri"/>
          <w:b/>
          <w:bCs/>
          <w:color w:val="000000" w:themeColor="text1"/>
          <w:sz w:val="22"/>
          <w:szCs w:val="22"/>
        </w:rPr>
        <w:t xml:space="preserve"> over time.</w:t>
      </w:r>
    </w:p>
    <w:p w:rsidR="0044424F" w:rsidRPr="007E1DF0" w:rsidP="007E1DF0">
      <w:pPr>
        <w:pStyle w:val="ListParagraph"/>
        <w:spacing w:after="120" w:line="20" w:lineRule="atLeast"/>
        <w:contextualSpacing w:val="0"/>
        <w:rPr>
          <w:rFonts w:ascii="Verdana" w:eastAsia="Arial" w:hAnsi="Verdana" w:cs="Calibri"/>
          <w:b/>
          <w:bCs/>
          <w:color w:val="000000" w:themeColor="text1"/>
          <w:sz w:val="22"/>
          <w:szCs w:val="22"/>
        </w:rPr>
      </w:pPr>
    </w:p>
    <w:p w:rsidR="007C0429" w:rsidRPr="007E1DF0" w:rsidP="007C0429">
      <w:pPr>
        <w:rPr>
          <w:rFonts w:ascii="Verdana" w:hAnsi="Verdana"/>
        </w:rPr>
      </w:pPr>
      <w:r w:rsidRPr="007E1DF0">
        <w:rPr>
          <w:rFonts w:ascii="Verdana" w:eastAsia="Times New Roman" w:hAnsi="Verdana" w:cs="Times New Roman"/>
          <w:i/>
          <w:iCs/>
          <w:color w:val="000000"/>
          <w:kern w:val="0"/>
          <w:sz w:val="22"/>
          <w:szCs w:val="22"/>
          <w:lang w:eastAsia="en-GB"/>
        </w:rPr>
        <w:t xml:space="preserve">The tables below </w:t>
      </w:r>
      <w:r w:rsidRPr="007E1DF0" w:rsidR="00240475">
        <w:rPr>
          <w:rFonts w:ascii="Verdana" w:eastAsia="Times New Roman" w:hAnsi="Verdana" w:cs="Times New Roman"/>
          <w:i/>
          <w:iCs/>
          <w:color w:val="000000"/>
          <w:kern w:val="0"/>
          <w:sz w:val="22"/>
          <w:szCs w:val="22"/>
          <w:lang w:eastAsia="en-GB"/>
        </w:rPr>
        <w:t>show</w:t>
      </w:r>
      <w:r w:rsidRPr="007E1DF0">
        <w:rPr>
          <w:rFonts w:ascii="Verdana" w:eastAsia="Times New Roman" w:hAnsi="Verdana" w:cs="Times New Roman"/>
          <w:i/>
          <w:iCs/>
          <w:color w:val="000000"/>
          <w:kern w:val="0"/>
          <w:sz w:val="22"/>
          <w:szCs w:val="22"/>
          <w:lang w:eastAsia="en-GB"/>
        </w:rPr>
        <w:t xml:space="preserve"> the change over time of the quintile weighted averages for vaccination rates by vaccine type</w:t>
      </w:r>
    </w:p>
    <w:tbl>
      <w:tblPr>
        <w:tblW w:w="9356" w:type="dxa"/>
        <w:tblInd w:w="-147" w:type="dxa"/>
        <w:tblCellMar>
          <w:top w:w="15" w:type="dxa"/>
          <w:bottom w:w="15" w:type="dxa"/>
        </w:tblCellMar>
        <w:tblLook w:val="04A0"/>
      </w:tblPr>
      <w:tblGrid>
        <w:gridCol w:w="1491"/>
        <w:gridCol w:w="2082"/>
        <w:gridCol w:w="1247"/>
        <w:gridCol w:w="1559"/>
        <w:gridCol w:w="1560"/>
        <w:gridCol w:w="1417"/>
      </w:tblGrid>
      <w:tr w:rsidTr="007E1DF0">
        <w:tblPrEx>
          <w:tblW w:w="9356" w:type="dxa"/>
          <w:tblInd w:w="-147" w:type="dxa"/>
          <w:tblCellMar>
            <w:top w:w="15" w:type="dxa"/>
            <w:bottom w:w="15" w:type="dxa"/>
          </w:tblCellMar>
          <w:tblLook w:val="04A0"/>
        </w:tblPrEx>
        <w:trPr>
          <w:trHeight w:val="879"/>
        </w:trPr>
        <w:tc>
          <w:tcPr>
            <w:tcW w:w="1491" w:type="dxa"/>
            <w:tcBorders>
              <w:top w:val="single" w:sz="4" w:space="0" w:color="auto"/>
              <w:left w:val="single" w:sz="4" w:space="0" w:color="auto"/>
              <w:bottom w:val="single" w:sz="4" w:space="0" w:color="auto"/>
              <w:right w:val="single" w:sz="4" w:space="0" w:color="auto"/>
            </w:tcBorders>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IMD Deprivation Quintiles</w:t>
            </w: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DTaP/IPV/HIB </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MMR1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DTaP/IPV booster </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Hib/Men C booster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MMR2 </w:t>
            </w:r>
          </w:p>
        </w:tc>
      </w:tr>
      <w:tr w:rsidTr="007E1DF0">
        <w:tblPrEx>
          <w:tblW w:w="9356" w:type="dxa"/>
          <w:tblInd w:w="-147" w:type="dxa"/>
          <w:tblCellMar>
            <w:top w:w="15" w:type="dxa"/>
            <w:bottom w:w="15" w:type="dxa"/>
          </w:tblCellMar>
          <w:tblLook w:val="04A0"/>
        </w:tblPrEx>
        <w:trPr>
          <w:trHeight w:val="288"/>
        </w:trPr>
        <w:tc>
          <w:tcPr>
            <w:tcW w:w="1491" w:type="dxa"/>
            <w:tcBorders>
              <w:top w:val="single" w:sz="4" w:space="0" w:color="auto"/>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1st Quintile</w:t>
            </w:r>
          </w:p>
        </w:tc>
        <w:tc>
          <w:tcPr>
            <w:tcW w:w="2082" w:type="dxa"/>
            <w:tcBorders>
              <w:top w:val="single" w:sz="4" w:space="0" w:color="auto"/>
              <w:left w:val="single" w:sz="4" w:space="0" w:color="auto"/>
              <w:bottom w:val="nil"/>
              <w:right w:val="single" w:sz="4" w:space="0" w:color="auto"/>
            </w:tcBorders>
            <w:shd w:val="clear" w:color="000000" w:fill="6FC386"/>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-0.17%</w:t>
            </w:r>
          </w:p>
        </w:tc>
        <w:tc>
          <w:tcPr>
            <w:tcW w:w="1247" w:type="dxa"/>
            <w:tcBorders>
              <w:top w:val="single" w:sz="4" w:space="0" w:color="auto"/>
              <w:left w:val="single" w:sz="4" w:space="0" w:color="auto"/>
              <w:bottom w:val="nil"/>
              <w:right w:val="single" w:sz="4" w:space="0" w:color="auto"/>
            </w:tcBorders>
            <w:shd w:val="clear" w:color="auto" w:fill="F2DBDB" w:themeFill="accent2" w:themeFillTint="33"/>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-0.41%</w:t>
            </w:r>
          </w:p>
        </w:tc>
        <w:tc>
          <w:tcPr>
            <w:tcW w:w="1559" w:type="dxa"/>
            <w:tcBorders>
              <w:top w:val="single" w:sz="4" w:space="0" w:color="auto"/>
              <w:left w:val="single" w:sz="4" w:space="0" w:color="auto"/>
              <w:bottom w:val="nil"/>
              <w:right w:val="single" w:sz="4" w:space="0" w:color="auto"/>
            </w:tcBorders>
            <w:shd w:val="clear" w:color="000000" w:fill="6DC284"/>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+0.06%</w:t>
            </w:r>
          </w:p>
        </w:tc>
        <w:tc>
          <w:tcPr>
            <w:tcW w:w="1560" w:type="dxa"/>
            <w:tcBorders>
              <w:top w:val="single" w:sz="4" w:space="0" w:color="auto"/>
              <w:left w:val="single" w:sz="4" w:space="0" w:color="auto"/>
              <w:bottom w:val="nil"/>
              <w:right w:val="single" w:sz="4" w:space="0" w:color="auto"/>
            </w:tcBorders>
            <w:shd w:val="clear" w:color="auto" w:fill="F2DBDB" w:themeFill="accent2" w:themeFillTint="33"/>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w:t>
            </w:r>
            <w:r w:rsidRPr="007E1DF0">
              <w:rPr>
                <w:rFonts w:ascii="Verdana" w:eastAsia="Times New Roman" w:hAnsi="Verdana" w:cs="Times New Roman"/>
                <w:color w:val="000000"/>
                <w:kern w:val="0"/>
                <w:sz w:val="22"/>
                <w:szCs w:val="22"/>
                <w:shd w:val="clear" w:color="auto" w:fill="FFFFFF" w:themeFill="background1"/>
                <w:lang w:eastAsia="en-GB"/>
              </w:rPr>
              <w:t>0.32%</w:t>
            </w:r>
          </w:p>
        </w:tc>
        <w:tc>
          <w:tcPr>
            <w:tcW w:w="1417" w:type="dxa"/>
            <w:tcBorders>
              <w:top w:val="single" w:sz="4" w:space="0" w:color="auto"/>
              <w:left w:val="single" w:sz="4" w:space="0" w:color="auto"/>
              <w:bottom w:val="nil"/>
              <w:right w:val="single" w:sz="4" w:space="0" w:color="auto"/>
            </w:tcBorders>
            <w:shd w:val="clear" w:color="000000" w:fill="6FC385"/>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+0.18%</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2nd Quintile</w:t>
            </w:r>
          </w:p>
        </w:tc>
        <w:tc>
          <w:tcPr>
            <w:tcW w:w="2082" w:type="dxa"/>
            <w:tcBorders>
              <w:top w:val="nil"/>
              <w:left w:val="single" w:sz="4" w:space="0" w:color="auto"/>
              <w:bottom w:val="nil"/>
              <w:right w:val="single" w:sz="4" w:space="0" w:color="auto"/>
            </w:tcBorders>
            <w:shd w:val="clear" w:color="auto" w:fill="E5B8B7" w:themeFill="accent2" w:themeFillTint="66"/>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-2.01%</w:t>
            </w:r>
          </w:p>
        </w:tc>
        <w:tc>
          <w:tcPr>
            <w:tcW w:w="1247"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-2.10%</w:t>
            </w:r>
          </w:p>
        </w:tc>
        <w:tc>
          <w:tcPr>
            <w:tcW w:w="1559"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-2.01%</w:t>
            </w:r>
          </w:p>
        </w:tc>
        <w:tc>
          <w:tcPr>
            <w:tcW w:w="1560"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-2.85%</w:t>
            </w:r>
          </w:p>
        </w:tc>
        <w:tc>
          <w:tcPr>
            <w:tcW w:w="1417"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-1.64%</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3rd Quintile</w:t>
            </w:r>
          </w:p>
        </w:tc>
        <w:tc>
          <w:tcPr>
            <w:tcW w:w="2082" w:type="dxa"/>
            <w:tcBorders>
              <w:top w:val="nil"/>
              <w:left w:val="single" w:sz="4" w:space="0" w:color="auto"/>
              <w:bottom w:val="nil"/>
              <w:right w:val="single" w:sz="4" w:space="0" w:color="auto"/>
            </w:tcBorders>
            <w:shd w:val="clear" w:color="auto" w:fill="E5B8B7" w:themeFill="accent2" w:themeFillTint="66"/>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-2.11%</w:t>
            </w:r>
          </w:p>
        </w:tc>
        <w:tc>
          <w:tcPr>
            <w:tcW w:w="1247"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-2.51%</w:t>
            </w:r>
          </w:p>
        </w:tc>
        <w:tc>
          <w:tcPr>
            <w:tcW w:w="1559"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-3.94%</w:t>
            </w:r>
          </w:p>
        </w:tc>
        <w:tc>
          <w:tcPr>
            <w:tcW w:w="1560"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-3.53%</w:t>
            </w:r>
          </w:p>
        </w:tc>
        <w:tc>
          <w:tcPr>
            <w:tcW w:w="1417"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-2.96%</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4th Quintile</w:t>
            </w:r>
          </w:p>
        </w:tc>
        <w:tc>
          <w:tcPr>
            <w:tcW w:w="2082" w:type="dxa"/>
            <w:tcBorders>
              <w:top w:val="nil"/>
              <w:left w:val="single" w:sz="4" w:space="0" w:color="auto"/>
              <w:bottom w:val="nil"/>
              <w:right w:val="single" w:sz="4" w:space="0" w:color="auto"/>
            </w:tcBorders>
            <w:shd w:val="clear" w:color="000000" w:fill="FACACC"/>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-3.33%</w:t>
            </w:r>
          </w:p>
        </w:tc>
        <w:tc>
          <w:tcPr>
            <w:tcW w:w="1247" w:type="dxa"/>
            <w:tcBorders>
              <w:top w:val="nil"/>
              <w:left w:val="single" w:sz="4" w:space="0" w:color="auto"/>
              <w:bottom w:val="nil"/>
              <w:right w:val="single" w:sz="4" w:space="0" w:color="auto"/>
            </w:tcBorders>
            <w:shd w:val="clear" w:color="000000" w:fill="FACCCF"/>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-3.67%</w:t>
            </w:r>
          </w:p>
        </w:tc>
        <w:tc>
          <w:tcPr>
            <w:tcW w:w="1559" w:type="dxa"/>
            <w:tcBorders>
              <w:top w:val="nil"/>
              <w:left w:val="single" w:sz="4" w:space="0" w:color="auto"/>
              <w:bottom w:val="nil"/>
              <w:right w:val="single" w:sz="4" w:space="0" w:color="auto"/>
            </w:tcBorders>
            <w:shd w:val="clear" w:color="auto" w:fill="FF7C8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-6.13%</w:t>
            </w:r>
          </w:p>
        </w:tc>
        <w:tc>
          <w:tcPr>
            <w:tcW w:w="1560" w:type="dxa"/>
            <w:tcBorders>
              <w:top w:val="nil"/>
              <w:left w:val="single" w:sz="4" w:space="0" w:color="auto"/>
              <w:bottom w:val="nil"/>
              <w:right w:val="single" w:sz="4" w:space="0" w:color="auto"/>
            </w:tcBorders>
            <w:shd w:val="clear" w:color="auto" w:fill="FF7C8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-5.14%</w:t>
            </w:r>
          </w:p>
        </w:tc>
        <w:tc>
          <w:tcPr>
            <w:tcW w:w="1417" w:type="dxa"/>
            <w:tcBorders>
              <w:top w:val="nil"/>
              <w:left w:val="single" w:sz="4" w:space="0" w:color="auto"/>
              <w:bottom w:val="nil"/>
              <w:right w:val="single" w:sz="4" w:space="0" w:color="auto"/>
            </w:tcBorders>
            <w:shd w:val="clear" w:color="000000" w:fill="FAC1C3"/>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-4.42%</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single" w:sz="4" w:space="0" w:color="auto"/>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5th Quintile</w:t>
            </w:r>
          </w:p>
        </w:tc>
        <w:tc>
          <w:tcPr>
            <w:tcW w:w="2082" w:type="dxa"/>
            <w:tcBorders>
              <w:top w:val="nil"/>
              <w:left w:val="single" w:sz="4" w:space="0" w:color="auto"/>
              <w:bottom w:val="single" w:sz="4" w:space="0" w:color="auto"/>
              <w:right w:val="single" w:sz="4" w:space="0" w:color="auto"/>
            </w:tcBorders>
            <w:shd w:val="clear" w:color="auto" w:fill="FF7C80"/>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-4.55%</w:t>
            </w:r>
          </w:p>
        </w:tc>
        <w:tc>
          <w:tcPr>
            <w:tcW w:w="1247" w:type="dxa"/>
            <w:tcBorders>
              <w:top w:val="nil"/>
              <w:left w:val="single" w:sz="4" w:space="0" w:color="auto"/>
              <w:bottom w:val="single" w:sz="4" w:space="0" w:color="auto"/>
              <w:right w:val="single" w:sz="4" w:space="0" w:color="auto"/>
            </w:tcBorders>
            <w:shd w:val="clear" w:color="auto" w:fill="FF7C8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-5.34%</w:t>
            </w:r>
          </w:p>
        </w:tc>
        <w:tc>
          <w:tcPr>
            <w:tcW w:w="1559" w:type="dxa"/>
            <w:tcBorders>
              <w:top w:val="nil"/>
              <w:left w:val="single" w:sz="4" w:space="0" w:color="auto"/>
              <w:bottom w:val="single" w:sz="4" w:space="0" w:color="auto"/>
              <w:right w:val="single" w:sz="4" w:space="0" w:color="auto"/>
            </w:tcBorders>
            <w:shd w:val="clear" w:color="auto" w:fill="FF505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-7.17%</w:t>
            </w:r>
          </w:p>
        </w:tc>
        <w:tc>
          <w:tcPr>
            <w:tcW w:w="1560" w:type="dxa"/>
            <w:tcBorders>
              <w:top w:val="nil"/>
              <w:left w:val="single" w:sz="4" w:space="0" w:color="auto"/>
              <w:bottom w:val="single" w:sz="4" w:space="0" w:color="auto"/>
              <w:right w:val="single" w:sz="4" w:space="0" w:color="auto"/>
            </w:tcBorders>
            <w:shd w:val="clear" w:color="auto" w:fill="FF7C8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-6.01%</w:t>
            </w:r>
          </w:p>
        </w:tc>
        <w:tc>
          <w:tcPr>
            <w:tcW w:w="1417" w:type="dxa"/>
            <w:tcBorders>
              <w:top w:val="nil"/>
              <w:left w:val="single" w:sz="4" w:space="0" w:color="auto"/>
              <w:bottom w:val="single" w:sz="4" w:space="0" w:color="auto"/>
              <w:right w:val="single" w:sz="4" w:space="0" w:color="auto"/>
            </w:tcBorders>
            <w:shd w:val="clear" w:color="auto" w:fill="FF7C8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-6.12%</w:t>
            </w:r>
          </w:p>
        </w:tc>
      </w:tr>
      <w:tr w:rsidTr="007E1DF0">
        <w:tblPrEx>
          <w:tblW w:w="9356" w:type="dxa"/>
          <w:tblInd w:w="-147" w:type="dxa"/>
          <w:tblCellMar>
            <w:top w:w="15" w:type="dxa"/>
            <w:bottom w:w="15" w:type="dxa"/>
          </w:tblCellMar>
          <w:tblLook w:val="04A0"/>
        </w:tblPrEx>
        <w:trPr>
          <w:trHeight w:val="288"/>
        </w:trPr>
        <w:tc>
          <w:tcPr>
            <w:tcW w:w="1491" w:type="dxa"/>
            <w:tcBorders>
              <w:top w:val="nil"/>
              <w:left w:val="nil"/>
              <w:bottom w:val="nil"/>
              <w:right w:val="nil"/>
            </w:tcBorders>
            <w:noWrap/>
            <w:vAlign w:val="bottom"/>
            <w:hideMark/>
          </w:tcPr>
          <w:p w:rsidR="007C0429" w:rsidRPr="0014162A">
            <w:pPr>
              <w:spacing w:after="0" w:line="240" w:lineRule="auto"/>
              <w:rPr>
                <w:rFonts w:ascii="Times New Roman" w:eastAsia="Times New Roman" w:hAnsi="Times New Roman" w:cs="Times New Roman"/>
                <w:kern w:val="0"/>
                <w:sz w:val="20"/>
                <w:szCs w:val="20"/>
                <w:lang w:eastAsia="en-GB"/>
              </w:rPr>
            </w:pPr>
          </w:p>
        </w:tc>
        <w:tc>
          <w:tcPr>
            <w:tcW w:w="2082" w:type="dxa"/>
            <w:tcBorders>
              <w:top w:val="nil"/>
              <w:left w:val="nil"/>
              <w:bottom w:val="nil"/>
              <w:right w:val="nil"/>
            </w:tcBorders>
            <w:vAlign w:val="bottom"/>
            <w:hideMark/>
          </w:tcPr>
          <w:p w:rsidR="007C0429" w:rsidRPr="0014162A">
            <w:pPr>
              <w:spacing w:after="0" w:line="240" w:lineRule="auto"/>
              <w:rPr>
                <w:rFonts w:ascii="Times New Roman" w:eastAsia="Times New Roman" w:hAnsi="Times New Roman" w:cs="Times New Roman"/>
                <w:kern w:val="0"/>
                <w:sz w:val="20"/>
                <w:szCs w:val="20"/>
                <w:lang w:eastAsia="en-GB"/>
              </w:rPr>
            </w:pPr>
          </w:p>
        </w:tc>
        <w:tc>
          <w:tcPr>
            <w:tcW w:w="1247" w:type="dxa"/>
            <w:tcBorders>
              <w:top w:val="nil"/>
              <w:left w:val="nil"/>
              <w:bottom w:val="nil"/>
              <w:right w:val="nil"/>
            </w:tcBorders>
            <w:noWrap/>
            <w:vAlign w:val="bottom"/>
            <w:hideMark/>
          </w:tcPr>
          <w:p w:rsidR="007C0429" w:rsidRPr="0014162A">
            <w:pPr>
              <w:spacing w:after="0" w:line="240" w:lineRule="auto"/>
              <w:rPr>
                <w:rFonts w:ascii="Times New Roman" w:eastAsia="Times New Roman" w:hAnsi="Times New Roman" w:cs="Times New Roman"/>
                <w:kern w:val="0"/>
                <w:sz w:val="20"/>
                <w:szCs w:val="20"/>
                <w:lang w:eastAsia="en-GB"/>
              </w:rPr>
            </w:pPr>
          </w:p>
        </w:tc>
        <w:tc>
          <w:tcPr>
            <w:tcW w:w="1559" w:type="dxa"/>
            <w:tcBorders>
              <w:top w:val="nil"/>
              <w:left w:val="nil"/>
              <w:bottom w:val="nil"/>
              <w:right w:val="nil"/>
            </w:tcBorders>
            <w:noWrap/>
            <w:vAlign w:val="bottom"/>
            <w:hideMark/>
          </w:tcPr>
          <w:p w:rsidR="007C0429" w:rsidRPr="0014162A">
            <w:pPr>
              <w:spacing w:after="0" w:line="240" w:lineRule="auto"/>
              <w:rPr>
                <w:rFonts w:ascii="Times New Roman" w:eastAsia="Times New Roman" w:hAnsi="Times New Roman" w:cs="Times New Roman"/>
                <w:kern w:val="0"/>
                <w:sz w:val="20"/>
                <w:szCs w:val="20"/>
                <w:lang w:eastAsia="en-GB"/>
              </w:rPr>
            </w:pPr>
          </w:p>
        </w:tc>
        <w:tc>
          <w:tcPr>
            <w:tcW w:w="1560" w:type="dxa"/>
            <w:tcBorders>
              <w:top w:val="nil"/>
              <w:left w:val="nil"/>
              <w:bottom w:val="nil"/>
              <w:right w:val="nil"/>
            </w:tcBorders>
            <w:noWrap/>
            <w:vAlign w:val="bottom"/>
            <w:hideMark/>
          </w:tcPr>
          <w:p w:rsidR="007C0429" w:rsidRPr="0014162A">
            <w:pPr>
              <w:spacing w:after="0" w:line="240" w:lineRule="auto"/>
              <w:rPr>
                <w:rFonts w:ascii="Times New Roman" w:eastAsia="Times New Roman" w:hAnsi="Times New Roman" w:cs="Times New Roman"/>
                <w:kern w:val="0"/>
                <w:sz w:val="20"/>
                <w:szCs w:val="20"/>
                <w:lang w:eastAsia="en-GB"/>
              </w:rPr>
            </w:pPr>
          </w:p>
        </w:tc>
        <w:tc>
          <w:tcPr>
            <w:tcW w:w="1417" w:type="dxa"/>
            <w:tcBorders>
              <w:top w:val="nil"/>
              <w:left w:val="nil"/>
              <w:bottom w:val="nil"/>
              <w:right w:val="nil"/>
            </w:tcBorders>
            <w:noWrap/>
            <w:vAlign w:val="bottom"/>
            <w:hideMark/>
          </w:tcPr>
          <w:p w:rsidR="007C0429" w:rsidRPr="0014162A">
            <w:pPr>
              <w:spacing w:after="0" w:line="240" w:lineRule="auto"/>
              <w:rPr>
                <w:rFonts w:ascii="Times New Roman" w:eastAsia="Times New Roman" w:hAnsi="Times New Roman" w:cs="Times New Roman"/>
                <w:kern w:val="0"/>
                <w:sz w:val="20"/>
                <w:szCs w:val="20"/>
                <w:lang w:eastAsia="en-GB"/>
              </w:rPr>
            </w:pPr>
          </w:p>
        </w:tc>
      </w:tr>
      <w:tr w:rsidTr="007E1DF0">
        <w:tblPrEx>
          <w:tblW w:w="9356" w:type="dxa"/>
          <w:tblInd w:w="-147" w:type="dxa"/>
          <w:tblCellMar>
            <w:top w:w="15" w:type="dxa"/>
            <w:bottom w:w="15" w:type="dxa"/>
          </w:tblCellMar>
          <w:tblLook w:val="04A0"/>
        </w:tblPrEx>
        <w:trPr>
          <w:trHeight w:val="879"/>
        </w:trPr>
        <w:tc>
          <w:tcPr>
            <w:tcW w:w="1491" w:type="dxa"/>
            <w:tcBorders>
              <w:top w:val="single" w:sz="4" w:space="0" w:color="auto"/>
              <w:left w:val="single" w:sz="4" w:space="0" w:color="auto"/>
              <w:bottom w:val="single" w:sz="4" w:space="0" w:color="auto"/>
              <w:right w:val="single" w:sz="4" w:space="0" w:color="auto"/>
            </w:tcBorders>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 xml:space="preserve">IDACI </w:t>
            </w:r>
            <w:r w:rsidRPr="007E1DF0">
              <w:rPr>
                <w:rFonts w:ascii="Verdana" w:eastAsia="Times New Roman" w:hAnsi="Verdana" w:cs="Times New Roman"/>
                <w:color w:val="000000"/>
                <w:kern w:val="0"/>
                <w:sz w:val="22"/>
                <w:szCs w:val="22"/>
                <w:lang w:eastAsia="en-GB"/>
              </w:rPr>
              <w:br/>
              <w:t>Quintiles</w:t>
            </w: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DTaP/IPV/HIB </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MMR1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DTaP/IPV booster </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Hib/Men C booster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C0429" w:rsidRPr="007E1DF0">
            <w:pPr>
              <w:spacing w:after="0" w:line="240" w:lineRule="auto"/>
              <w:jc w:val="center"/>
              <w:rPr>
                <w:rFonts w:ascii="Verdana" w:eastAsia="Times New Roman" w:hAnsi="Verdana" w:cs="Times New Roman"/>
                <w:b/>
                <w:color w:val="31849B" w:themeColor="accent5" w:themeShade="BF"/>
                <w:kern w:val="0"/>
                <w:sz w:val="22"/>
                <w:szCs w:val="22"/>
                <w:lang w:eastAsia="en-GB"/>
              </w:rPr>
            </w:pPr>
            <w:r w:rsidRPr="007E1DF0">
              <w:rPr>
                <w:rFonts w:ascii="Verdana" w:eastAsia="Times New Roman" w:hAnsi="Verdana" w:cs="Times New Roman"/>
                <w:b/>
                <w:bCs/>
                <w:color w:val="31849B" w:themeColor="accent5" w:themeShade="BF"/>
                <w:kern w:val="0"/>
                <w:sz w:val="22"/>
                <w:szCs w:val="22"/>
                <w:lang w:eastAsia="en-GB"/>
              </w:rPr>
              <w:t>C</w:t>
            </w:r>
            <w:r w:rsidRPr="007E1DF0">
              <w:rPr>
                <w:rFonts w:ascii="Verdana" w:eastAsia="Times New Roman" w:hAnsi="Verdana" w:cs="Times New Roman"/>
                <w:b/>
                <w:bCs/>
                <w:color w:val="31849B" w:themeColor="accent5" w:themeShade="BF"/>
                <w:kern w:val="0"/>
                <w:sz w:val="22"/>
                <w:szCs w:val="22"/>
                <w:lang w:eastAsia="en-GB"/>
              </w:rPr>
              <w:t>hange</w:t>
            </w:r>
            <w:r w:rsidRPr="007E1DF0">
              <w:rPr>
                <w:rFonts w:ascii="Verdana" w:eastAsia="Times New Roman" w:hAnsi="Verdana" w:cs="Times New Roman"/>
                <w:b/>
                <w:color w:val="31849B" w:themeColor="accent5" w:themeShade="BF"/>
                <w:kern w:val="0"/>
                <w:sz w:val="22"/>
                <w:szCs w:val="22"/>
                <w:lang w:eastAsia="en-GB"/>
              </w:rPr>
              <w:t xml:space="preserve"> in MMR2 </w:t>
            </w:r>
          </w:p>
        </w:tc>
      </w:tr>
      <w:tr w:rsidTr="007E1DF0">
        <w:tblPrEx>
          <w:tblW w:w="9356" w:type="dxa"/>
          <w:tblInd w:w="-147" w:type="dxa"/>
          <w:tblCellMar>
            <w:top w:w="15" w:type="dxa"/>
            <w:bottom w:w="15" w:type="dxa"/>
          </w:tblCellMar>
          <w:tblLook w:val="04A0"/>
        </w:tblPrEx>
        <w:trPr>
          <w:trHeight w:val="288"/>
        </w:trPr>
        <w:tc>
          <w:tcPr>
            <w:tcW w:w="1491" w:type="dxa"/>
            <w:tcBorders>
              <w:top w:val="single" w:sz="4" w:space="0" w:color="auto"/>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1st Quintile</w:t>
            </w:r>
          </w:p>
        </w:tc>
        <w:tc>
          <w:tcPr>
            <w:tcW w:w="2082" w:type="dxa"/>
            <w:tcBorders>
              <w:top w:val="single" w:sz="4" w:space="0" w:color="auto"/>
              <w:left w:val="single" w:sz="4" w:space="0" w:color="auto"/>
              <w:bottom w:val="nil"/>
              <w:right w:val="single" w:sz="4" w:space="0" w:color="auto"/>
            </w:tcBorders>
            <w:shd w:val="clear" w:color="000000" w:fill="63BE7B"/>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+0.01%</w:t>
            </w:r>
          </w:p>
        </w:tc>
        <w:tc>
          <w:tcPr>
            <w:tcW w:w="1247" w:type="dxa"/>
            <w:tcBorders>
              <w:top w:val="single" w:sz="4" w:space="0" w:color="auto"/>
              <w:left w:val="single" w:sz="4" w:space="0" w:color="auto"/>
              <w:bottom w:val="nil"/>
              <w:right w:val="single" w:sz="4" w:space="0" w:color="auto"/>
            </w:tcBorders>
            <w:shd w:val="clear" w:color="auto" w:fill="F2DBDB" w:themeFill="accent2" w:themeFillTint="33"/>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w:t>
            </w:r>
            <w:r w:rsidRPr="007E1DF0">
              <w:rPr>
                <w:rFonts w:ascii="Verdana" w:eastAsia="Times New Roman" w:hAnsi="Verdana" w:cs="Times New Roman"/>
                <w:color w:val="000000"/>
                <w:kern w:val="0"/>
                <w:sz w:val="22"/>
                <w:szCs w:val="22"/>
                <w:shd w:val="clear" w:color="auto" w:fill="F2DBDB" w:themeFill="accent2" w:themeFillTint="33"/>
                <w:lang w:eastAsia="en-GB"/>
              </w:rPr>
              <w:t>0.19%</w:t>
            </w:r>
          </w:p>
        </w:tc>
        <w:tc>
          <w:tcPr>
            <w:tcW w:w="1559" w:type="dxa"/>
            <w:tcBorders>
              <w:top w:val="single" w:sz="4" w:space="0" w:color="auto"/>
              <w:left w:val="single" w:sz="4" w:space="0" w:color="auto"/>
              <w:bottom w:val="nil"/>
              <w:right w:val="single" w:sz="4" w:space="0" w:color="auto"/>
            </w:tcBorders>
            <w:shd w:val="clear" w:color="000000" w:fill="63BE7B"/>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+0.32%</w:t>
            </w:r>
          </w:p>
        </w:tc>
        <w:tc>
          <w:tcPr>
            <w:tcW w:w="1560" w:type="dxa"/>
            <w:tcBorders>
              <w:top w:val="single" w:sz="4" w:space="0" w:color="auto"/>
              <w:left w:val="single" w:sz="4" w:space="0" w:color="auto"/>
              <w:bottom w:val="nil"/>
              <w:right w:val="single" w:sz="4" w:space="0" w:color="auto"/>
            </w:tcBorders>
            <w:shd w:val="clear" w:color="auto" w:fill="F2DBDB" w:themeFill="accent2" w:themeFillTint="33"/>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-0.03%</w:t>
            </w:r>
          </w:p>
        </w:tc>
        <w:tc>
          <w:tcPr>
            <w:tcW w:w="1417" w:type="dxa"/>
            <w:tcBorders>
              <w:top w:val="single" w:sz="4" w:space="0" w:color="auto"/>
              <w:left w:val="single" w:sz="4" w:space="0" w:color="auto"/>
              <w:bottom w:val="nil"/>
              <w:right w:val="single" w:sz="4" w:space="0" w:color="auto"/>
            </w:tcBorders>
            <w:shd w:val="clear" w:color="000000" w:fill="63BE7B"/>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+0.43%</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2nd Quintile</w:t>
            </w:r>
          </w:p>
        </w:tc>
        <w:tc>
          <w:tcPr>
            <w:tcW w:w="2082" w:type="dxa"/>
            <w:tcBorders>
              <w:top w:val="nil"/>
              <w:left w:val="single" w:sz="4" w:space="0" w:color="auto"/>
              <w:bottom w:val="nil"/>
              <w:right w:val="single" w:sz="4" w:space="0" w:color="auto"/>
            </w:tcBorders>
            <w:shd w:val="clear" w:color="auto" w:fill="E5B8B7" w:themeFill="accent2" w:themeFillTint="66"/>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-1.60%</w:t>
            </w:r>
          </w:p>
        </w:tc>
        <w:tc>
          <w:tcPr>
            <w:tcW w:w="1247"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-1.63%</w:t>
            </w:r>
          </w:p>
        </w:tc>
        <w:tc>
          <w:tcPr>
            <w:tcW w:w="1559"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-1.30%</w:t>
            </w:r>
          </w:p>
        </w:tc>
        <w:tc>
          <w:tcPr>
            <w:tcW w:w="1560"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-2.47%</w:t>
            </w:r>
          </w:p>
        </w:tc>
        <w:tc>
          <w:tcPr>
            <w:tcW w:w="1417"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-1.27%</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3rd Quintile</w:t>
            </w:r>
          </w:p>
        </w:tc>
        <w:tc>
          <w:tcPr>
            <w:tcW w:w="2082" w:type="dxa"/>
            <w:tcBorders>
              <w:top w:val="nil"/>
              <w:left w:val="single" w:sz="4" w:space="0" w:color="auto"/>
              <w:bottom w:val="nil"/>
              <w:right w:val="single" w:sz="4" w:space="0" w:color="auto"/>
            </w:tcBorders>
            <w:shd w:val="clear" w:color="auto" w:fill="E5B8B7" w:themeFill="accent2" w:themeFillTint="66"/>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-2.38%</w:t>
            </w:r>
          </w:p>
        </w:tc>
        <w:tc>
          <w:tcPr>
            <w:tcW w:w="1247" w:type="dxa"/>
            <w:tcBorders>
              <w:top w:val="nil"/>
              <w:left w:val="single" w:sz="4" w:space="0" w:color="auto"/>
              <w:bottom w:val="nil"/>
              <w:right w:val="single" w:sz="4" w:space="0" w:color="auto"/>
            </w:tcBorders>
            <w:shd w:val="clear" w:color="auto" w:fill="E5B8B7" w:themeFill="accent2" w:themeFillTint="66"/>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-2.88%</w:t>
            </w:r>
          </w:p>
        </w:tc>
        <w:tc>
          <w:tcPr>
            <w:tcW w:w="1559"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-4.62%</w:t>
            </w:r>
          </w:p>
        </w:tc>
        <w:tc>
          <w:tcPr>
            <w:tcW w:w="1560"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-3.77%</w:t>
            </w:r>
          </w:p>
        </w:tc>
        <w:tc>
          <w:tcPr>
            <w:tcW w:w="1417"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-3.24%</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nil"/>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4th Quintile</w:t>
            </w:r>
          </w:p>
        </w:tc>
        <w:tc>
          <w:tcPr>
            <w:tcW w:w="2082" w:type="dxa"/>
            <w:tcBorders>
              <w:top w:val="nil"/>
              <w:left w:val="single" w:sz="4" w:space="0" w:color="auto"/>
              <w:bottom w:val="nil"/>
              <w:right w:val="single" w:sz="4" w:space="0" w:color="auto"/>
            </w:tcBorders>
            <w:shd w:val="clear" w:color="auto" w:fill="E5B8B7" w:themeFill="accent2" w:themeFillTint="66"/>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-2.78%</w:t>
            </w:r>
          </w:p>
        </w:tc>
        <w:tc>
          <w:tcPr>
            <w:tcW w:w="1247"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-3.14%</w:t>
            </w:r>
          </w:p>
        </w:tc>
        <w:tc>
          <w:tcPr>
            <w:tcW w:w="1559"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-4.74%</w:t>
            </w:r>
          </w:p>
        </w:tc>
        <w:tc>
          <w:tcPr>
            <w:tcW w:w="1560"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-4.28%</w:t>
            </w:r>
          </w:p>
        </w:tc>
        <w:tc>
          <w:tcPr>
            <w:tcW w:w="1417" w:type="dxa"/>
            <w:tcBorders>
              <w:top w:val="nil"/>
              <w:left w:val="single" w:sz="4" w:space="0" w:color="auto"/>
              <w:bottom w:val="nil"/>
              <w:right w:val="single" w:sz="4" w:space="0" w:color="auto"/>
            </w:tcBorders>
            <w:shd w:val="clear" w:color="auto" w:fill="FFCCCC"/>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-3.96%</w:t>
            </w:r>
          </w:p>
        </w:tc>
      </w:tr>
      <w:tr w:rsidTr="007E1DF0">
        <w:tblPrEx>
          <w:tblW w:w="9356" w:type="dxa"/>
          <w:tblInd w:w="-147" w:type="dxa"/>
          <w:tblCellMar>
            <w:top w:w="15" w:type="dxa"/>
            <w:bottom w:w="15" w:type="dxa"/>
          </w:tblCellMar>
          <w:tblLook w:val="04A0"/>
        </w:tblPrEx>
        <w:trPr>
          <w:trHeight w:val="288"/>
        </w:trPr>
        <w:tc>
          <w:tcPr>
            <w:tcW w:w="1491" w:type="dxa"/>
            <w:tcBorders>
              <w:top w:val="nil"/>
              <w:left w:val="single" w:sz="4" w:space="0" w:color="auto"/>
              <w:bottom w:val="single" w:sz="4" w:space="0" w:color="auto"/>
              <w:right w:val="single" w:sz="4" w:space="0" w:color="auto"/>
            </w:tcBorders>
            <w:noWrap/>
            <w:vAlign w:val="bottom"/>
            <w:hideMark/>
          </w:tcPr>
          <w:p w:rsidR="007C0429" w:rsidRPr="007E1DF0">
            <w:pPr>
              <w:spacing w:after="0" w:line="240" w:lineRule="auto"/>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5th Quintile</w:t>
            </w:r>
          </w:p>
        </w:tc>
        <w:tc>
          <w:tcPr>
            <w:tcW w:w="2082" w:type="dxa"/>
            <w:tcBorders>
              <w:top w:val="nil"/>
              <w:left w:val="single" w:sz="4" w:space="0" w:color="auto"/>
              <w:bottom w:val="single" w:sz="4" w:space="0" w:color="auto"/>
              <w:right w:val="single" w:sz="4" w:space="0" w:color="auto"/>
            </w:tcBorders>
            <w:shd w:val="clear" w:color="000000" w:fill="F8696B"/>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-5.17%</w:t>
            </w:r>
          </w:p>
        </w:tc>
        <w:tc>
          <w:tcPr>
            <w:tcW w:w="1247" w:type="dxa"/>
            <w:tcBorders>
              <w:top w:val="nil"/>
              <w:left w:val="single" w:sz="4" w:space="0" w:color="auto"/>
              <w:bottom w:val="single" w:sz="4" w:space="0" w:color="auto"/>
              <w:right w:val="single" w:sz="4" w:space="0" w:color="auto"/>
            </w:tcBorders>
            <w:shd w:val="clear" w:color="000000" w:fill="F8696B"/>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-6.00%</w:t>
            </w:r>
          </w:p>
        </w:tc>
        <w:tc>
          <w:tcPr>
            <w:tcW w:w="1559" w:type="dxa"/>
            <w:tcBorders>
              <w:top w:val="nil"/>
              <w:left w:val="single" w:sz="4" w:space="0" w:color="auto"/>
              <w:bottom w:val="single" w:sz="4" w:space="0" w:color="auto"/>
              <w:right w:val="single" w:sz="4" w:space="0" w:color="auto"/>
            </w:tcBorders>
            <w:shd w:val="clear" w:color="auto" w:fill="FF505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-8.66%</w:t>
            </w:r>
          </w:p>
        </w:tc>
        <w:tc>
          <w:tcPr>
            <w:tcW w:w="1560" w:type="dxa"/>
            <w:tcBorders>
              <w:top w:val="nil"/>
              <w:left w:val="single" w:sz="4" w:space="0" w:color="auto"/>
              <w:bottom w:val="single" w:sz="4" w:space="0" w:color="auto"/>
              <w:right w:val="single" w:sz="4" w:space="0" w:color="auto"/>
            </w:tcBorders>
            <w:shd w:val="clear" w:color="auto" w:fill="FF5050"/>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-7.00%</w:t>
            </w:r>
          </w:p>
        </w:tc>
        <w:tc>
          <w:tcPr>
            <w:tcW w:w="1417" w:type="dxa"/>
            <w:tcBorders>
              <w:top w:val="nil"/>
              <w:left w:val="single" w:sz="4" w:space="0" w:color="auto"/>
              <w:bottom w:val="single" w:sz="4" w:space="0" w:color="auto"/>
              <w:right w:val="single" w:sz="4" w:space="0" w:color="auto"/>
            </w:tcBorders>
            <w:shd w:val="clear" w:color="000000" w:fill="F8696B"/>
            <w:noWrap/>
            <w:vAlign w:val="center"/>
            <w:hideMark/>
          </w:tcPr>
          <w:p w:rsidR="007C0429" w:rsidRPr="007E1DF0">
            <w:pPr>
              <w:spacing w:after="0" w:line="240" w:lineRule="auto"/>
              <w:jc w:val="center"/>
              <w:rPr>
                <w:rFonts w:ascii="Verdana" w:eastAsia="Times New Roman" w:hAnsi="Verdana" w:cs="Times New Roman"/>
                <w:color w:val="000000"/>
                <w:kern w:val="0"/>
                <w:sz w:val="22"/>
                <w:szCs w:val="22"/>
                <w:lang w:eastAsia="en-GB"/>
              </w:rPr>
            </w:pPr>
            <w:r w:rsidRPr="007E1DF0">
              <w:rPr>
                <w:rFonts w:ascii="Verdana" w:eastAsia="Times New Roman" w:hAnsi="Verdana" w:cs="Times New Roman"/>
                <w:color w:val="000000"/>
                <w:kern w:val="0"/>
                <w:sz w:val="22"/>
                <w:szCs w:val="22"/>
                <w:lang w:eastAsia="en-GB"/>
              </w:rPr>
              <w:t>-6.76%</w:t>
            </w:r>
          </w:p>
        </w:tc>
      </w:tr>
    </w:tbl>
    <w:p w:rsidR="00E95E8A" w:rsidRPr="007E1DF0" w:rsidP="007E1DF0">
      <w:pPr>
        <w:pStyle w:val="ListParagraph"/>
        <w:numPr>
          <w:ilvl w:val="0"/>
          <w:numId w:val="46"/>
        </w:numPr>
        <w:spacing w:after="120" w:line="20" w:lineRule="atLeast"/>
        <w:ind w:hanging="357"/>
        <w:contextualSpacing w:val="0"/>
        <w:rPr>
          <w:rFonts w:ascii="Verdana" w:eastAsia="Times New Roman" w:hAnsi="Verdana" w:cs="Segoe UI"/>
          <w:kern w:val="0"/>
          <w:sz w:val="22"/>
          <w:szCs w:val="22"/>
          <w:lang w:eastAsia="en-GB"/>
        </w:rPr>
      </w:pPr>
      <w:r w:rsidRPr="007E1DF0">
        <w:rPr>
          <w:rFonts w:ascii="Verdana" w:eastAsia="Arial" w:hAnsi="Verdana" w:cs="Calibri"/>
          <w:color w:val="000000" w:themeColor="text1"/>
          <w:sz w:val="22"/>
          <w:szCs w:val="22"/>
        </w:rPr>
        <w:t>The total number of 5-year-olds in England</w:t>
      </w:r>
      <w:r w:rsidRPr="007E1DF0">
        <w:rPr>
          <w:rFonts w:ascii="Verdana" w:eastAsia="Arial" w:hAnsi="Verdana" w:cs="Calibri"/>
          <w:color w:val="000000" w:themeColor="text1"/>
          <w:sz w:val="22"/>
          <w:szCs w:val="22"/>
        </w:rPr>
        <w:t xml:space="preserve"> has </w:t>
      </w:r>
      <w:r w:rsidRPr="007E1DF0">
        <w:rPr>
          <w:rFonts w:ascii="Verdana" w:eastAsia="Arial" w:hAnsi="Verdana" w:cs="Calibri"/>
          <w:color w:val="000000" w:themeColor="text1"/>
          <w:sz w:val="22"/>
          <w:szCs w:val="22"/>
        </w:rPr>
        <w:t>changed between</w:t>
      </w:r>
      <w:r w:rsidRPr="007E1DF0">
        <w:rPr>
          <w:rFonts w:ascii="Verdana" w:eastAsia="Arial" w:hAnsi="Verdana" w:cs="Calibri"/>
          <w:color w:val="000000" w:themeColor="text1"/>
          <w:sz w:val="22"/>
          <w:szCs w:val="22"/>
        </w:rPr>
        <w:t xml:space="preserve"> 2018/19 and </w:t>
      </w:r>
      <w:r w:rsidRPr="007E1DF0">
        <w:rPr>
          <w:rFonts w:ascii="Verdana" w:eastAsia="Arial" w:hAnsi="Verdana" w:cs="Calibri"/>
          <w:color w:val="000000" w:themeColor="text1"/>
          <w:sz w:val="22"/>
          <w:szCs w:val="22"/>
        </w:rPr>
        <w:t xml:space="preserve">2024/25, so </w:t>
      </w:r>
      <w:r w:rsidRPr="007E1DF0">
        <w:rPr>
          <w:rFonts w:ascii="Verdana" w:eastAsia="Arial" w:hAnsi="Verdana" w:cs="Calibri"/>
          <w:color w:val="000000" w:themeColor="text1"/>
          <w:sz w:val="22"/>
          <w:szCs w:val="22"/>
        </w:rPr>
        <w:t>direct comparisons should be interpreted with caution</w:t>
      </w:r>
      <w:r w:rsidRPr="007E1DF0">
        <w:rPr>
          <w:rFonts w:ascii="Verdana" w:eastAsia="Arial" w:hAnsi="Verdana" w:cs="Calibri"/>
          <w:color w:val="000000" w:themeColor="text1"/>
          <w:sz w:val="22"/>
          <w:szCs w:val="22"/>
        </w:rPr>
        <w:t xml:space="preserve">. </w:t>
      </w:r>
      <w:r w:rsidRPr="007E1DF0" w:rsidR="00041B5A">
        <w:rPr>
          <w:rFonts w:ascii="Verdana" w:eastAsia="Arial" w:hAnsi="Verdana" w:cs="Calibri"/>
          <w:color w:val="000000" w:themeColor="text1"/>
          <w:sz w:val="22"/>
          <w:szCs w:val="22"/>
        </w:rPr>
        <w:t>However, it is worth noting that</w:t>
      </w:r>
      <w:r w:rsidRPr="007E1DF0">
        <w:rPr>
          <w:rFonts w:ascii="Verdana" w:eastAsia="Arial" w:hAnsi="Verdana" w:cs="Calibri"/>
          <w:color w:val="000000" w:themeColor="text1"/>
          <w:sz w:val="22"/>
          <w:szCs w:val="22"/>
        </w:rPr>
        <w:t xml:space="preserve"> t</w:t>
      </w:r>
      <w:r w:rsidRPr="007E1DF0">
        <w:rPr>
          <w:rFonts w:ascii="Verdana" w:eastAsia="Times New Roman" w:hAnsi="Verdana" w:cs="Segoe UI"/>
          <w:kern w:val="0"/>
          <w:sz w:val="22"/>
          <w:szCs w:val="22"/>
          <w:lang w:eastAsia="en-GB"/>
        </w:rPr>
        <w:t xml:space="preserve">he decline in vaccine coverage in the most deprived areas </w:t>
      </w:r>
      <w:r w:rsidRPr="007E1DF0" w:rsidR="00AC2BAC">
        <w:rPr>
          <w:rFonts w:ascii="Verdana" w:eastAsia="Times New Roman" w:hAnsi="Verdana" w:cs="Segoe UI"/>
          <w:kern w:val="0"/>
          <w:sz w:val="22"/>
          <w:szCs w:val="22"/>
          <w:lang w:eastAsia="en-GB"/>
        </w:rPr>
        <w:t xml:space="preserve">has resulted in a substantial decrease in the number of </w:t>
      </w:r>
      <w:r w:rsidRPr="007E1DF0">
        <w:rPr>
          <w:rFonts w:ascii="Verdana" w:eastAsia="Times New Roman" w:hAnsi="Verdana" w:cs="Segoe UI"/>
          <w:kern w:val="0"/>
          <w:sz w:val="22"/>
          <w:szCs w:val="22"/>
          <w:lang w:eastAsia="en-GB"/>
        </w:rPr>
        <w:t>young</w:t>
      </w:r>
      <w:r w:rsidRPr="007E1DF0" w:rsidR="00AC2BAC">
        <w:rPr>
          <w:rFonts w:ascii="Verdana" w:eastAsia="Times New Roman" w:hAnsi="Verdana" w:cs="Segoe UI"/>
          <w:kern w:val="0"/>
          <w:sz w:val="22"/>
          <w:szCs w:val="22"/>
          <w:lang w:eastAsia="en-GB"/>
        </w:rPr>
        <w:t xml:space="preserve"> children who are protected from vaccine-preventable </w:t>
      </w:r>
      <w:r w:rsidRPr="007E1DF0">
        <w:rPr>
          <w:rFonts w:ascii="Verdana" w:eastAsia="Times New Roman" w:hAnsi="Verdana" w:cs="Segoe UI"/>
          <w:kern w:val="0"/>
          <w:sz w:val="22"/>
          <w:szCs w:val="22"/>
          <w:lang w:eastAsia="en-GB"/>
        </w:rPr>
        <w:t>disease</w:t>
      </w:r>
      <w:r w:rsidRPr="007E1DF0" w:rsidR="00AC2BAC">
        <w:rPr>
          <w:rFonts w:ascii="Verdana" w:eastAsia="Times New Roman" w:hAnsi="Verdana" w:cs="Segoe UI"/>
          <w:kern w:val="0"/>
          <w:sz w:val="22"/>
          <w:szCs w:val="22"/>
          <w:lang w:eastAsia="en-GB"/>
        </w:rPr>
        <w:t>.</w:t>
      </w:r>
    </w:p>
    <w:p w:rsidR="00E95E8A" w:rsidRPr="007E1DF0" w:rsidP="007E1DF0">
      <w:pPr>
        <w:pStyle w:val="ListParagraph"/>
        <w:numPr>
          <w:ilvl w:val="0"/>
          <w:numId w:val="46"/>
        </w:numPr>
        <w:spacing w:after="120" w:line="20" w:lineRule="atLeast"/>
        <w:ind w:hanging="357"/>
        <w:contextualSpacing w:val="0"/>
        <w:rPr>
          <w:rFonts w:ascii="Verdana" w:eastAsia="Times New Roman" w:hAnsi="Verdana" w:cs="Segoe UI"/>
          <w:kern w:val="0"/>
          <w:sz w:val="22"/>
          <w:szCs w:val="22"/>
          <w:lang w:eastAsia="en-GB"/>
        </w:rPr>
      </w:pPr>
      <w:r w:rsidRPr="007E1DF0">
        <w:rPr>
          <w:rFonts w:ascii="Verdana" w:eastAsia="Times New Roman" w:hAnsi="Verdana" w:cs="Segoe UI"/>
          <w:kern w:val="0"/>
          <w:sz w:val="22"/>
          <w:szCs w:val="22"/>
          <w:lang w:eastAsia="en-GB"/>
        </w:rPr>
        <w:t xml:space="preserve">Compared </w:t>
      </w:r>
      <w:r w:rsidRPr="007E1DF0" w:rsidR="00AC2BAC">
        <w:rPr>
          <w:rFonts w:ascii="Verdana" w:eastAsia="Times New Roman" w:hAnsi="Verdana" w:cs="Segoe UI"/>
          <w:kern w:val="0"/>
          <w:sz w:val="22"/>
          <w:szCs w:val="22"/>
          <w:lang w:eastAsia="en-GB"/>
        </w:rPr>
        <w:t xml:space="preserve">to </w:t>
      </w:r>
      <w:r w:rsidRPr="007E1DF0">
        <w:rPr>
          <w:rFonts w:ascii="Verdana" w:eastAsia="Times New Roman" w:hAnsi="Verdana" w:cs="Segoe UI"/>
          <w:kern w:val="0"/>
          <w:sz w:val="22"/>
          <w:szCs w:val="22"/>
          <w:lang w:eastAsia="en-GB"/>
        </w:rPr>
        <w:t>2018/19, local authorities in IDACI quintiles 4 and 5 recorded the equivalent of:</w:t>
      </w:r>
    </w:p>
    <w:p w:rsidR="00240475" w:rsidRPr="007E1DF0" w:rsidP="007E1DF0">
      <w:pPr>
        <w:pStyle w:val="ListParagraph"/>
        <w:numPr>
          <w:ilvl w:val="1"/>
          <w:numId w:val="46"/>
        </w:numPr>
        <w:spacing w:after="120" w:line="20" w:lineRule="atLeast"/>
        <w:ind w:hanging="357"/>
        <w:contextualSpacing w:val="0"/>
        <w:rPr>
          <w:rFonts w:ascii="Verdana" w:eastAsia="Times New Roman" w:hAnsi="Verdana" w:cs="Segoe UI"/>
          <w:kern w:val="0"/>
          <w:sz w:val="22"/>
          <w:szCs w:val="22"/>
          <w:lang w:eastAsia="en-GB"/>
        </w:rPr>
      </w:pPr>
      <w:r w:rsidRPr="007E1DF0">
        <w:rPr>
          <w:rFonts w:ascii="Verdana" w:eastAsia="Times New Roman" w:hAnsi="Verdana" w:cs="Segoe UI"/>
          <w:kern w:val="0"/>
          <w:sz w:val="22"/>
          <w:szCs w:val="22"/>
          <w:lang w:eastAsia="en-GB"/>
        </w:rPr>
        <w:t xml:space="preserve">51,268 fewer five-year-olds receiving a first dose of </w:t>
      </w:r>
      <w:r w:rsidRPr="007E1DF0" w:rsidR="0010731E">
        <w:rPr>
          <w:rFonts w:ascii="Verdana" w:eastAsia="Times New Roman" w:hAnsi="Verdana" w:cs="Segoe UI"/>
          <w:kern w:val="0"/>
          <w:sz w:val="22"/>
          <w:szCs w:val="22"/>
          <w:lang w:eastAsia="en-GB"/>
        </w:rPr>
        <w:t>MMR.</w:t>
      </w:r>
    </w:p>
    <w:p w:rsidR="00240475" w:rsidRPr="007E1DF0" w:rsidP="007E1DF0">
      <w:pPr>
        <w:pStyle w:val="ListParagraph"/>
        <w:numPr>
          <w:ilvl w:val="1"/>
          <w:numId w:val="46"/>
        </w:numPr>
        <w:spacing w:after="120" w:line="20" w:lineRule="atLeast"/>
        <w:ind w:hanging="357"/>
        <w:contextualSpacing w:val="0"/>
        <w:rPr>
          <w:rFonts w:ascii="Verdana" w:eastAsia="Times New Roman" w:hAnsi="Verdana" w:cs="Segoe UI"/>
          <w:kern w:val="0"/>
          <w:sz w:val="22"/>
          <w:szCs w:val="22"/>
          <w:lang w:eastAsia="en-GB"/>
        </w:rPr>
      </w:pPr>
      <w:r w:rsidRPr="007E1DF0">
        <w:rPr>
          <w:rFonts w:ascii="Verdana" w:eastAsia="Times New Roman" w:hAnsi="Verdana" w:cs="Segoe UI"/>
          <w:kern w:val="0"/>
          <w:sz w:val="22"/>
          <w:szCs w:val="22"/>
          <w:lang w:eastAsia="en-GB"/>
        </w:rPr>
        <w:t xml:space="preserve">69,702 fewer five-year-olds being vaccinated with </w:t>
      </w:r>
      <w:r w:rsidRPr="007E1DF0" w:rsidR="0010731E">
        <w:rPr>
          <w:rFonts w:ascii="Verdana" w:eastAsia="Times New Roman" w:hAnsi="Verdana" w:cs="Segoe UI"/>
          <w:kern w:val="0"/>
          <w:sz w:val="22"/>
          <w:szCs w:val="22"/>
          <w:lang w:eastAsia="en-GB"/>
        </w:rPr>
        <w:t>MMR2.</w:t>
      </w:r>
    </w:p>
    <w:p w:rsidR="00E95E8A" w:rsidRPr="007E1DF0" w:rsidP="007E1DF0">
      <w:pPr>
        <w:pStyle w:val="ListParagraph"/>
        <w:numPr>
          <w:ilvl w:val="1"/>
          <w:numId w:val="46"/>
        </w:numPr>
        <w:spacing w:after="120" w:line="20" w:lineRule="atLeast"/>
        <w:ind w:hanging="357"/>
        <w:contextualSpacing w:val="0"/>
        <w:rPr>
          <w:rFonts w:ascii="Verdana" w:eastAsia="Times New Roman" w:hAnsi="Verdana" w:cs="Segoe UI"/>
          <w:kern w:val="0"/>
          <w:sz w:val="22"/>
          <w:szCs w:val="22"/>
          <w:lang w:eastAsia="en-GB"/>
        </w:rPr>
      </w:pPr>
      <w:r w:rsidRPr="007E1DF0">
        <w:rPr>
          <w:rFonts w:ascii="Verdana" w:eastAsia="Times New Roman" w:hAnsi="Verdana" w:cs="Segoe UI"/>
          <w:b/>
          <w:bCs/>
          <w:kern w:val="0"/>
          <w:sz w:val="22"/>
          <w:szCs w:val="22"/>
          <w:lang w:eastAsia="en-GB"/>
        </w:rPr>
        <w:t>This leaves</w:t>
      </w:r>
      <w:r w:rsidRPr="007E1DF0" w:rsidR="00BB267C">
        <w:rPr>
          <w:rFonts w:ascii="Verdana" w:eastAsia="Times New Roman" w:hAnsi="Verdana" w:cs="Segoe UI"/>
          <w:b/>
          <w:bCs/>
          <w:kern w:val="0"/>
          <w:sz w:val="22"/>
          <w:szCs w:val="22"/>
          <w:lang w:eastAsia="en-GB"/>
        </w:rPr>
        <w:t xml:space="preserve"> </w:t>
      </w:r>
      <w:r w:rsidRPr="007E1DF0" w:rsidR="00BB267C">
        <w:rPr>
          <w:rFonts w:ascii="Verdana" w:eastAsia="Arial" w:hAnsi="Verdana" w:cs="Calibri"/>
          <w:b/>
          <w:bCs/>
          <w:color w:val="000000" w:themeColor="text1"/>
          <w:sz w:val="22"/>
          <w:szCs w:val="22"/>
        </w:rPr>
        <w:t xml:space="preserve">120,970 fewer children not </w:t>
      </w:r>
      <w:r w:rsidRPr="007E1DF0">
        <w:rPr>
          <w:rFonts w:ascii="Verdana" w:eastAsia="Arial" w:hAnsi="Verdana" w:cs="Calibri"/>
          <w:b/>
          <w:color w:val="000000" w:themeColor="text1"/>
          <w:sz w:val="22"/>
          <w:szCs w:val="22"/>
        </w:rPr>
        <w:t xml:space="preserve">fully vaccinated </w:t>
      </w:r>
      <w:r w:rsidRPr="007E1DF0" w:rsidR="00BB267C">
        <w:rPr>
          <w:rFonts w:ascii="Verdana" w:eastAsia="Arial" w:hAnsi="Verdana" w:cs="Calibri"/>
          <w:b/>
          <w:bCs/>
          <w:color w:val="000000" w:themeColor="text1"/>
          <w:sz w:val="22"/>
          <w:szCs w:val="22"/>
        </w:rPr>
        <w:t xml:space="preserve">against measles, mumps and rubella </w:t>
      </w:r>
      <w:r w:rsidRPr="007E1DF0">
        <w:rPr>
          <w:rFonts w:ascii="Verdana" w:eastAsia="Arial" w:hAnsi="Verdana" w:cs="Calibri"/>
          <w:b/>
          <w:bCs/>
          <w:color w:val="000000" w:themeColor="text1"/>
          <w:sz w:val="22"/>
          <w:szCs w:val="22"/>
        </w:rPr>
        <w:t xml:space="preserve">in </w:t>
      </w:r>
      <w:r w:rsidRPr="007E1DF0" w:rsidR="00BB267C">
        <w:rPr>
          <w:rFonts w:ascii="Verdana" w:eastAsia="Arial" w:hAnsi="Verdana" w:cs="Calibri"/>
          <w:b/>
          <w:bCs/>
          <w:color w:val="000000" w:themeColor="text1"/>
          <w:sz w:val="22"/>
          <w:szCs w:val="22"/>
        </w:rPr>
        <w:t xml:space="preserve">the most deprived areas </w:t>
      </w:r>
      <w:r w:rsidRPr="007E1DF0">
        <w:rPr>
          <w:rFonts w:ascii="Verdana" w:eastAsia="Arial" w:hAnsi="Verdana" w:cs="Calibri"/>
          <w:b/>
          <w:bCs/>
          <w:color w:val="000000" w:themeColor="text1"/>
          <w:sz w:val="22"/>
          <w:szCs w:val="22"/>
        </w:rPr>
        <w:t xml:space="preserve">of England than </w:t>
      </w:r>
      <w:r w:rsidRPr="007E1DF0" w:rsidR="00BB267C">
        <w:rPr>
          <w:rFonts w:ascii="Verdana" w:eastAsia="Arial" w:hAnsi="Verdana" w:cs="Calibri"/>
          <w:b/>
          <w:bCs/>
          <w:color w:val="000000" w:themeColor="text1"/>
          <w:sz w:val="22"/>
          <w:szCs w:val="22"/>
        </w:rPr>
        <w:t>in 2018/19</w:t>
      </w:r>
      <w:r w:rsidRPr="007E1DF0" w:rsidR="00BB267C">
        <w:rPr>
          <w:rFonts w:ascii="Verdana" w:eastAsia="Arial" w:hAnsi="Verdana" w:cs="Calibri"/>
          <w:color w:val="000000" w:themeColor="text1"/>
          <w:sz w:val="22"/>
          <w:szCs w:val="22"/>
        </w:rPr>
        <w:t>.</w:t>
      </w:r>
    </w:p>
    <w:p w:rsidR="00FF23B1" w:rsidRPr="007E1DF0" w:rsidP="007E1DF0">
      <w:pPr>
        <w:pStyle w:val="ListParagraph"/>
        <w:numPr>
          <w:ilvl w:val="0"/>
          <w:numId w:val="47"/>
        </w:numPr>
        <w:spacing w:after="120" w:line="20" w:lineRule="atLeast"/>
        <w:ind w:hanging="357"/>
        <w:contextualSpacing w:val="0"/>
        <w:rPr>
          <w:rFonts w:ascii="Verdana" w:eastAsia="Times New Roman" w:hAnsi="Verdana" w:cs="Segoe UI"/>
          <w:kern w:val="0"/>
          <w:sz w:val="22"/>
          <w:szCs w:val="22"/>
          <w:lang w:eastAsia="en-GB"/>
        </w:rPr>
      </w:pPr>
      <w:r w:rsidRPr="007E1DF0">
        <w:rPr>
          <w:rFonts w:ascii="Verdana" w:eastAsia="Times New Roman" w:hAnsi="Verdana" w:cs="Segoe UI"/>
          <w:kern w:val="0"/>
          <w:sz w:val="22"/>
          <w:szCs w:val="22"/>
          <w:lang w:eastAsia="en-GB"/>
        </w:rPr>
        <w:t>By contrast, the least deprived areas (IDACI quintiles 1 and 2) saw increases in the total number of children vaccinated with both MMR1 and MMR2</w:t>
      </w:r>
      <w:r w:rsidRPr="007E1DF0" w:rsidR="00BB267C">
        <w:rPr>
          <w:rFonts w:ascii="Verdana" w:eastAsia="Times New Roman" w:hAnsi="Verdana" w:cs="Segoe UI"/>
          <w:kern w:val="0"/>
          <w:sz w:val="22"/>
          <w:szCs w:val="22"/>
          <w:lang w:eastAsia="en-GB"/>
        </w:rPr>
        <w:t>,</w:t>
      </w:r>
      <w:r w:rsidRPr="007E1DF0">
        <w:rPr>
          <w:rFonts w:ascii="Verdana" w:eastAsia="Times New Roman" w:hAnsi="Verdana" w:cs="Segoe UI"/>
          <w:kern w:val="0"/>
          <w:sz w:val="22"/>
          <w:szCs w:val="22"/>
          <w:lang w:eastAsia="en-GB"/>
        </w:rPr>
        <w:t xml:space="preserve"> </w:t>
      </w:r>
      <w:r>
        <w:fldChar w:fldCharType="begin"/>
      </w:r>
      <w:r>
        <w:instrText xml:space="preserve"> HYPERLINK "https://unicefuk-my.sharepoint.com/personal/saskiaj_unicef_org_uk/_layouts/15/Doc.aspx?sourcedoc=%7B1B07576C-55C5-4DF2-9E15-39E2B4B38A6A%7D&amp;file=Supplementary%20Evidence%20House%20of%20Lords%20Childhood%20Vaccinations%20Committee%20Call%20for%20Evidence%2003.07.docx&amp;action=default&amp;mobileredirect=true" </w:instrText>
      </w:r>
      <w:r>
        <w:fldChar w:fldCharType="separate"/>
      </w:r>
      <w:r>
        <w:fldChar w:fldCharType="end"/>
      </w:r>
      <w:r w:rsidRPr="007E1DF0">
        <w:rPr>
          <w:rFonts w:ascii="Verdana" w:eastAsia="Arial" w:hAnsi="Verdana" w:cs="Calibri"/>
          <w:color w:val="000000" w:themeColor="text1"/>
          <w:sz w:val="22"/>
          <w:szCs w:val="22"/>
        </w:rPr>
        <w:t>so the risks are unevenly experienced.</w:t>
      </w:r>
    </w:p>
    <w:p w:rsidR="007E1DF0" w:rsidRPr="007E1DF0" w:rsidP="007E1DF0">
      <w:pPr>
        <w:spacing w:after="120" w:line="20" w:lineRule="atLeast"/>
        <w:rPr>
          <w:rFonts w:eastAsia="Times New Roman" w:cs="Segoe UI"/>
          <w:kern w:val="0"/>
          <w:sz w:val="22"/>
          <w:szCs w:val="22"/>
          <w:lang w:eastAsia="en-GB"/>
        </w:rPr>
      </w:pPr>
    </w:p>
    <w:p w:rsidR="007C0429" w:rsidRPr="007E1DF0" w:rsidP="007E1DF0">
      <w:pPr>
        <w:spacing w:after="120" w:line="20" w:lineRule="atLeast"/>
        <w:rPr>
          <w:rFonts w:ascii="Verdana" w:eastAsia="Arial" w:hAnsi="Verdana" w:cs="Calibri"/>
          <w:b/>
          <w:bCs/>
          <w:color w:val="000000" w:themeColor="text1"/>
          <w:sz w:val="22"/>
          <w:szCs w:val="22"/>
        </w:rPr>
      </w:pPr>
      <w:r w:rsidRPr="007E1DF0">
        <w:rPr>
          <w:rFonts w:ascii="Verdana" w:eastAsia="Arial" w:hAnsi="Verdana" w:cs="Calibri"/>
          <w:b/>
          <w:bCs/>
          <w:color w:val="000000" w:themeColor="text1"/>
          <w:sz w:val="22"/>
          <w:szCs w:val="22"/>
        </w:rPr>
        <w:t xml:space="preserve">Regional variation and the </w:t>
      </w:r>
      <w:r w:rsidRPr="007E1DF0" w:rsidR="00240475">
        <w:rPr>
          <w:rFonts w:ascii="Verdana" w:eastAsia="Arial" w:hAnsi="Verdana" w:cs="Calibri"/>
          <w:b/>
          <w:bCs/>
          <w:color w:val="000000" w:themeColor="text1"/>
          <w:sz w:val="22"/>
          <w:szCs w:val="22"/>
        </w:rPr>
        <w:t>‘</w:t>
      </w:r>
      <w:r w:rsidRPr="007E1DF0">
        <w:rPr>
          <w:rFonts w:ascii="Verdana" w:eastAsia="Arial" w:hAnsi="Verdana" w:cs="Calibri"/>
          <w:b/>
          <w:bCs/>
          <w:color w:val="000000" w:themeColor="text1"/>
          <w:sz w:val="22"/>
          <w:szCs w:val="22"/>
        </w:rPr>
        <w:t>London effect</w:t>
      </w:r>
      <w:r w:rsidRPr="007E1DF0" w:rsidR="00240475">
        <w:rPr>
          <w:rFonts w:ascii="Verdana" w:eastAsia="Arial" w:hAnsi="Verdana" w:cs="Calibri"/>
          <w:b/>
          <w:bCs/>
          <w:color w:val="000000" w:themeColor="text1"/>
          <w:sz w:val="22"/>
          <w:szCs w:val="22"/>
        </w:rPr>
        <w:t>’</w:t>
      </w:r>
    </w:p>
    <w:p w:rsidR="008B0F89" w:rsidRPr="007E1DF0" w:rsidP="007E1DF0">
      <w:pPr>
        <w:pStyle w:val="NormalWeb"/>
        <w:numPr>
          <w:ilvl w:val="0"/>
          <w:numId w:val="47"/>
        </w:numPr>
        <w:spacing w:before="0" w:beforeAutospacing="0" w:after="120" w:afterAutospacing="0" w:line="20" w:lineRule="atLeast"/>
        <w:rPr>
          <w:rFonts w:ascii="Verdana" w:hAnsi="Verdana" w:cs="Segoe UI"/>
          <w:sz w:val="22"/>
          <w:szCs w:val="22"/>
        </w:rPr>
      </w:pPr>
      <w:r w:rsidRPr="007E1DF0">
        <w:rPr>
          <w:rFonts w:ascii="Verdana" w:hAnsi="Verdana" w:cs="Segoe UI"/>
          <w:sz w:val="22"/>
          <w:szCs w:val="22"/>
        </w:rPr>
        <w:t xml:space="preserve">While there is a correlation between each area’s level of deprivation and vaccination coverage, </w:t>
      </w:r>
      <w:r w:rsidRPr="007E1DF0">
        <w:rPr>
          <w:rFonts w:ascii="Verdana" w:hAnsi="Verdana" w:cs="Segoe UI"/>
          <w:sz w:val="22"/>
          <w:szCs w:val="22"/>
        </w:rPr>
        <w:t>Upper Tier Local Authorities in London have a distinct pattern</w:t>
      </w:r>
      <w:r w:rsidRPr="007E1DF0">
        <w:rPr>
          <w:rFonts w:ascii="Verdana" w:hAnsi="Verdana" w:cs="Segoe UI"/>
          <w:sz w:val="22"/>
          <w:szCs w:val="22"/>
        </w:rPr>
        <w:t xml:space="preserve"> </w:t>
      </w:r>
      <w:r w:rsidRPr="007E1DF0" w:rsidR="001466B4">
        <w:rPr>
          <w:rFonts w:ascii="Verdana" w:hAnsi="Verdana" w:cs="Segoe UI"/>
          <w:sz w:val="22"/>
          <w:szCs w:val="22"/>
        </w:rPr>
        <w:t>compared to</w:t>
      </w:r>
      <w:r w:rsidRPr="007E1DF0">
        <w:rPr>
          <w:rFonts w:ascii="Verdana" w:hAnsi="Verdana" w:cs="Segoe UI"/>
          <w:sz w:val="22"/>
          <w:szCs w:val="22"/>
        </w:rPr>
        <w:t xml:space="preserve"> the rest of the country</w:t>
      </w:r>
      <w:r w:rsidRPr="007E1DF0">
        <w:rPr>
          <w:rFonts w:ascii="Verdana" w:hAnsi="Verdana" w:cs="Segoe UI"/>
          <w:sz w:val="22"/>
          <w:szCs w:val="22"/>
        </w:rPr>
        <w:t xml:space="preserve">, with London boroughs reporting </w:t>
      </w:r>
      <w:r w:rsidRPr="007E1DF0" w:rsidR="00BF2A32">
        <w:rPr>
          <w:rFonts w:ascii="Verdana" w:hAnsi="Verdana" w:cs="Segoe UI"/>
          <w:sz w:val="22"/>
          <w:szCs w:val="22"/>
        </w:rPr>
        <w:t>consistently</w:t>
      </w:r>
      <w:r w:rsidRPr="007E1DF0">
        <w:rPr>
          <w:rFonts w:ascii="Verdana" w:hAnsi="Verdana" w:cs="Segoe UI"/>
          <w:sz w:val="22"/>
          <w:szCs w:val="22"/>
        </w:rPr>
        <w:t xml:space="preserve"> low vaccination coverage regardless of their level of deprivation</w:t>
      </w:r>
      <w:r w:rsidRPr="007E1DF0" w:rsidR="003A26E7">
        <w:rPr>
          <w:rFonts w:ascii="Verdana" w:hAnsi="Verdana" w:cs="Segoe UI"/>
          <w:sz w:val="22"/>
          <w:szCs w:val="22"/>
        </w:rPr>
        <w:t>. T</w:t>
      </w:r>
      <w:r w:rsidRPr="007E1DF0">
        <w:rPr>
          <w:rFonts w:ascii="Verdana" w:hAnsi="Verdana" w:cs="Segoe UI"/>
          <w:sz w:val="22"/>
          <w:szCs w:val="22"/>
        </w:rPr>
        <w:t xml:space="preserve">he relationship between deprivation and vaccine uptake is </w:t>
      </w:r>
      <w:r w:rsidRPr="007E1DF0" w:rsidR="003A26E7">
        <w:rPr>
          <w:rFonts w:ascii="Verdana" w:hAnsi="Verdana" w:cs="Segoe UI"/>
          <w:sz w:val="22"/>
          <w:szCs w:val="22"/>
        </w:rPr>
        <w:t>therefore</w:t>
      </w:r>
      <w:r w:rsidRPr="007E1DF0">
        <w:rPr>
          <w:rFonts w:ascii="Verdana" w:hAnsi="Verdana" w:cs="Segoe UI"/>
          <w:sz w:val="22"/>
          <w:szCs w:val="22"/>
        </w:rPr>
        <w:t xml:space="preserve"> less pronounced </w:t>
      </w:r>
      <w:r w:rsidRPr="007E1DF0" w:rsidR="003A26E7">
        <w:rPr>
          <w:rFonts w:ascii="Verdana" w:hAnsi="Verdana" w:cs="Segoe UI"/>
          <w:sz w:val="22"/>
          <w:szCs w:val="22"/>
        </w:rPr>
        <w:t>in</w:t>
      </w:r>
      <w:r w:rsidRPr="007E1DF0">
        <w:rPr>
          <w:rFonts w:ascii="Verdana" w:hAnsi="Verdana" w:cs="Segoe UI"/>
          <w:sz w:val="22"/>
          <w:szCs w:val="22"/>
        </w:rPr>
        <w:t xml:space="preserve"> London than elsewhere in England</w:t>
      </w:r>
      <w:r>
        <w:rPr>
          <w:rStyle w:val="FootnoteReference"/>
          <w:rFonts w:ascii="Verdana" w:hAnsi="Verdana" w:cs="Segoe UI"/>
          <w:sz w:val="22"/>
          <w:szCs w:val="22"/>
        </w:rPr>
        <w:footnoteReference w:id="4"/>
      </w:r>
      <w:r w:rsidRPr="007E1DF0">
        <w:rPr>
          <w:rFonts w:ascii="Verdana" w:hAnsi="Verdana" w:cs="Segoe UI"/>
          <w:sz w:val="22"/>
          <w:szCs w:val="22"/>
        </w:rPr>
        <w:t xml:space="preserve">. </w:t>
      </w:r>
    </w:p>
    <w:p w:rsidR="00050C37" w:rsidRPr="007E1DF0" w:rsidP="007E1DF0">
      <w:pPr>
        <w:pStyle w:val="NormalWeb"/>
        <w:numPr>
          <w:ilvl w:val="0"/>
          <w:numId w:val="47"/>
        </w:numPr>
        <w:spacing w:before="0" w:beforeAutospacing="0" w:after="120" w:afterAutospacing="0" w:line="20" w:lineRule="atLeast"/>
        <w:rPr>
          <w:rFonts w:ascii="Verdana" w:hAnsi="Verdana" w:cs="Segoe UI"/>
          <w:sz w:val="22"/>
          <w:szCs w:val="22"/>
        </w:rPr>
      </w:pPr>
      <w:r w:rsidRPr="007E1DF0">
        <w:rPr>
          <w:rFonts w:ascii="Verdana" w:hAnsi="Verdana" w:cs="Segoe UI"/>
          <w:sz w:val="22"/>
          <w:szCs w:val="22"/>
        </w:rPr>
        <w:t>Among the 30 Upper Tier Local Authorities with the lowest MMR2 uptake, only three were outside London</w:t>
      </w:r>
      <w:r w:rsidRPr="007E1DF0">
        <w:rPr>
          <w:rFonts w:ascii="Verdana" w:hAnsi="Verdana" w:cs="Segoe UI"/>
          <w:sz w:val="22"/>
          <w:szCs w:val="22"/>
        </w:rPr>
        <w:t xml:space="preserve"> (</w:t>
      </w:r>
      <w:r w:rsidRPr="007E1DF0">
        <w:rPr>
          <w:rFonts w:ascii="Verdana" w:hAnsi="Verdana" w:cs="Segoe UI"/>
          <w:sz w:val="22"/>
          <w:szCs w:val="22"/>
        </w:rPr>
        <w:t>Birmingham, Manchester and Nottingham</w:t>
      </w:r>
      <w:r w:rsidRPr="007E1DF0">
        <w:rPr>
          <w:rFonts w:ascii="Verdana" w:hAnsi="Verdana" w:cs="Segoe UI"/>
          <w:sz w:val="22"/>
          <w:szCs w:val="22"/>
        </w:rPr>
        <w:t xml:space="preserve">), and similar trends were seen across all routine childhood vaccinations. </w:t>
      </w:r>
    </w:p>
    <w:p w:rsidR="008B0F89" w:rsidRPr="007E1DF0" w:rsidP="007E1DF0">
      <w:pPr>
        <w:pStyle w:val="NormalWeb"/>
        <w:numPr>
          <w:ilvl w:val="0"/>
          <w:numId w:val="47"/>
        </w:numPr>
        <w:spacing w:before="0" w:beforeAutospacing="0" w:after="120" w:afterAutospacing="0" w:line="20" w:lineRule="atLeast"/>
        <w:rPr>
          <w:rFonts w:ascii="Verdana" w:hAnsi="Verdana" w:cs="Segoe UI"/>
          <w:sz w:val="22"/>
          <w:szCs w:val="22"/>
        </w:rPr>
      </w:pPr>
      <w:r w:rsidRPr="007E1DF0">
        <w:rPr>
          <w:rFonts w:ascii="Verdana" w:hAnsi="Verdana" w:cs="Segoe UI"/>
          <w:sz w:val="22"/>
          <w:szCs w:val="22"/>
        </w:rPr>
        <w:t xml:space="preserve">All 12 Inner London boroughs were </w:t>
      </w:r>
      <w:r w:rsidRPr="007E1DF0" w:rsidR="000D46F1">
        <w:rPr>
          <w:rFonts w:ascii="Verdana" w:hAnsi="Verdana" w:cs="Segoe UI"/>
          <w:sz w:val="22"/>
          <w:szCs w:val="22"/>
        </w:rPr>
        <w:t>in</w:t>
      </w:r>
      <w:r w:rsidRPr="007E1DF0">
        <w:rPr>
          <w:rFonts w:ascii="Verdana" w:hAnsi="Verdana" w:cs="Segoe UI"/>
          <w:sz w:val="22"/>
          <w:szCs w:val="22"/>
        </w:rPr>
        <w:t xml:space="preserve"> the 20% of areas </w:t>
      </w:r>
      <w:r w:rsidRPr="007E1DF0" w:rsidR="000D46F1">
        <w:rPr>
          <w:rFonts w:ascii="Verdana" w:hAnsi="Verdana" w:cs="Segoe UI"/>
          <w:sz w:val="22"/>
          <w:szCs w:val="22"/>
        </w:rPr>
        <w:t xml:space="preserve">with </w:t>
      </w:r>
      <w:r w:rsidRPr="007E1DF0">
        <w:rPr>
          <w:rFonts w:ascii="Verdana" w:hAnsi="Verdana" w:cs="Segoe UI"/>
          <w:sz w:val="22"/>
          <w:szCs w:val="22"/>
        </w:rPr>
        <w:t>lowest</w:t>
      </w:r>
      <w:r w:rsidRPr="007E1DF0" w:rsidR="000D46F1">
        <w:rPr>
          <w:rFonts w:ascii="Verdana" w:hAnsi="Verdana" w:cs="Segoe UI"/>
          <w:sz w:val="22"/>
          <w:szCs w:val="22"/>
        </w:rPr>
        <w:t xml:space="preserve"> </w:t>
      </w:r>
      <w:r w:rsidRPr="007E1DF0">
        <w:rPr>
          <w:rFonts w:ascii="Verdana" w:hAnsi="Verdana" w:cs="Segoe UI"/>
          <w:sz w:val="22"/>
          <w:szCs w:val="22"/>
        </w:rPr>
        <w:t>MMR</w:t>
      </w:r>
      <w:r w:rsidRPr="007E1DF0" w:rsidR="00050C37">
        <w:rPr>
          <w:rFonts w:ascii="Verdana" w:hAnsi="Verdana" w:cs="Segoe UI"/>
          <w:sz w:val="22"/>
          <w:szCs w:val="22"/>
        </w:rPr>
        <w:t>1 and MMR</w:t>
      </w:r>
      <w:r w:rsidRPr="007E1DF0">
        <w:rPr>
          <w:rFonts w:ascii="Verdana" w:hAnsi="Verdana" w:cs="Segoe UI"/>
          <w:sz w:val="22"/>
          <w:szCs w:val="22"/>
        </w:rPr>
        <w:t xml:space="preserve">2 coverage. Of the 20 Outer London boroughs, only three (Havering, Kingston upon Thames and Sutton) were outside the lowest </w:t>
      </w:r>
      <w:r w:rsidRPr="007E1DF0" w:rsidR="0002059E">
        <w:rPr>
          <w:rFonts w:ascii="Verdana" w:hAnsi="Verdana" w:cs="Segoe UI"/>
          <w:sz w:val="22"/>
          <w:szCs w:val="22"/>
        </w:rPr>
        <w:t xml:space="preserve">20% of areas for MMR1 and </w:t>
      </w:r>
      <w:r w:rsidRPr="007E1DF0">
        <w:rPr>
          <w:rFonts w:ascii="Verdana" w:hAnsi="Verdana" w:cs="Segoe UI"/>
          <w:sz w:val="22"/>
          <w:szCs w:val="22"/>
        </w:rPr>
        <w:t>MMR2 uptake</w:t>
      </w:r>
      <w:r w:rsidRPr="007E1DF0" w:rsidR="0002059E">
        <w:rPr>
          <w:rFonts w:ascii="Verdana" w:hAnsi="Verdana" w:cs="Segoe UI"/>
          <w:sz w:val="22"/>
          <w:szCs w:val="22"/>
        </w:rPr>
        <w:t>.</w:t>
      </w:r>
    </w:p>
    <w:p w:rsidR="008B0F89" w:rsidRPr="007E1DF0" w:rsidP="007E1DF0">
      <w:pPr>
        <w:pStyle w:val="NormalWeb"/>
        <w:numPr>
          <w:ilvl w:val="0"/>
          <w:numId w:val="47"/>
        </w:numPr>
        <w:spacing w:before="0" w:beforeAutospacing="0" w:after="120" w:afterAutospacing="0" w:line="20" w:lineRule="atLeast"/>
        <w:rPr>
          <w:rFonts w:ascii="Verdana" w:hAnsi="Verdana"/>
        </w:rPr>
      </w:pPr>
      <w:r w:rsidRPr="007E1DF0">
        <w:rPr>
          <w:rFonts w:ascii="Verdana" w:hAnsi="Verdana" w:cs="Segoe UI"/>
          <w:sz w:val="22"/>
          <w:szCs w:val="22"/>
        </w:rPr>
        <w:t xml:space="preserve">When London </w:t>
      </w:r>
      <w:r w:rsidRPr="007E1DF0" w:rsidR="00B704CC">
        <w:rPr>
          <w:rFonts w:ascii="Verdana" w:hAnsi="Verdana" w:cs="Segoe UI"/>
          <w:sz w:val="22"/>
          <w:szCs w:val="22"/>
        </w:rPr>
        <w:t>UTLAs</w:t>
      </w:r>
      <w:r w:rsidRPr="007E1DF0">
        <w:rPr>
          <w:rFonts w:ascii="Verdana" w:hAnsi="Verdana" w:cs="Segoe UI"/>
          <w:sz w:val="22"/>
          <w:szCs w:val="22"/>
        </w:rPr>
        <w:t xml:space="preserve"> are excluded from the analysis, the relationship between deprivation and vaccination coverage becomes even </w:t>
      </w:r>
      <w:r w:rsidRPr="007E1DF0" w:rsidR="00B704CC">
        <w:rPr>
          <w:rFonts w:ascii="Verdana" w:hAnsi="Verdana" w:cs="Segoe UI"/>
          <w:sz w:val="22"/>
          <w:szCs w:val="22"/>
        </w:rPr>
        <w:t xml:space="preserve">clearer - </w:t>
      </w:r>
      <w:r w:rsidRPr="007E1DF0" w:rsidR="00B704CC">
        <w:rPr>
          <w:rFonts w:ascii="Verdana" w:hAnsi="Verdana"/>
          <w:sz w:val="22"/>
          <w:szCs w:val="22"/>
        </w:rPr>
        <w:t>with the correlation coefficient increasing to demonstrate a strong relationship. With London UTLAs excluded</w:t>
      </w:r>
      <w:r w:rsidRPr="007E1DF0">
        <w:rPr>
          <w:rFonts w:ascii="Verdana" w:hAnsi="Verdana" w:cs="Segoe UI"/>
          <w:sz w:val="22"/>
          <w:szCs w:val="22"/>
        </w:rPr>
        <w:t>, the areas with the lowest MMR1 and MMR2 uptake are consistently the most deprived local authorities in England</w:t>
      </w:r>
      <w:r w:rsidRPr="007E1DF0" w:rsidR="00334FEC">
        <w:rPr>
          <w:rFonts w:ascii="Verdana" w:hAnsi="Verdana" w:cs="Segoe UI"/>
          <w:sz w:val="22"/>
          <w:szCs w:val="22"/>
        </w:rPr>
        <w:t xml:space="preserve"> (including </w:t>
      </w:r>
      <w:r w:rsidRPr="007E1DF0">
        <w:rPr>
          <w:rFonts w:ascii="Verdana" w:hAnsi="Verdana" w:cs="Segoe UI"/>
          <w:sz w:val="22"/>
          <w:szCs w:val="22"/>
        </w:rPr>
        <w:t>Birmingham, Manchester, Liverpool, Knowsley, Nottingham and Luton.</w:t>
      </w:r>
      <w:r w:rsidRPr="007E1DF0" w:rsidR="00334FEC">
        <w:rPr>
          <w:rFonts w:ascii="Verdana" w:hAnsi="Verdana" w:cs="Segoe UI"/>
          <w:sz w:val="22"/>
          <w:szCs w:val="22"/>
        </w:rPr>
        <w:t>)</w:t>
      </w:r>
    </w:p>
    <w:p w:rsidR="007E1DF0" w:rsidRPr="007E1DF0" w:rsidP="007E1DF0">
      <w:pPr>
        <w:pStyle w:val="NormalWeb"/>
        <w:spacing w:before="0" w:beforeAutospacing="0" w:after="120" w:afterAutospacing="0" w:line="20" w:lineRule="atLeast"/>
        <w:rPr>
          <w:rFonts w:ascii="Verdana" w:hAnsi="Verdana"/>
        </w:rPr>
      </w:pPr>
    </w:p>
    <w:p w:rsidR="002C2D96" w:rsidRPr="007E1DF0" w:rsidP="007E1DF0">
      <w:pPr>
        <w:pStyle w:val="NormalWeb"/>
        <w:spacing w:before="0" w:beforeAutospacing="0" w:after="120" w:afterAutospacing="0" w:line="20" w:lineRule="atLeast"/>
        <w:rPr>
          <w:rFonts w:ascii="Verdana" w:hAnsi="Verdana"/>
          <w:b/>
          <w:sz w:val="22"/>
          <w:szCs w:val="22"/>
        </w:rPr>
      </w:pPr>
      <w:r w:rsidRPr="007E1DF0">
        <w:rPr>
          <w:rFonts w:ascii="Verdana" w:hAnsi="Verdana"/>
          <w:b/>
          <w:sz w:val="22"/>
          <w:szCs w:val="22"/>
        </w:rPr>
        <w:t>Conclusions</w:t>
      </w:r>
    </w:p>
    <w:p w:rsidR="008B62AF" w:rsidRPr="007E1DF0" w:rsidP="007E1DF0">
      <w:pPr>
        <w:pStyle w:val="ListParagraph"/>
        <w:numPr>
          <w:ilvl w:val="0"/>
          <w:numId w:val="48"/>
        </w:numPr>
        <w:spacing w:after="120" w:line="20" w:lineRule="atLeast"/>
        <w:contextualSpacing w:val="0"/>
        <w:rPr>
          <w:rFonts w:ascii="Verdana" w:hAnsi="Verdana"/>
          <w:b/>
          <w:sz w:val="22"/>
          <w:szCs w:val="22"/>
        </w:rPr>
      </w:pPr>
      <w:r w:rsidRPr="007E1DF0">
        <w:rPr>
          <w:rFonts w:ascii="Verdana" w:hAnsi="Verdana"/>
          <w:b/>
          <w:sz w:val="22"/>
          <w:szCs w:val="22"/>
        </w:rPr>
        <w:t xml:space="preserve">This analysis demonstrates a clear and </w:t>
      </w:r>
      <w:r w:rsidRPr="007E1DF0" w:rsidR="00C430FA">
        <w:rPr>
          <w:rFonts w:ascii="Verdana" w:hAnsi="Verdana"/>
          <w:b/>
          <w:sz w:val="22"/>
          <w:szCs w:val="22"/>
        </w:rPr>
        <w:t xml:space="preserve">increasing relationship </w:t>
      </w:r>
      <w:r w:rsidRPr="007E1DF0">
        <w:rPr>
          <w:rFonts w:ascii="Verdana" w:hAnsi="Verdana"/>
          <w:b/>
          <w:sz w:val="22"/>
          <w:szCs w:val="22"/>
        </w:rPr>
        <w:t xml:space="preserve">between </w:t>
      </w:r>
      <w:r w:rsidRPr="007E1DF0" w:rsidR="00C430FA">
        <w:rPr>
          <w:rFonts w:ascii="Verdana" w:hAnsi="Verdana"/>
          <w:b/>
          <w:sz w:val="22"/>
          <w:szCs w:val="22"/>
        </w:rPr>
        <w:t xml:space="preserve">each </w:t>
      </w:r>
      <w:r w:rsidRPr="007E1DF0">
        <w:rPr>
          <w:rFonts w:ascii="Verdana" w:hAnsi="Verdana"/>
          <w:b/>
          <w:sz w:val="22"/>
          <w:szCs w:val="22"/>
        </w:rPr>
        <w:t xml:space="preserve">area’s level of deprivation and the likelihood of </w:t>
      </w:r>
      <w:r w:rsidRPr="007E1DF0" w:rsidR="00C430FA">
        <w:rPr>
          <w:rFonts w:ascii="Verdana" w:hAnsi="Verdana"/>
          <w:b/>
          <w:sz w:val="22"/>
          <w:szCs w:val="22"/>
        </w:rPr>
        <w:t xml:space="preserve">the </w:t>
      </w:r>
      <w:r w:rsidRPr="007E1DF0">
        <w:rPr>
          <w:rFonts w:ascii="Verdana" w:hAnsi="Verdana"/>
          <w:b/>
          <w:sz w:val="22"/>
          <w:szCs w:val="22"/>
        </w:rPr>
        <w:t xml:space="preserve">young children who live there to be vaccinated. </w:t>
      </w:r>
      <w:r w:rsidRPr="007E1DF0" w:rsidR="00AD1850">
        <w:rPr>
          <w:rFonts w:ascii="Verdana" w:hAnsi="Verdana"/>
          <w:b/>
          <w:sz w:val="22"/>
          <w:szCs w:val="22"/>
        </w:rPr>
        <w:t xml:space="preserve">The children who are already most at risk of </w:t>
      </w:r>
      <w:r w:rsidRPr="007E1DF0" w:rsidR="00956FD7">
        <w:rPr>
          <w:rFonts w:ascii="Verdana" w:hAnsi="Verdana"/>
          <w:b/>
          <w:sz w:val="22"/>
          <w:szCs w:val="22"/>
        </w:rPr>
        <w:t xml:space="preserve">a range of </w:t>
      </w:r>
      <w:r w:rsidRPr="007E1DF0" w:rsidR="00AD1850">
        <w:rPr>
          <w:rFonts w:ascii="Verdana" w:hAnsi="Verdana"/>
          <w:b/>
          <w:sz w:val="22"/>
          <w:szCs w:val="22"/>
        </w:rPr>
        <w:t xml:space="preserve">poorer outcomes are also the least likely to be protected by vaccination. </w:t>
      </w:r>
    </w:p>
    <w:p w:rsidR="00AD1850" w:rsidRPr="007E1DF0" w:rsidP="007E1DF0">
      <w:pPr>
        <w:pStyle w:val="ListParagraph"/>
        <w:numPr>
          <w:ilvl w:val="0"/>
          <w:numId w:val="48"/>
        </w:numPr>
        <w:spacing w:after="120" w:line="20" w:lineRule="atLeast"/>
        <w:contextualSpacing w:val="0"/>
        <w:rPr>
          <w:rFonts w:ascii="Verdana" w:hAnsi="Verdana"/>
          <w:sz w:val="22"/>
          <w:szCs w:val="22"/>
        </w:rPr>
      </w:pPr>
      <w:r w:rsidRPr="007E1DF0">
        <w:rPr>
          <w:rFonts w:ascii="Verdana" w:hAnsi="Verdana"/>
          <w:sz w:val="22"/>
          <w:szCs w:val="22"/>
        </w:rPr>
        <w:t xml:space="preserve">The continued decline in vaccination coverage in areas with higher levels of deprivation is widening early health </w:t>
      </w:r>
      <w:r w:rsidRPr="007E1DF0" w:rsidR="00C6532D">
        <w:rPr>
          <w:rFonts w:ascii="Verdana" w:hAnsi="Verdana"/>
          <w:sz w:val="22"/>
          <w:szCs w:val="22"/>
        </w:rPr>
        <w:t>inequalities and</w:t>
      </w:r>
      <w:r w:rsidRPr="007E1DF0">
        <w:rPr>
          <w:rFonts w:ascii="Verdana" w:hAnsi="Verdana"/>
          <w:sz w:val="22"/>
          <w:szCs w:val="22"/>
        </w:rPr>
        <w:t xml:space="preserve"> leaving </w:t>
      </w:r>
      <w:r w:rsidRPr="007E1DF0" w:rsidR="00667747">
        <w:rPr>
          <w:rFonts w:ascii="Verdana" w:hAnsi="Verdana"/>
          <w:sz w:val="22"/>
          <w:szCs w:val="22"/>
        </w:rPr>
        <w:t>more</w:t>
      </w:r>
      <w:r w:rsidRPr="007E1DF0">
        <w:rPr>
          <w:rFonts w:ascii="Verdana" w:hAnsi="Verdana"/>
          <w:sz w:val="22"/>
          <w:szCs w:val="22"/>
        </w:rPr>
        <w:t xml:space="preserve"> </w:t>
      </w:r>
      <w:r w:rsidRPr="007E1DF0" w:rsidR="00776917">
        <w:rPr>
          <w:rFonts w:ascii="Verdana" w:hAnsi="Verdana"/>
          <w:sz w:val="22"/>
          <w:szCs w:val="22"/>
        </w:rPr>
        <w:t xml:space="preserve">young </w:t>
      </w:r>
      <w:r w:rsidRPr="007E1DF0">
        <w:rPr>
          <w:rFonts w:ascii="Verdana" w:hAnsi="Verdana"/>
          <w:sz w:val="22"/>
          <w:szCs w:val="22"/>
        </w:rPr>
        <w:t>children disproportionately exposed to vaccine-preventable disease.</w:t>
      </w:r>
      <w:r w:rsidRPr="007E1DF0" w:rsidR="00776917">
        <w:rPr>
          <w:rFonts w:ascii="Verdana" w:hAnsi="Verdana"/>
          <w:sz w:val="22"/>
          <w:szCs w:val="22"/>
        </w:rPr>
        <w:t xml:space="preserve"> </w:t>
      </w:r>
    </w:p>
    <w:p w:rsidR="002C2D96" w:rsidRPr="007E1DF0" w:rsidP="007E1DF0">
      <w:pPr>
        <w:pStyle w:val="ListParagraph"/>
        <w:numPr>
          <w:ilvl w:val="0"/>
          <w:numId w:val="48"/>
        </w:numPr>
        <w:spacing w:after="120" w:line="20" w:lineRule="atLeast"/>
        <w:contextualSpacing w:val="0"/>
        <w:rPr>
          <w:rFonts w:ascii="Verdana" w:eastAsia="Times New Roman" w:hAnsi="Verdana" w:cs="Segoe UI"/>
          <w:b/>
          <w:bCs/>
          <w:kern w:val="0"/>
          <w:sz w:val="22"/>
          <w:szCs w:val="22"/>
          <w:lang w:eastAsia="en-GB"/>
        </w:rPr>
      </w:pPr>
      <w:r w:rsidRPr="007E1DF0">
        <w:rPr>
          <w:rFonts w:ascii="Verdana" w:eastAsia="Times New Roman" w:hAnsi="Verdana" w:cs="Segoe UI"/>
          <w:b/>
          <w:bCs/>
          <w:kern w:val="0"/>
          <w:sz w:val="22"/>
          <w:szCs w:val="22"/>
          <w:lang w:eastAsia="en-GB"/>
        </w:rPr>
        <w:t>Without targeted action, inequalities in early childhood vaccination are highly likely to widen further.</w:t>
      </w:r>
    </w:p>
    <w:p w:rsidR="00EF21D7" w:rsidRPr="007E1DF0" w:rsidP="007E1DF0">
      <w:pPr>
        <w:pStyle w:val="ListParagraph"/>
        <w:numPr>
          <w:ilvl w:val="0"/>
          <w:numId w:val="48"/>
        </w:numPr>
        <w:spacing w:after="120" w:line="20" w:lineRule="atLeast"/>
        <w:contextualSpacing w:val="0"/>
        <w:rPr>
          <w:rFonts w:ascii="Verdana" w:eastAsia="Times New Roman" w:hAnsi="Verdana" w:cs="Segoe UI"/>
          <w:kern w:val="0"/>
          <w:sz w:val="22"/>
          <w:szCs w:val="22"/>
          <w:lang w:eastAsia="en-GB"/>
        </w:rPr>
      </w:pPr>
      <w:r w:rsidRPr="007E1DF0">
        <w:rPr>
          <w:rFonts w:ascii="Verdana" w:eastAsia="Times New Roman" w:hAnsi="Verdana" w:cs="Segoe UI"/>
          <w:kern w:val="0"/>
          <w:sz w:val="22"/>
          <w:szCs w:val="22"/>
          <w:lang w:eastAsia="en-GB"/>
        </w:rPr>
        <w:t xml:space="preserve">Continued research into the relationship between deprivation and changes to </w:t>
      </w:r>
      <w:r w:rsidRPr="007E1DF0" w:rsidR="005530B5">
        <w:rPr>
          <w:rFonts w:ascii="Verdana" w:eastAsia="Times New Roman" w:hAnsi="Verdana" w:cs="Segoe UI"/>
          <w:kern w:val="0"/>
          <w:sz w:val="22"/>
          <w:szCs w:val="22"/>
          <w:lang w:eastAsia="en-GB"/>
        </w:rPr>
        <w:t xml:space="preserve">early </w:t>
      </w:r>
      <w:r w:rsidRPr="007E1DF0">
        <w:rPr>
          <w:rFonts w:ascii="Verdana" w:eastAsia="Times New Roman" w:hAnsi="Verdana" w:cs="Segoe UI"/>
          <w:kern w:val="0"/>
          <w:sz w:val="22"/>
          <w:szCs w:val="22"/>
          <w:lang w:eastAsia="en-GB"/>
        </w:rPr>
        <w:t xml:space="preserve">vaccination rates could uncover further insights on where gaps have formed and are widening. </w:t>
      </w:r>
      <w:r w:rsidRPr="007E1DF0" w:rsidR="005530B5">
        <w:rPr>
          <w:rFonts w:ascii="Verdana" w:eastAsia="Times New Roman" w:hAnsi="Verdana" w:cs="Segoe UI"/>
          <w:kern w:val="0"/>
          <w:sz w:val="22"/>
          <w:szCs w:val="22"/>
          <w:lang w:eastAsia="en-GB"/>
        </w:rPr>
        <w:t>Other metrics that</w:t>
      </w:r>
      <w:r w:rsidRPr="007E1DF0" w:rsidR="00D304B6">
        <w:rPr>
          <w:rFonts w:ascii="Verdana" w:eastAsia="Times New Roman" w:hAnsi="Verdana" w:cs="Segoe UI"/>
          <w:kern w:val="0"/>
          <w:sz w:val="22"/>
          <w:szCs w:val="22"/>
          <w:lang w:eastAsia="en-GB"/>
        </w:rPr>
        <w:t xml:space="preserve"> were outside of the scope of this analysis, but which</w:t>
      </w:r>
      <w:r w:rsidRPr="007E1DF0" w:rsidR="005530B5">
        <w:rPr>
          <w:rFonts w:ascii="Verdana" w:eastAsia="Times New Roman" w:hAnsi="Verdana" w:cs="Segoe UI"/>
          <w:kern w:val="0"/>
          <w:sz w:val="22"/>
          <w:szCs w:val="22"/>
          <w:lang w:eastAsia="en-GB"/>
        </w:rPr>
        <w:t xml:space="preserve"> could be considered </w:t>
      </w:r>
      <w:r w:rsidRPr="007E1DF0" w:rsidR="00D304B6">
        <w:rPr>
          <w:rFonts w:ascii="Verdana" w:eastAsia="Times New Roman" w:hAnsi="Verdana" w:cs="Segoe UI"/>
          <w:kern w:val="0"/>
          <w:sz w:val="22"/>
          <w:szCs w:val="22"/>
          <w:lang w:eastAsia="en-GB"/>
        </w:rPr>
        <w:t xml:space="preserve">alongside deprivation to understand changing patterns of uptake </w:t>
      </w:r>
      <w:r w:rsidRPr="007E1DF0" w:rsidR="005530B5">
        <w:rPr>
          <w:rFonts w:ascii="Verdana" w:eastAsia="Times New Roman" w:hAnsi="Verdana" w:cs="Segoe UI"/>
          <w:kern w:val="0"/>
          <w:sz w:val="22"/>
          <w:szCs w:val="22"/>
          <w:lang w:eastAsia="en-GB"/>
        </w:rPr>
        <w:t xml:space="preserve">include </w:t>
      </w:r>
      <w:r w:rsidRPr="007E1DF0" w:rsidR="00D304B6">
        <w:rPr>
          <w:rFonts w:ascii="Verdana" w:eastAsia="Times New Roman" w:hAnsi="Verdana" w:cs="Segoe UI"/>
          <w:kern w:val="0"/>
          <w:sz w:val="22"/>
          <w:szCs w:val="22"/>
          <w:lang w:eastAsia="en-GB"/>
        </w:rPr>
        <w:t>English as an additional language (EAL), ethnicity</w:t>
      </w:r>
      <w:r w:rsidRPr="007E1DF0" w:rsidR="005530B5">
        <w:rPr>
          <w:rFonts w:ascii="Verdana" w:eastAsia="Times New Roman" w:hAnsi="Verdana" w:cs="Segoe UI"/>
          <w:kern w:val="0"/>
          <w:sz w:val="22"/>
          <w:szCs w:val="22"/>
          <w:lang w:eastAsia="en-GB"/>
        </w:rPr>
        <w:t>, health visitor contacts</w:t>
      </w:r>
      <w:r w:rsidRPr="007E1DF0" w:rsidR="0098154C">
        <w:rPr>
          <w:rFonts w:ascii="Verdana" w:eastAsia="Times New Roman" w:hAnsi="Verdana" w:cs="Segoe UI"/>
          <w:kern w:val="0"/>
          <w:sz w:val="22"/>
          <w:szCs w:val="22"/>
          <w:lang w:eastAsia="en-GB"/>
        </w:rPr>
        <w:t>,</w:t>
      </w:r>
      <w:r w:rsidRPr="007E1DF0" w:rsidR="005530B5">
        <w:rPr>
          <w:rFonts w:ascii="Verdana" w:eastAsia="Times New Roman" w:hAnsi="Verdana" w:cs="Segoe UI"/>
          <w:kern w:val="0"/>
          <w:sz w:val="22"/>
          <w:szCs w:val="22"/>
          <w:lang w:eastAsia="en-GB"/>
        </w:rPr>
        <w:t xml:space="preserve"> and GP registration.</w:t>
      </w:r>
    </w:p>
    <w:p w:rsidR="00221113" w:rsidRPr="007E1DF0" w:rsidP="007E1DF0">
      <w:pPr>
        <w:spacing w:after="120" w:line="20" w:lineRule="atLeast"/>
        <w:rPr>
          <w:rFonts w:ascii="Verdana" w:hAnsi="Verdana"/>
          <w:sz w:val="22"/>
          <w:szCs w:val="22"/>
        </w:rPr>
      </w:pPr>
    </w:p>
    <w:p w:rsidR="007E1DF0">
      <w:pPr>
        <w:rPr>
          <w:rStyle w:val="Heading2Char"/>
          <w:rFonts w:ascii="Verdana" w:hAnsi="Verdana"/>
          <w:b/>
          <w:bCs/>
          <w:color w:val="000000" w:themeColor="text1"/>
          <w:sz w:val="22"/>
          <w:szCs w:val="22"/>
        </w:rPr>
      </w:pPr>
      <w:r>
        <w:rPr>
          <w:rStyle w:val="Heading2Char"/>
          <w:rFonts w:ascii="Verdana" w:hAnsi="Verdana"/>
          <w:b/>
          <w:bCs/>
          <w:color w:val="000000" w:themeColor="text1"/>
          <w:sz w:val="22"/>
          <w:szCs w:val="22"/>
        </w:rPr>
        <w:br w:type="page"/>
      </w:r>
    </w:p>
    <w:p w:rsidR="00D14572" w:rsidRPr="007E1DF0" w:rsidP="002C2D96">
      <w:pPr>
        <w:rPr>
          <w:rStyle w:val="Heading2Char"/>
          <w:rFonts w:ascii="Verdana" w:hAnsi="Verdana"/>
          <w:b/>
          <w:bCs/>
          <w:color w:val="000000" w:themeColor="text1"/>
          <w:sz w:val="22"/>
          <w:szCs w:val="22"/>
        </w:rPr>
      </w:pPr>
      <w:r w:rsidRPr="007E1DF0">
        <w:rPr>
          <w:rStyle w:val="Heading2Char"/>
          <w:rFonts w:ascii="Verdana" w:hAnsi="Verdana"/>
          <w:b/>
          <w:bCs/>
          <w:color w:val="000000" w:themeColor="text1"/>
          <w:sz w:val="22"/>
          <w:szCs w:val="22"/>
        </w:rPr>
        <w:t>Appendix 1</w:t>
      </w:r>
    </w:p>
    <w:p w:rsidR="00786A4A" w:rsidRPr="007E1DF0" w:rsidP="002C2D96">
      <w:pPr>
        <w:rPr>
          <w:rFonts w:ascii="Verdana" w:hAnsi="Verdana"/>
          <w:b/>
          <w:bCs/>
          <w:sz w:val="22"/>
          <w:szCs w:val="22"/>
        </w:rPr>
      </w:pPr>
      <w:r w:rsidRPr="007E1DF0">
        <w:rPr>
          <w:rFonts w:ascii="Verdana" w:hAnsi="Verdana"/>
          <w:b/>
          <w:bCs/>
          <w:sz w:val="22"/>
          <w:szCs w:val="22"/>
        </w:rPr>
        <w:t xml:space="preserve">Upper Tier Local Authorities </w:t>
      </w:r>
      <w:r w:rsidRPr="007E1DF0" w:rsidR="001646F7">
        <w:rPr>
          <w:rFonts w:ascii="Verdana" w:hAnsi="Verdana"/>
          <w:b/>
          <w:bCs/>
          <w:sz w:val="22"/>
          <w:szCs w:val="22"/>
        </w:rPr>
        <w:t xml:space="preserve">by IMD deprivation rank </w:t>
      </w:r>
      <w:r w:rsidRPr="007E1DF0" w:rsidR="00BF2ADD">
        <w:rPr>
          <w:rFonts w:ascii="Verdana" w:hAnsi="Verdana"/>
          <w:b/>
          <w:bCs/>
          <w:sz w:val="22"/>
          <w:szCs w:val="22"/>
        </w:rPr>
        <w:t>(from most to least deprived)</w:t>
      </w:r>
    </w:p>
    <w:p w:rsidR="00EC18E3" w:rsidRPr="007E1DF0" w:rsidP="00D14572">
      <w:pPr>
        <w:pStyle w:val="ListParagraph"/>
        <w:numPr>
          <w:ilvl w:val="0"/>
          <w:numId w:val="53"/>
        </w:numPr>
        <w:rPr>
          <w:rFonts w:ascii="Verdana" w:hAnsi="Verdana"/>
          <w:sz w:val="22"/>
          <w:szCs w:val="22"/>
        </w:rPr>
        <w:sectPr>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Blackpool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Manchester</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Sandwell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Leicester</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Newham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Birmingham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Barking and Dagenham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Hackney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Blackburn with Darwen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Liverpool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Kingston upon Hull, City of</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Oldham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Knowsley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Nottingham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Rochdale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Tower Hamlets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Middlesbrough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Brent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Bradford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Wolverhampton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Stoke-on-Trent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Haringey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Hartlepool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Sunderland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Luton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Salford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South Tyneside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Enfield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Walsall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Islington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Barnsley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Tameside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Bolton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Doncaster</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Ealing</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Lewisham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County Durham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Hounslow</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Torbay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Peterborough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Rotherham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Halton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Isle of Wight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Gateshead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Coventry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Redcar and Cleveland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Wakefield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Waltham Forest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Southwark</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St. Helens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Lambeth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Calderdale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Slough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Portsmouth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Greenwich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Southampton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Derby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North East Lincolnshire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Newcastle upon Tyne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Camden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Kirklees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Cornwall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Westminster</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Sheffield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Medway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Telford and Wrekin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Cumberland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Plymouth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Wigan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Darlington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North Lincolnshire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Croydon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Wirral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Bury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Hammersmith and Fulham</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Sefton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Southend-on-Sea</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Thurrock</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Dudley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Lincolnshire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Hillingdon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Stockton-on-Tees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Norfolk</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Lancashire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Bristol, City of</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Leeds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Redbridge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Northumberland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Barnet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Kensington and Chelsea</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East Sussex</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Kent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Somerset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Herefordshire, County of</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Bedford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Brighton and Hove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North Tyneside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Reading</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Derbyshire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Suffolk</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Devon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Harrow</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Shropshire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Milton Keynes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North Northamptonshire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Nottinghamshire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Westmorland and Furness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Essex</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Bournemouth, Christchurch and Poole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Havering</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Dorset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Worcestershire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Swindon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West Northamptonshire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Stockport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Staffordshire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Cheshire West and Chester</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North Yorkshire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Warwickshire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Wandsworth</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Warrington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Bexley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West Sussex</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Gloucestershire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East Riding of Yorkshire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Solihull</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Merton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North Somerset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Wiltshire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Trafford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Sutton</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Cambridgeshire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Central Bedfordshire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Cheshire East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Hertfordshire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Leicestershire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Hampshire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Bromley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Buckinghamshire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Bath and North East Somerset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South Gloucestershire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West Berkshire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Kingston upon Thames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York</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Oxfordshire</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Bracknell Forest</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Rutland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Surrey</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Richmond upon Thames</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Windsor and Maidenhead</w:t>
      </w:r>
    </w:p>
    <w:p w:rsidR="00D14572" w:rsidRPr="007E1DF0" w:rsidP="00D14572">
      <w:pPr>
        <w:pStyle w:val="ListParagraph"/>
        <w:numPr>
          <w:ilvl w:val="0"/>
          <w:numId w:val="53"/>
        </w:numPr>
        <w:rPr>
          <w:rFonts w:ascii="Verdana" w:hAnsi="Verdana"/>
          <w:sz w:val="22"/>
          <w:szCs w:val="22"/>
        </w:rPr>
      </w:pPr>
      <w:r w:rsidRPr="007E1DF0">
        <w:rPr>
          <w:rFonts w:ascii="Verdana" w:hAnsi="Verdana"/>
          <w:sz w:val="22"/>
          <w:szCs w:val="22"/>
        </w:rPr>
        <w:t>Wokingham</w:t>
      </w:r>
    </w:p>
    <w:p w:rsidR="001646F7"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P="002C2D96">
      <w:pPr>
        <w:rPr>
          <w:sz w:val="20"/>
          <w:szCs w:val="20"/>
        </w:rPr>
      </w:pPr>
    </w:p>
    <w:p w:rsidR="00EC18E3" w:rsidRPr="00D14572" w:rsidP="002C2D96">
      <w:pPr>
        <w:rPr>
          <w:sz w:val="20"/>
          <w:szCs w:val="20"/>
        </w:rPr>
      </w:pPr>
    </w:p>
    <w:p w:rsidR="00EC18E3" w:rsidP="00D14572">
      <w:pPr>
        <w:rPr>
          <w:rStyle w:val="Heading2Char"/>
        </w:rPr>
        <w:sectPr w:rsidSect="00EC18E3">
          <w:type w:val="continuous"/>
          <w:pgSz w:w="11906" w:h="16838"/>
          <w:pgMar w:top="1440" w:right="1440" w:bottom="1440" w:left="1440" w:header="708" w:footer="708" w:gutter="0"/>
          <w:cols w:num="2" w:space="708"/>
          <w:docGrid w:linePitch="360"/>
        </w:sectPr>
      </w:pPr>
    </w:p>
    <w:p w:rsidR="00D14572" w:rsidRPr="007E1DF0" w:rsidP="00D14572">
      <w:pPr>
        <w:rPr>
          <w:rStyle w:val="Heading2Char"/>
          <w:rFonts w:ascii="Verdana" w:hAnsi="Verdana"/>
          <w:b/>
          <w:bCs/>
          <w:color w:val="000000" w:themeColor="text1"/>
          <w:sz w:val="22"/>
          <w:szCs w:val="22"/>
        </w:rPr>
      </w:pPr>
      <w:r w:rsidRPr="007E1DF0">
        <w:rPr>
          <w:rStyle w:val="Heading2Char"/>
          <w:rFonts w:ascii="Verdana" w:hAnsi="Verdana"/>
          <w:b/>
          <w:bCs/>
          <w:color w:val="000000" w:themeColor="text1"/>
          <w:sz w:val="22"/>
          <w:szCs w:val="22"/>
        </w:rPr>
        <w:t>Appendix 2</w:t>
      </w:r>
    </w:p>
    <w:p w:rsidR="00D14572" w:rsidRPr="007E1DF0" w:rsidP="00D14572">
      <w:pPr>
        <w:rPr>
          <w:rFonts w:ascii="Verdana" w:hAnsi="Verdana"/>
          <w:b/>
          <w:bCs/>
          <w:sz w:val="22"/>
          <w:szCs w:val="22"/>
        </w:rPr>
      </w:pPr>
      <w:r w:rsidRPr="007E1DF0">
        <w:rPr>
          <w:rFonts w:ascii="Verdana" w:hAnsi="Verdana"/>
          <w:b/>
          <w:bCs/>
          <w:sz w:val="22"/>
          <w:szCs w:val="22"/>
        </w:rPr>
        <w:t>Upper Tier Local Authorities by IDACI deprivation rank (from most to least deprived)</w:t>
      </w:r>
    </w:p>
    <w:p w:rsidR="00EC18E3" w:rsidRPr="007E1DF0" w:rsidP="00D14572">
      <w:pPr>
        <w:pStyle w:val="ListParagraph"/>
        <w:numPr>
          <w:ilvl w:val="0"/>
          <w:numId w:val="55"/>
        </w:numPr>
        <w:rPr>
          <w:rFonts w:ascii="Verdana" w:hAnsi="Verdana"/>
          <w:sz w:val="22"/>
          <w:szCs w:val="22"/>
        </w:rPr>
        <w:sectPr w:rsidSect="00EC18E3">
          <w:type w:val="continuous"/>
          <w:pgSz w:w="11906" w:h="16838"/>
          <w:pgMar w:top="1440" w:right="1440" w:bottom="1440" w:left="1440" w:header="708" w:footer="708" w:gutter="0"/>
          <w:cols w:space="708"/>
          <w:docGrid w:linePitch="360"/>
        </w:sectPr>
      </w:pP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Tower Hamlets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Newham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Hackney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Birmingham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Brent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Manchester</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Sandwell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Luton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Barking and Dagenham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Nottingham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Enfield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Islington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Leicester</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Blackpool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Walsall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Wolverhampton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Oldham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Middlesbrough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Kingston upon Hull, City of</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Stoke-on-Trent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Bradford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Liverpool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Blackburn with Darwen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Ealing</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Rochdale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Salford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Haringey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Bolton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Knowsley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Hartlepool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Coventry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Doncaster</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Peterborough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Waltham Forest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Hounslow</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Lambeth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Tameside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Barnsley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Telford and Wrekin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Southampton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South Tyneside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Derby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North East Lincolnshire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Southwark</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Rotherham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Greenwich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Lewisham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Sunderland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Redcar and Cleveland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Slough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Harrow</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Torbay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Croydon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Isle of Wight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Dudley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Newcastle upon Tyne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Sheffield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County Durham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Gateshead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Portsmouth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Halton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Kirklees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Hillingdon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Camden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Redbridge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St. Helens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Wakefield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Westminster</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Calderdale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Cornwall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North Lincolnshire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Bury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Barnet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Plymouth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Medway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Leeds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Darlington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Wirral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Thurrock</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Southend-on-Sea</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East Sussex</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Sefton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Hammersmith and Fulham</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Lincolnshire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Lancashire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Bristol, City of</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Wigan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Stockton-on-Tees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Norfolk</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Bedford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Reading</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North Northamptonshire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Havering</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Herefordshire, County of</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Northumberland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Wandsworth</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Kent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Bournemouth, Christchurch and Poole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Nottinghamshire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Cumberland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Milton Keynes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Suffolk</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Derbyshire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Brighton and Hove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Worcestershire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Staffordshire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North Tyneside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Devon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Somerset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Dorset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Swindon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Essex</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Shropshire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Merton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Solihull</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Bexley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West Northamptonshire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West Sussex</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Warwickshire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Cheshire West and Chester</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Gloucestershire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Hertfordshire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Sutton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East Riding of Yorkshire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Leicestershire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Warrington</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Stockport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Central Bedfordshire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North Somerset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Cambridgeshire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South Gloucestershire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North Yorkshire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Wiltshire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Westmorland and Furness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Kingston upon Thames</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Kensington and Chelsea</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Hampshire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Cheshire East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York</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Oxfordshire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Bath and North East Somerset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Buckinghamshire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Bromley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West Berkshire</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Trafford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Bracknell Forest</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Surrey</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Rutland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Windsor and Maidenhead</w:t>
      </w:r>
    </w:p>
    <w:p w:rsidR="00D14572" w:rsidRPr="007E1DF0" w:rsidP="00D14572">
      <w:pPr>
        <w:pStyle w:val="ListParagraph"/>
        <w:numPr>
          <w:ilvl w:val="0"/>
          <w:numId w:val="55"/>
        </w:numPr>
        <w:rPr>
          <w:rFonts w:ascii="Verdana" w:hAnsi="Verdana"/>
          <w:sz w:val="22"/>
          <w:szCs w:val="22"/>
        </w:rPr>
      </w:pPr>
      <w:r w:rsidRPr="007E1DF0">
        <w:rPr>
          <w:rFonts w:ascii="Verdana" w:hAnsi="Verdana"/>
          <w:sz w:val="22"/>
          <w:szCs w:val="22"/>
        </w:rPr>
        <w:t>Richmond upon Thames</w:t>
      </w:r>
    </w:p>
    <w:p w:rsidR="001C20E5" w:rsidRPr="007E1DF0" w:rsidP="00D14572">
      <w:pPr>
        <w:pStyle w:val="ListParagraph"/>
        <w:numPr>
          <w:ilvl w:val="0"/>
          <w:numId w:val="55"/>
        </w:numPr>
        <w:rPr>
          <w:rFonts w:ascii="Verdana" w:hAnsi="Verdana"/>
          <w:sz w:val="22"/>
          <w:szCs w:val="22"/>
        </w:rPr>
      </w:pPr>
      <w:r w:rsidRPr="007E1DF0">
        <w:rPr>
          <w:rFonts w:ascii="Verdana" w:hAnsi="Verdana"/>
          <w:sz w:val="22"/>
          <w:szCs w:val="22"/>
        </w:rPr>
        <w:t>Wokingham</w:t>
      </w:r>
    </w:p>
    <w:p w:rsidR="002C2D96"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P="002C2D96">
      <w:pPr>
        <w:rPr>
          <w:rFonts w:ascii="Verdana" w:hAnsi="Verdana"/>
          <w:sz w:val="22"/>
          <w:szCs w:val="22"/>
        </w:rPr>
      </w:pPr>
    </w:p>
    <w:p w:rsidR="007E1DF0" w:rsidRPr="007E1DF0" w:rsidP="002C2D96">
      <w:pPr>
        <w:rPr>
          <w:rFonts w:ascii="Verdana" w:hAnsi="Verdana"/>
          <w:i/>
          <w:iCs/>
          <w:sz w:val="22"/>
          <w:szCs w:val="22"/>
        </w:rPr>
      </w:pPr>
      <w:r>
        <w:rPr>
          <w:rFonts w:ascii="Verdana" w:hAnsi="Verdana"/>
          <w:i/>
          <w:iCs/>
          <w:sz w:val="22"/>
          <w:szCs w:val="22"/>
        </w:rPr>
        <w:t>6 July 2026</w:t>
      </w:r>
    </w:p>
    <w:sectPr w:rsidSect="00EC18E3">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A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5B6">
    <w:pPr>
      <w:pStyle w:val="Footer"/>
    </w:pPr>
  </w:p>
  <w:p w:rsidR="00480A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A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E7017" w:rsidP="00B11851">
      <w:pPr>
        <w:spacing w:after="0" w:line="240" w:lineRule="auto"/>
      </w:pPr>
      <w:r>
        <w:separator/>
      </w:r>
    </w:p>
  </w:footnote>
  <w:footnote w:type="continuationSeparator" w:id="1">
    <w:p w:rsidR="00DE7017" w:rsidP="00B11851">
      <w:pPr>
        <w:spacing w:after="0" w:line="240" w:lineRule="auto"/>
      </w:pPr>
      <w:r>
        <w:continuationSeparator/>
      </w:r>
    </w:p>
  </w:footnote>
  <w:footnote w:id="2">
    <w:p w:rsidR="00964F93" w:rsidRPr="00B20ADD" w:rsidP="00964F93">
      <w:pPr>
        <w:pStyle w:val="FootnoteText"/>
        <w:rPr>
          <w:rFonts w:ascii="Verdana" w:hAnsi="Verdana"/>
          <w:sz w:val="18"/>
          <w:szCs w:val="18"/>
        </w:rPr>
      </w:pPr>
      <w:r w:rsidRPr="00B20ADD">
        <w:rPr>
          <w:rStyle w:val="FootnoteReference"/>
          <w:rFonts w:ascii="Verdana" w:hAnsi="Verdana"/>
          <w:sz w:val="18"/>
          <w:szCs w:val="18"/>
        </w:rPr>
        <w:footnoteRef/>
      </w:r>
      <w:r w:rsidRPr="00B20ADD">
        <w:rPr>
          <w:rFonts w:ascii="Verdana" w:hAnsi="Verdana"/>
          <w:sz w:val="18"/>
          <w:szCs w:val="18"/>
        </w:rPr>
        <w:t xml:space="preserve"> UNICEF UK, Held Back from the Start:: the impact of deprivation on early childhood, 2025</w:t>
      </w:r>
    </w:p>
  </w:footnote>
  <w:footnote w:id="3">
    <w:p w:rsidR="00A815F2" w:rsidRPr="00B20ADD" w:rsidP="00A815F2">
      <w:pPr>
        <w:pStyle w:val="FootnoteText"/>
        <w:rPr>
          <w:rFonts w:ascii="Verdana" w:hAnsi="Verdana"/>
          <w:sz w:val="18"/>
          <w:szCs w:val="18"/>
        </w:rPr>
      </w:pPr>
      <w:r w:rsidRPr="00B20ADD">
        <w:rPr>
          <w:rStyle w:val="FootnoteReference"/>
          <w:rFonts w:ascii="Verdana" w:hAnsi="Verdana"/>
          <w:sz w:val="18"/>
          <w:szCs w:val="18"/>
        </w:rPr>
        <w:footnoteRef/>
      </w:r>
      <w:r w:rsidRPr="00B20ADD">
        <w:rPr>
          <w:rFonts w:ascii="Verdana" w:hAnsi="Verdana"/>
          <w:sz w:val="18"/>
          <w:szCs w:val="18"/>
        </w:rPr>
        <w:t xml:space="preserve"> UNICEF Data, Immunization, July 2025</w:t>
      </w:r>
    </w:p>
  </w:footnote>
  <w:footnote w:id="4">
    <w:p w:rsidR="0045301F" w:rsidRPr="007E1DF0" w:rsidP="007E1DF0">
      <w:pPr>
        <w:pStyle w:val="NormalWeb"/>
        <w:spacing w:before="0" w:beforeAutospacing="0" w:after="0" w:afterAutospacing="0" w:line="20" w:lineRule="atLeast"/>
        <w:rPr>
          <w:rFonts w:ascii="Verdana" w:hAnsi="Verdana" w:cs="Segoe UI"/>
          <w:sz w:val="18"/>
          <w:szCs w:val="18"/>
        </w:rPr>
      </w:pPr>
      <w:r w:rsidRPr="007E1DF0">
        <w:rPr>
          <w:rStyle w:val="FootnoteReference"/>
          <w:rFonts w:ascii="Verdana" w:hAnsi="Verdana"/>
          <w:sz w:val="18"/>
          <w:szCs w:val="18"/>
        </w:rPr>
        <w:footnoteRef/>
      </w:r>
      <w:r w:rsidRPr="007E1DF0">
        <w:rPr>
          <w:rFonts w:ascii="Verdana" w:hAnsi="Verdana"/>
          <w:sz w:val="18"/>
          <w:szCs w:val="18"/>
        </w:rPr>
        <w:t xml:space="preserve"> </w:t>
      </w:r>
      <w:r w:rsidRPr="007E1DF0" w:rsidR="00BD17D9">
        <w:rPr>
          <w:rFonts w:ascii="Verdana" w:hAnsi="Verdana" w:cs="Segoe UI"/>
          <w:sz w:val="18"/>
          <w:szCs w:val="18"/>
        </w:rPr>
        <w:t xml:space="preserve">Please note that </w:t>
      </w:r>
      <w:r w:rsidRPr="007E1DF0" w:rsidR="003928BB">
        <w:rPr>
          <w:rFonts w:ascii="Verdana" w:hAnsi="Verdana" w:cs="Segoe UI"/>
          <w:sz w:val="18"/>
          <w:szCs w:val="18"/>
        </w:rPr>
        <w:t>there are</w:t>
      </w:r>
      <w:r w:rsidRPr="007E1DF0">
        <w:rPr>
          <w:rFonts w:ascii="Verdana" w:hAnsi="Verdana" w:cs="Segoe UI"/>
          <w:sz w:val="18"/>
          <w:szCs w:val="18"/>
        </w:rPr>
        <w:t xml:space="preserve"> caveats to </w:t>
      </w:r>
      <w:r w:rsidRPr="007E1DF0" w:rsidR="003928BB">
        <w:rPr>
          <w:rFonts w:ascii="Verdana" w:hAnsi="Verdana" w:cs="Segoe UI"/>
          <w:sz w:val="18"/>
          <w:szCs w:val="18"/>
        </w:rPr>
        <w:t xml:space="preserve">2024/25 </w:t>
      </w:r>
      <w:r w:rsidRPr="007E1DF0">
        <w:rPr>
          <w:rFonts w:ascii="Verdana" w:hAnsi="Verdana" w:cs="Segoe UI"/>
          <w:sz w:val="18"/>
          <w:szCs w:val="18"/>
        </w:rPr>
        <w:t xml:space="preserve">data on uptake of dTaP/IPV booster and MMR2 in some London UTLAs, as reported in the data sources and methodology notes, due to </w:t>
      </w:r>
      <w:r w:rsidRPr="007E1DF0" w:rsidR="00292FA9">
        <w:rPr>
          <w:rFonts w:ascii="Verdana" w:hAnsi="Verdana" w:cs="Segoe UI"/>
          <w:sz w:val="18"/>
          <w:szCs w:val="18"/>
        </w:rPr>
        <w:t xml:space="preserve">local </w:t>
      </w:r>
      <w:r w:rsidRPr="007E1DF0">
        <w:rPr>
          <w:rFonts w:ascii="Verdana" w:hAnsi="Verdana" w:cs="Segoe UI"/>
          <w:sz w:val="18"/>
          <w:szCs w:val="18"/>
        </w:rPr>
        <w:t xml:space="preserve">system changes and challenges validating </w:t>
      </w:r>
      <w:r w:rsidRPr="007E1DF0" w:rsidR="0098154C">
        <w:rPr>
          <w:rFonts w:ascii="Verdana" w:hAnsi="Verdana" w:cs="Segoe UI"/>
          <w:sz w:val="18"/>
          <w:szCs w:val="18"/>
        </w:rPr>
        <w:t xml:space="preserve">coverage </w:t>
      </w:r>
      <w:r w:rsidRPr="007E1DF0">
        <w:rPr>
          <w:rFonts w:ascii="Verdana" w:hAnsi="Verdana" w:cs="Segoe UI"/>
          <w:sz w:val="18"/>
          <w:szCs w:val="18"/>
        </w:rPr>
        <w:t>for children not registered with a GP</w:t>
      </w:r>
      <w:r w:rsidRPr="007E1DF0" w:rsidR="003928BB">
        <w:rPr>
          <w:rFonts w:ascii="Verdana" w:hAnsi="Verdana" w:cs="Segoe UI"/>
          <w:sz w:val="18"/>
          <w:szCs w:val="18"/>
        </w:rPr>
        <w:t xml:space="preserve">. However, the </w:t>
      </w:r>
      <w:r w:rsidRPr="007E1DF0">
        <w:rPr>
          <w:rFonts w:ascii="Verdana" w:hAnsi="Verdana" w:cs="Segoe UI"/>
          <w:sz w:val="18"/>
          <w:szCs w:val="18"/>
        </w:rPr>
        <w:t xml:space="preserve">trend of consistently low </w:t>
      </w:r>
      <w:r w:rsidRPr="007E1DF0" w:rsidR="00292FA9">
        <w:rPr>
          <w:rFonts w:ascii="Verdana" w:hAnsi="Verdana" w:cs="Segoe UI"/>
          <w:sz w:val="18"/>
          <w:szCs w:val="18"/>
        </w:rPr>
        <w:t xml:space="preserve">vaccination </w:t>
      </w:r>
      <w:r w:rsidRPr="007E1DF0">
        <w:rPr>
          <w:rFonts w:ascii="Verdana" w:hAnsi="Verdana" w:cs="Segoe UI"/>
          <w:sz w:val="18"/>
          <w:szCs w:val="18"/>
        </w:rPr>
        <w:t xml:space="preserve">coverage across London areas was also seen across MMR1 and </w:t>
      </w:r>
      <w:r w:rsidRPr="007E1DF0">
        <w:rPr>
          <w:rFonts w:ascii="Verdana" w:hAnsi="Verdana"/>
          <w:color w:val="000000"/>
          <w:sz w:val="18"/>
          <w:szCs w:val="18"/>
        </w:rPr>
        <w:t>DTaP/IPV/HIB where no such data quality issues were reported</w:t>
      </w:r>
      <w:r w:rsidRPr="007E1DF0" w:rsidR="003928BB">
        <w:rPr>
          <w:rFonts w:ascii="Verdana" w:hAnsi="Verdana"/>
          <w:color w:val="000000"/>
          <w:sz w:val="18"/>
          <w:szCs w:val="18"/>
        </w:rPr>
        <w:t>, and in previous years.</w:t>
      </w:r>
    </w:p>
    <w:p w:rsidR="0045301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A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A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0A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3531D"/>
    <w:multiLevelType w:val="multilevel"/>
    <w:tmpl w:val="8C38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F4181"/>
    <w:multiLevelType w:val="hybridMultilevel"/>
    <w:tmpl w:val="56F679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4F1EB8"/>
    <w:multiLevelType w:val="hybridMultilevel"/>
    <w:tmpl w:val="7DFCAAE0"/>
    <w:lvl w:ilvl="0">
      <w:start w:val="1"/>
      <w:numFmt w:val="bullet"/>
      <w:lvlText w:val=""/>
      <w:lvlJc w:val="left"/>
      <w:pPr>
        <w:ind w:left="600" w:hanging="360"/>
      </w:pPr>
      <w:rPr>
        <w:rFonts w:ascii="Symbol" w:hAnsi="Symbol" w:hint="default"/>
      </w:rPr>
    </w:lvl>
    <w:lvl w:ilvl="1" w:tentative="1">
      <w:start w:val="1"/>
      <w:numFmt w:val="bullet"/>
      <w:lvlText w:val="o"/>
      <w:lvlJc w:val="left"/>
      <w:pPr>
        <w:ind w:left="1320" w:hanging="360"/>
      </w:pPr>
      <w:rPr>
        <w:rFonts w:ascii="Courier New" w:hAnsi="Courier New" w:cs="Courier New" w:hint="default"/>
      </w:rPr>
    </w:lvl>
    <w:lvl w:ilvl="2" w:tentative="1">
      <w:start w:val="1"/>
      <w:numFmt w:val="bullet"/>
      <w:lvlText w:val=""/>
      <w:lvlJc w:val="left"/>
      <w:pPr>
        <w:ind w:left="2040" w:hanging="360"/>
      </w:pPr>
      <w:rPr>
        <w:rFonts w:ascii="Wingdings" w:hAnsi="Wingdings" w:hint="default"/>
      </w:rPr>
    </w:lvl>
    <w:lvl w:ilvl="3" w:tentative="1">
      <w:start w:val="1"/>
      <w:numFmt w:val="bullet"/>
      <w:lvlText w:val=""/>
      <w:lvlJc w:val="left"/>
      <w:pPr>
        <w:ind w:left="2760" w:hanging="360"/>
      </w:pPr>
      <w:rPr>
        <w:rFonts w:ascii="Symbol" w:hAnsi="Symbol" w:hint="default"/>
      </w:rPr>
    </w:lvl>
    <w:lvl w:ilvl="4" w:tentative="1">
      <w:start w:val="1"/>
      <w:numFmt w:val="bullet"/>
      <w:lvlText w:val="o"/>
      <w:lvlJc w:val="left"/>
      <w:pPr>
        <w:ind w:left="3480" w:hanging="360"/>
      </w:pPr>
      <w:rPr>
        <w:rFonts w:ascii="Courier New" w:hAnsi="Courier New" w:cs="Courier New" w:hint="default"/>
      </w:rPr>
    </w:lvl>
    <w:lvl w:ilvl="5" w:tentative="1">
      <w:start w:val="1"/>
      <w:numFmt w:val="bullet"/>
      <w:lvlText w:val=""/>
      <w:lvlJc w:val="left"/>
      <w:pPr>
        <w:ind w:left="4200" w:hanging="360"/>
      </w:pPr>
      <w:rPr>
        <w:rFonts w:ascii="Wingdings" w:hAnsi="Wingdings" w:hint="default"/>
      </w:rPr>
    </w:lvl>
    <w:lvl w:ilvl="6" w:tentative="1">
      <w:start w:val="1"/>
      <w:numFmt w:val="bullet"/>
      <w:lvlText w:val=""/>
      <w:lvlJc w:val="left"/>
      <w:pPr>
        <w:ind w:left="4920" w:hanging="360"/>
      </w:pPr>
      <w:rPr>
        <w:rFonts w:ascii="Symbol" w:hAnsi="Symbol" w:hint="default"/>
      </w:rPr>
    </w:lvl>
    <w:lvl w:ilvl="7" w:tentative="1">
      <w:start w:val="1"/>
      <w:numFmt w:val="bullet"/>
      <w:lvlText w:val="o"/>
      <w:lvlJc w:val="left"/>
      <w:pPr>
        <w:ind w:left="5640" w:hanging="360"/>
      </w:pPr>
      <w:rPr>
        <w:rFonts w:ascii="Courier New" w:hAnsi="Courier New" w:cs="Courier New" w:hint="default"/>
      </w:rPr>
    </w:lvl>
    <w:lvl w:ilvl="8" w:tentative="1">
      <w:start w:val="1"/>
      <w:numFmt w:val="bullet"/>
      <w:lvlText w:val=""/>
      <w:lvlJc w:val="left"/>
      <w:pPr>
        <w:ind w:left="6360" w:hanging="360"/>
      </w:pPr>
      <w:rPr>
        <w:rFonts w:ascii="Wingdings" w:hAnsi="Wingdings" w:hint="default"/>
      </w:rPr>
    </w:lvl>
  </w:abstractNum>
  <w:abstractNum w:abstractNumId="3">
    <w:nsid w:val="072B2947"/>
    <w:multiLevelType w:val="hybridMultilevel"/>
    <w:tmpl w:val="5E68332A"/>
    <w:lvl w:ilvl="0">
      <w:start w:val="1"/>
      <w:numFmt w:val="bullet"/>
      <w:lvlText w:val="o"/>
      <w:lvlJc w:val="left"/>
      <w:pPr>
        <w:ind w:left="960" w:hanging="360"/>
      </w:pPr>
      <w:rPr>
        <w:rFonts w:ascii="Courier New" w:hAnsi="Courier New" w:cs="Courier New" w:hint="default"/>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4">
    <w:nsid w:val="07417199"/>
    <w:multiLevelType w:val="hybridMultilevel"/>
    <w:tmpl w:val="A4B653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342F46"/>
    <w:multiLevelType w:val="hybridMultilevel"/>
    <w:tmpl w:val="8B68B8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DF5298"/>
    <w:multiLevelType w:val="hybridMultilevel"/>
    <w:tmpl w:val="9482EB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087347"/>
    <w:multiLevelType w:val="hybridMultilevel"/>
    <w:tmpl w:val="86D065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0B51342"/>
    <w:multiLevelType w:val="multilevel"/>
    <w:tmpl w:val="19EC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5057D8"/>
    <w:multiLevelType w:val="hybridMultilevel"/>
    <w:tmpl w:val="975C0C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FE2067"/>
    <w:multiLevelType w:val="hybridMultilevel"/>
    <w:tmpl w:val="A210CC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8C6223F"/>
    <w:multiLevelType w:val="hybridMultilevel"/>
    <w:tmpl w:val="1B4C7E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9CC60F6"/>
    <w:multiLevelType w:val="multilevel"/>
    <w:tmpl w:val="0AE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1E4CEC"/>
    <w:multiLevelType w:val="multilevel"/>
    <w:tmpl w:val="5DFA9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47421F"/>
    <w:multiLevelType w:val="hybridMultilevel"/>
    <w:tmpl w:val="F7DC60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5F5EFD"/>
    <w:multiLevelType w:val="hybridMultilevel"/>
    <w:tmpl w:val="0C322CA4"/>
    <w:lvl w:ilvl="0">
      <w:start w:val="1"/>
      <w:numFmt w:val="bullet"/>
      <w:lvlText w:val=""/>
      <w:lvlJc w:val="left"/>
      <w:pPr>
        <w:ind w:left="600" w:hanging="360"/>
      </w:pPr>
      <w:rPr>
        <w:rFonts w:ascii="Symbol" w:hAnsi="Symbol" w:hint="default"/>
      </w:rPr>
    </w:lvl>
    <w:lvl w:ilvl="1" w:tentative="1">
      <w:start w:val="1"/>
      <w:numFmt w:val="bullet"/>
      <w:lvlText w:val="o"/>
      <w:lvlJc w:val="left"/>
      <w:pPr>
        <w:ind w:left="1320" w:hanging="360"/>
      </w:pPr>
      <w:rPr>
        <w:rFonts w:ascii="Courier New" w:hAnsi="Courier New" w:cs="Courier New" w:hint="default"/>
      </w:rPr>
    </w:lvl>
    <w:lvl w:ilvl="2" w:tentative="1">
      <w:start w:val="1"/>
      <w:numFmt w:val="bullet"/>
      <w:lvlText w:val=""/>
      <w:lvlJc w:val="left"/>
      <w:pPr>
        <w:ind w:left="2040" w:hanging="360"/>
      </w:pPr>
      <w:rPr>
        <w:rFonts w:ascii="Wingdings" w:hAnsi="Wingdings" w:hint="default"/>
      </w:rPr>
    </w:lvl>
    <w:lvl w:ilvl="3" w:tentative="1">
      <w:start w:val="1"/>
      <w:numFmt w:val="bullet"/>
      <w:lvlText w:val=""/>
      <w:lvlJc w:val="left"/>
      <w:pPr>
        <w:ind w:left="2760" w:hanging="360"/>
      </w:pPr>
      <w:rPr>
        <w:rFonts w:ascii="Symbol" w:hAnsi="Symbol" w:hint="default"/>
      </w:rPr>
    </w:lvl>
    <w:lvl w:ilvl="4" w:tentative="1">
      <w:start w:val="1"/>
      <w:numFmt w:val="bullet"/>
      <w:lvlText w:val="o"/>
      <w:lvlJc w:val="left"/>
      <w:pPr>
        <w:ind w:left="3480" w:hanging="360"/>
      </w:pPr>
      <w:rPr>
        <w:rFonts w:ascii="Courier New" w:hAnsi="Courier New" w:cs="Courier New" w:hint="default"/>
      </w:rPr>
    </w:lvl>
    <w:lvl w:ilvl="5" w:tentative="1">
      <w:start w:val="1"/>
      <w:numFmt w:val="bullet"/>
      <w:lvlText w:val=""/>
      <w:lvlJc w:val="left"/>
      <w:pPr>
        <w:ind w:left="4200" w:hanging="360"/>
      </w:pPr>
      <w:rPr>
        <w:rFonts w:ascii="Wingdings" w:hAnsi="Wingdings" w:hint="default"/>
      </w:rPr>
    </w:lvl>
    <w:lvl w:ilvl="6" w:tentative="1">
      <w:start w:val="1"/>
      <w:numFmt w:val="bullet"/>
      <w:lvlText w:val=""/>
      <w:lvlJc w:val="left"/>
      <w:pPr>
        <w:ind w:left="4920" w:hanging="360"/>
      </w:pPr>
      <w:rPr>
        <w:rFonts w:ascii="Symbol" w:hAnsi="Symbol" w:hint="default"/>
      </w:rPr>
    </w:lvl>
    <w:lvl w:ilvl="7" w:tentative="1">
      <w:start w:val="1"/>
      <w:numFmt w:val="bullet"/>
      <w:lvlText w:val="o"/>
      <w:lvlJc w:val="left"/>
      <w:pPr>
        <w:ind w:left="5640" w:hanging="360"/>
      </w:pPr>
      <w:rPr>
        <w:rFonts w:ascii="Courier New" w:hAnsi="Courier New" w:cs="Courier New" w:hint="default"/>
      </w:rPr>
    </w:lvl>
    <w:lvl w:ilvl="8" w:tentative="1">
      <w:start w:val="1"/>
      <w:numFmt w:val="bullet"/>
      <w:lvlText w:val=""/>
      <w:lvlJc w:val="left"/>
      <w:pPr>
        <w:ind w:left="6360" w:hanging="360"/>
      </w:pPr>
      <w:rPr>
        <w:rFonts w:ascii="Wingdings" w:hAnsi="Wingdings" w:hint="default"/>
      </w:rPr>
    </w:lvl>
  </w:abstractNum>
  <w:abstractNum w:abstractNumId="16">
    <w:nsid w:val="22E73148"/>
    <w:multiLevelType w:val="hybridMultilevel"/>
    <w:tmpl w:val="CA0CA5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37921EC"/>
    <w:multiLevelType w:val="hybridMultilevel"/>
    <w:tmpl w:val="111E15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76C11A8"/>
    <w:multiLevelType w:val="multilevel"/>
    <w:tmpl w:val="291E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A100FA"/>
    <w:multiLevelType w:val="hybridMultilevel"/>
    <w:tmpl w:val="3B268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B267FAC"/>
    <w:multiLevelType w:val="hybridMultilevel"/>
    <w:tmpl w:val="65AE2E8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C16093C"/>
    <w:multiLevelType w:val="multilevel"/>
    <w:tmpl w:val="C3EE0D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2D7D4789"/>
    <w:multiLevelType w:val="hybridMultilevel"/>
    <w:tmpl w:val="89EE01C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FB60859"/>
    <w:multiLevelType w:val="hybridMultilevel"/>
    <w:tmpl w:val="991E90CC"/>
    <w:lvl w:ilvl="0">
      <w:start w:val="1"/>
      <w:numFmt w:val="bullet"/>
      <w:lvlText w:val="o"/>
      <w:lvlJc w:val="left"/>
      <w:pPr>
        <w:ind w:left="960" w:hanging="360"/>
      </w:pPr>
      <w:rPr>
        <w:rFonts w:ascii="Courier New" w:hAnsi="Courier New" w:cs="Courier New" w:hint="default"/>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24">
    <w:nsid w:val="32714BC1"/>
    <w:multiLevelType w:val="multilevel"/>
    <w:tmpl w:val="E182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E415C6"/>
    <w:multiLevelType w:val="multilevel"/>
    <w:tmpl w:val="FBF6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6E41B9"/>
    <w:multiLevelType w:val="hybridMultilevel"/>
    <w:tmpl w:val="EF9E1AF8"/>
    <w:lvl w:ilvl="0">
      <w:start w:val="0"/>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B4B643F"/>
    <w:multiLevelType w:val="hybridMultilevel"/>
    <w:tmpl w:val="2BBAF58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B98015B"/>
    <w:multiLevelType w:val="multilevel"/>
    <w:tmpl w:val="672E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BCA03E5"/>
    <w:multiLevelType w:val="hybridMultilevel"/>
    <w:tmpl w:val="1A22CE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50ECE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15B7727"/>
    <w:multiLevelType w:val="hybridMultilevel"/>
    <w:tmpl w:val="CFF6B974"/>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4006768"/>
    <w:multiLevelType w:val="multilevel"/>
    <w:tmpl w:val="86FCFD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4778079A"/>
    <w:multiLevelType w:val="hybridMultilevel"/>
    <w:tmpl w:val="870E8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798575C"/>
    <w:multiLevelType w:val="hybridMultilevel"/>
    <w:tmpl w:val="73982F54"/>
    <w:lvl w:ilvl="0">
      <w:start w:val="9"/>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7C169EB"/>
    <w:multiLevelType w:val="multilevel"/>
    <w:tmpl w:val="3D98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85F1747"/>
    <w:multiLevelType w:val="multilevel"/>
    <w:tmpl w:val="5AE449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489C5809"/>
    <w:multiLevelType w:val="hybridMultilevel"/>
    <w:tmpl w:val="B912936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4EF56603"/>
    <w:multiLevelType w:val="hybridMultilevel"/>
    <w:tmpl w:val="700E64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4FD024B7"/>
    <w:multiLevelType w:val="multilevel"/>
    <w:tmpl w:val="07D6DB60"/>
    <w:lvl w:ilvl="0">
      <w:start w:val="1"/>
      <w:numFmt w:val="bullet"/>
      <w:lvlText w:val="o"/>
      <w:lvlJc w:val="left"/>
      <w:pPr>
        <w:tabs>
          <w:tab w:val="num" w:pos="960"/>
        </w:tabs>
        <w:ind w:left="960" w:hanging="360"/>
      </w:pPr>
      <w:rPr>
        <w:rFonts w:ascii="Courier New" w:hAnsi="Courier New" w:cs="Courier New" w:hint="default"/>
        <w:sz w:val="20"/>
      </w:rPr>
    </w:lvl>
    <w:lvl w:ilvl="1" w:tentative="1">
      <w:start w:val="1"/>
      <w:numFmt w:val="bullet"/>
      <w:lvlText w:val="o"/>
      <w:lvlJc w:val="left"/>
      <w:pPr>
        <w:tabs>
          <w:tab w:val="num" w:pos="1680"/>
        </w:tabs>
        <w:ind w:left="1680" w:hanging="360"/>
      </w:pPr>
      <w:rPr>
        <w:rFonts w:ascii="Courier New" w:hAnsi="Courier New" w:hint="default"/>
        <w:sz w:val="20"/>
      </w:rPr>
    </w:lvl>
    <w:lvl w:ilvl="2" w:tentative="1">
      <w:start w:val="1"/>
      <w:numFmt w:val="bullet"/>
      <w:lvlText w:val=""/>
      <w:lvlJc w:val="left"/>
      <w:pPr>
        <w:tabs>
          <w:tab w:val="num" w:pos="2400"/>
        </w:tabs>
        <w:ind w:left="2400" w:hanging="360"/>
      </w:pPr>
      <w:rPr>
        <w:rFonts w:ascii="Wingdings" w:hAnsi="Wingdings" w:hint="default"/>
        <w:sz w:val="20"/>
      </w:rPr>
    </w:lvl>
    <w:lvl w:ilvl="3" w:tentative="1">
      <w:start w:val="1"/>
      <w:numFmt w:val="bullet"/>
      <w:lvlText w:val=""/>
      <w:lvlJc w:val="left"/>
      <w:pPr>
        <w:tabs>
          <w:tab w:val="num" w:pos="3120"/>
        </w:tabs>
        <w:ind w:left="3120" w:hanging="360"/>
      </w:pPr>
      <w:rPr>
        <w:rFonts w:ascii="Wingdings" w:hAnsi="Wingdings" w:hint="default"/>
        <w:sz w:val="20"/>
      </w:rPr>
    </w:lvl>
    <w:lvl w:ilvl="4" w:tentative="1">
      <w:start w:val="1"/>
      <w:numFmt w:val="bullet"/>
      <w:lvlText w:val=""/>
      <w:lvlJc w:val="left"/>
      <w:pPr>
        <w:tabs>
          <w:tab w:val="num" w:pos="3840"/>
        </w:tabs>
        <w:ind w:left="3840" w:hanging="360"/>
      </w:pPr>
      <w:rPr>
        <w:rFonts w:ascii="Wingdings" w:hAnsi="Wingdings" w:hint="default"/>
        <w:sz w:val="20"/>
      </w:rPr>
    </w:lvl>
    <w:lvl w:ilvl="5" w:tentative="1">
      <w:start w:val="1"/>
      <w:numFmt w:val="bullet"/>
      <w:lvlText w:val=""/>
      <w:lvlJc w:val="left"/>
      <w:pPr>
        <w:tabs>
          <w:tab w:val="num" w:pos="4560"/>
        </w:tabs>
        <w:ind w:left="4560" w:hanging="360"/>
      </w:pPr>
      <w:rPr>
        <w:rFonts w:ascii="Wingdings" w:hAnsi="Wingdings" w:hint="default"/>
        <w:sz w:val="20"/>
      </w:rPr>
    </w:lvl>
    <w:lvl w:ilvl="6" w:tentative="1">
      <w:start w:val="1"/>
      <w:numFmt w:val="bullet"/>
      <w:lvlText w:val=""/>
      <w:lvlJc w:val="left"/>
      <w:pPr>
        <w:tabs>
          <w:tab w:val="num" w:pos="5280"/>
        </w:tabs>
        <w:ind w:left="5280" w:hanging="360"/>
      </w:pPr>
      <w:rPr>
        <w:rFonts w:ascii="Wingdings" w:hAnsi="Wingdings" w:hint="default"/>
        <w:sz w:val="20"/>
      </w:rPr>
    </w:lvl>
    <w:lvl w:ilvl="7" w:tentative="1">
      <w:start w:val="1"/>
      <w:numFmt w:val="bullet"/>
      <w:lvlText w:val=""/>
      <w:lvlJc w:val="left"/>
      <w:pPr>
        <w:tabs>
          <w:tab w:val="num" w:pos="6000"/>
        </w:tabs>
        <w:ind w:left="6000" w:hanging="360"/>
      </w:pPr>
      <w:rPr>
        <w:rFonts w:ascii="Wingdings" w:hAnsi="Wingdings" w:hint="default"/>
        <w:sz w:val="20"/>
      </w:rPr>
    </w:lvl>
    <w:lvl w:ilvl="8" w:tentative="1">
      <w:start w:val="1"/>
      <w:numFmt w:val="bullet"/>
      <w:lvlText w:val=""/>
      <w:lvlJc w:val="left"/>
      <w:pPr>
        <w:tabs>
          <w:tab w:val="num" w:pos="6720"/>
        </w:tabs>
        <w:ind w:left="6720" w:hanging="360"/>
      </w:pPr>
      <w:rPr>
        <w:rFonts w:ascii="Wingdings" w:hAnsi="Wingdings" w:hint="default"/>
        <w:sz w:val="20"/>
      </w:rPr>
    </w:lvl>
  </w:abstractNum>
  <w:abstractNum w:abstractNumId="40">
    <w:nsid w:val="5041034A"/>
    <w:multiLevelType w:val="hybridMultilevel"/>
    <w:tmpl w:val="A8B00E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0940D8E"/>
    <w:multiLevelType w:val="hybridMultilevel"/>
    <w:tmpl w:val="53F42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1306E00"/>
    <w:multiLevelType w:val="hybridMultilevel"/>
    <w:tmpl w:val="6A92E3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1FD149F"/>
    <w:multiLevelType w:val="multilevel"/>
    <w:tmpl w:val="7C1812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39A751C"/>
    <w:multiLevelType w:val="multilevel"/>
    <w:tmpl w:val="E3105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4A21FF2"/>
    <w:multiLevelType w:val="multilevel"/>
    <w:tmpl w:val="5C9C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8F32C5B"/>
    <w:multiLevelType w:val="multilevel"/>
    <w:tmpl w:val="D98425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59C6455C"/>
    <w:multiLevelType w:val="hybridMultilevel"/>
    <w:tmpl w:val="3D9CE8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5B330C04"/>
    <w:multiLevelType w:val="hybridMultilevel"/>
    <w:tmpl w:val="3B94077A"/>
    <w:lvl w:ilvl="0">
      <w:start w:val="1"/>
      <w:numFmt w:val="bullet"/>
      <w:lvlText w:val="o"/>
      <w:lvlJc w:val="left"/>
      <w:pPr>
        <w:ind w:left="1320" w:hanging="360"/>
      </w:pPr>
      <w:rPr>
        <w:rFonts w:ascii="Courier New" w:hAnsi="Courier New" w:cs="Courier New"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49">
    <w:nsid w:val="602775F7"/>
    <w:multiLevelType w:val="hybridMultilevel"/>
    <w:tmpl w:val="866669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70F043F"/>
    <w:multiLevelType w:val="multilevel"/>
    <w:tmpl w:val="0D8E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67B84C57"/>
    <w:multiLevelType w:val="multilevel"/>
    <w:tmpl w:val="F06C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D616DDB"/>
    <w:multiLevelType w:val="hybridMultilevel"/>
    <w:tmpl w:val="6C4E6F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1313299"/>
    <w:multiLevelType w:val="hybridMultilevel"/>
    <w:tmpl w:val="C4964548"/>
    <w:lvl w:ilvl="0">
      <w:start w:val="1"/>
      <w:numFmt w:val="bullet"/>
      <w:lvlText w:val="o"/>
      <w:lvlJc w:val="left"/>
      <w:pPr>
        <w:ind w:left="960" w:hanging="360"/>
      </w:pPr>
      <w:rPr>
        <w:rFonts w:ascii="Courier New" w:hAnsi="Courier New" w:cs="Courier New" w:hint="default"/>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54">
    <w:nsid w:val="74507FF5"/>
    <w:multiLevelType w:val="hybridMultilevel"/>
    <w:tmpl w:val="6E3C7A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4"/>
  </w:num>
  <w:num w:numId="4">
    <w:abstractNumId w:val="30"/>
  </w:num>
  <w:num w:numId="5">
    <w:abstractNumId w:val="7"/>
  </w:num>
  <w:num w:numId="6">
    <w:abstractNumId w:val="34"/>
  </w:num>
  <w:num w:numId="7">
    <w:abstractNumId w:val="38"/>
  </w:num>
  <w:num w:numId="8">
    <w:abstractNumId w:val="41"/>
  </w:num>
  <w:num w:numId="9">
    <w:abstractNumId w:val="11"/>
  </w:num>
  <w:num w:numId="10">
    <w:abstractNumId w:val="15"/>
  </w:num>
  <w:num w:numId="11">
    <w:abstractNumId w:val="40"/>
  </w:num>
  <w:num w:numId="12">
    <w:abstractNumId w:val="2"/>
  </w:num>
  <w:num w:numId="13">
    <w:abstractNumId w:val="48"/>
  </w:num>
  <w:num w:numId="14">
    <w:abstractNumId w:val="3"/>
  </w:num>
  <w:num w:numId="15">
    <w:abstractNumId w:val="53"/>
  </w:num>
  <w:num w:numId="16">
    <w:abstractNumId w:val="23"/>
  </w:num>
  <w:num w:numId="17">
    <w:abstractNumId w:val="37"/>
  </w:num>
  <w:num w:numId="18">
    <w:abstractNumId w:val="39"/>
  </w:num>
  <w:num w:numId="19">
    <w:abstractNumId w:val="1"/>
  </w:num>
  <w:num w:numId="20">
    <w:abstractNumId w:val="25"/>
  </w:num>
  <w:num w:numId="21">
    <w:abstractNumId w:val="44"/>
  </w:num>
  <w:num w:numId="22">
    <w:abstractNumId w:val="18"/>
  </w:num>
  <w:num w:numId="23">
    <w:abstractNumId w:val="13"/>
  </w:num>
  <w:num w:numId="24">
    <w:abstractNumId w:val="12"/>
  </w:num>
  <w:num w:numId="25">
    <w:abstractNumId w:val="8"/>
  </w:num>
  <w:num w:numId="26">
    <w:abstractNumId w:val="0"/>
  </w:num>
  <w:num w:numId="27">
    <w:abstractNumId w:val="17"/>
  </w:num>
  <w:num w:numId="28">
    <w:abstractNumId w:val="10"/>
  </w:num>
  <w:num w:numId="29">
    <w:abstractNumId w:val="26"/>
  </w:num>
  <w:num w:numId="30">
    <w:abstractNumId w:val="50"/>
  </w:num>
  <w:num w:numId="31">
    <w:abstractNumId w:val="36"/>
  </w:num>
  <w:num w:numId="32">
    <w:abstractNumId w:val="21"/>
  </w:num>
  <w:num w:numId="33">
    <w:abstractNumId w:val="46"/>
  </w:num>
  <w:num w:numId="34">
    <w:abstractNumId w:val="35"/>
  </w:num>
  <w:num w:numId="35">
    <w:abstractNumId w:val="32"/>
  </w:num>
  <w:num w:numId="36">
    <w:abstractNumId w:val="43"/>
  </w:num>
  <w:num w:numId="37">
    <w:abstractNumId w:val="51"/>
  </w:num>
  <w:num w:numId="38">
    <w:abstractNumId w:val="28"/>
  </w:num>
  <w:num w:numId="39">
    <w:abstractNumId w:val="45"/>
  </w:num>
  <w:num w:numId="40">
    <w:abstractNumId w:val="6"/>
  </w:num>
  <w:num w:numId="41">
    <w:abstractNumId w:val="9"/>
  </w:num>
  <w:num w:numId="42">
    <w:abstractNumId w:val="5"/>
  </w:num>
  <w:num w:numId="43">
    <w:abstractNumId w:val="19"/>
  </w:num>
  <w:num w:numId="44">
    <w:abstractNumId w:val="47"/>
  </w:num>
  <w:num w:numId="45">
    <w:abstractNumId w:val="24"/>
  </w:num>
  <w:num w:numId="46">
    <w:abstractNumId w:val="54"/>
  </w:num>
  <w:num w:numId="47">
    <w:abstractNumId w:val="42"/>
  </w:num>
  <w:num w:numId="48">
    <w:abstractNumId w:val="33"/>
  </w:num>
  <w:num w:numId="49">
    <w:abstractNumId w:val="49"/>
  </w:num>
  <w:num w:numId="50">
    <w:abstractNumId w:val="16"/>
  </w:num>
  <w:num w:numId="51">
    <w:abstractNumId w:val="52"/>
  </w:num>
  <w:num w:numId="52">
    <w:abstractNumId w:val="29"/>
  </w:num>
  <w:num w:numId="53">
    <w:abstractNumId w:val="22"/>
  </w:num>
  <w:num w:numId="54">
    <w:abstractNumId w:val="20"/>
  </w:num>
  <w:num w:numId="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17564A5-74AF-49F8-97AF-B383ABEF1739}"/>
    <w:docVar w:name="dgnword-eventsink" w:val="2658066303792"/>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478C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9478C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478C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478C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478C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47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8C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9478C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478C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478C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478C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47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8CF"/>
    <w:rPr>
      <w:rFonts w:eastAsiaTheme="majorEastAsia" w:cstheme="majorBidi"/>
      <w:color w:val="272727" w:themeColor="text1" w:themeTint="D8"/>
    </w:rPr>
  </w:style>
  <w:style w:type="paragraph" w:styleId="Title">
    <w:name w:val="Title"/>
    <w:basedOn w:val="Normal"/>
    <w:next w:val="Normal"/>
    <w:link w:val="TitleChar"/>
    <w:uiPriority w:val="10"/>
    <w:qFormat/>
    <w:rsid w:val="00947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8CF"/>
    <w:pPr>
      <w:spacing w:before="160"/>
      <w:jc w:val="center"/>
    </w:pPr>
    <w:rPr>
      <w:i/>
      <w:iCs/>
      <w:color w:val="404040" w:themeColor="text1" w:themeTint="BF"/>
    </w:rPr>
  </w:style>
  <w:style w:type="character" w:customStyle="1" w:styleId="QuoteChar">
    <w:name w:val="Quote Char"/>
    <w:basedOn w:val="DefaultParagraphFont"/>
    <w:link w:val="Quote"/>
    <w:uiPriority w:val="29"/>
    <w:rsid w:val="009478CF"/>
    <w:rPr>
      <w:i/>
      <w:iCs/>
      <w:color w:val="404040" w:themeColor="text1" w:themeTint="BF"/>
    </w:rPr>
  </w:style>
  <w:style w:type="paragraph" w:styleId="ListParagraph">
    <w:name w:val="List Paragraph"/>
    <w:basedOn w:val="Normal"/>
    <w:uiPriority w:val="34"/>
    <w:qFormat/>
    <w:rsid w:val="009478CF"/>
    <w:pPr>
      <w:ind w:left="720"/>
      <w:contextualSpacing/>
    </w:pPr>
  </w:style>
  <w:style w:type="character" w:styleId="IntenseEmphasis">
    <w:name w:val="Intense Emphasis"/>
    <w:basedOn w:val="DefaultParagraphFont"/>
    <w:uiPriority w:val="21"/>
    <w:qFormat/>
    <w:rsid w:val="009478CF"/>
    <w:rPr>
      <w:i/>
      <w:iCs/>
      <w:color w:val="365F91" w:themeColor="accent1" w:themeShade="BF"/>
    </w:rPr>
  </w:style>
  <w:style w:type="paragraph" w:styleId="IntenseQuote">
    <w:name w:val="Intense Quote"/>
    <w:basedOn w:val="Normal"/>
    <w:next w:val="Normal"/>
    <w:link w:val="IntenseQuoteChar"/>
    <w:uiPriority w:val="30"/>
    <w:qFormat/>
    <w:rsid w:val="009478C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478CF"/>
    <w:rPr>
      <w:i/>
      <w:iCs/>
      <w:color w:val="365F91" w:themeColor="accent1" w:themeShade="BF"/>
    </w:rPr>
  </w:style>
  <w:style w:type="character" w:styleId="IntenseReference">
    <w:name w:val="Intense Reference"/>
    <w:basedOn w:val="DefaultParagraphFont"/>
    <w:uiPriority w:val="32"/>
    <w:qFormat/>
    <w:rsid w:val="009478CF"/>
    <w:rPr>
      <w:b/>
      <w:bCs/>
      <w:smallCaps/>
      <w:color w:val="365F91" w:themeColor="accent1" w:themeShade="BF"/>
      <w:spacing w:val="5"/>
    </w:rPr>
  </w:style>
  <w:style w:type="character" w:styleId="Hyperlink">
    <w:name w:val="Hyperlink"/>
    <w:basedOn w:val="DefaultParagraphFont"/>
    <w:uiPriority w:val="99"/>
    <w:unhideWhenUsed/>
    <w:rsid w:val="002B7DE6"/>
    <w:rPr>
      <w:color w:val="0000FF" w:themeColor="hyperlink"/>
      <w:u w:val="single"/>
    </w:rPr>
  </w:style>
  <w:style w:type="character" w:customStyle="1" w:styleId="UnresolvedMention">
    <w:name w:val="Unresolved Mention"/>
    <w:basedOn w:val="DefaultParagraphFont"/>
    <w:uiPriority w:val="99"/>
    <w:semiHidden/>
    <w:unhideWhenUsed/>
    <w:rsid w:val="002B7DE6"/>
    <w:rPr>
      <w:color w:val="605E5C"/>
      <w:shd w:val="clear" w:color="auto" w:fill="E1DFDD"/>
    </w:rPr>
  </w:style>
  <w:style w:type="character" w:styleId="CommentReference">
    <w:name w:val="annotation reference"/>
    <w:basedOn w:val="DefaultParagraphFont"/>
    <w:uiPriority w:val="99"/>
    <w:semiHidden/>
    <w:unhideWhenUsed/>
    <w:rsid w:val="005F5328"/>
    <w:rPr>
      <w:sz w:val="16"/>
      <w:szCs w:val="16"/>
    </w:rPr>
  </w:style>
  <w:style w:type="paragraph" w:styleId="CommentText">
    <w:name w:val="annotation text"/>
    <w:basedOn w:val="Normal"/>
    <w:link w:val="CommentTextChar"/>
    <w:uiPriority w:val="99"/>
    <w:unhideWhenUsed/>
    <w:rsid w:val="005F5328"/>
    <w:pPr>
      <w:spacing w:line="240" w:lineRule="auto"/>
    </w:pPr>
    <w:rPr>
      <w:sz w:val="20"/>
      <w:szCs w:val="20"/>
    </w:rPr>
  </w:style>
  <w:style w:type="character" w:customStyle="1" w:styleId="CommentTextChar">
    <w:name w:val="Comment Text Char"/>
    <w:basedOn w:val="DefaultParagraphFont"/>
    <w:link w:val="CommentText"/>
    <w:uiPriority w:val="99"/>
    <w:rsid w:val="005F5328"/>
    <w:rPr>
      <w:sz w:val="20"/>
      <w:szCs w:val="20"/>
    </w:rPr>
  </w:style>
  <w:style w:type="paragraph" w:styleId="CommentSubject">
    <w:name w:val="annotation subject"/>
    <w:basedOn w:val="CommentText"/>
    <w:next w:val="CommentText"/>
    <w:link w:val="CommentSubjectChar"/>
    <w:uiPriority w:val="99"/>
    <w:semiHidden/>
    <w:unhideWhenUsed/>
    <w:rsid w:val="005F5328"/>
    <w:rPr>
      <w:b/>
      <w:bCs/>
    </w:rPr>
  </w:style>
  <w:style w:type="character" w:customStyle="1" w:styleId="CommentSubjectChar">
    <w:name w:val="Comment Subject Char"/>
    <w:basedOn w:val="CommentTextChar"/>
    <w:link w:val="CommentSubject"/>
    <w:uiPriority w:val="99"/>
    <w:semiHidden/>
    <w:rsid w:val="005F5328"/>
    <w:rPr>
      <w:b/>
      <w:bCs/>
      <w:sz w:val="20"/>
      <w:szCs w:val="20"/>
    </w:rPr>
  </w:style>
  <w:style w:type="paragraph" w:styleId="FootnoteText">
    <w:name w:val="footnote text"/>
    <w:basedOn w:val="Normal"/>
    <w:link w:val="FootnoteTextChar"/>
    <w:uiPriority w:val="99"/>
    <w:semiHidden/>
    <w:unhideWhenUsed/>
    <w:rsid w:val="00B118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1851"/>
    <w:rPr>
      <w:sz w:val="20"/>
      <w:szCs w:val="20"/>
    </w:rPr>
  </w:style>
  <w:style w:type="character" w:styleId="FootnoteReference">
    <w:name w:val="footnote reference"/>
    <w:basedOn w:val="DefaultParagraphFont"/>
    <w:uiPriority w:val="99"/>
    <w:semiHidden/>
    <w:unhideWhenUsed/>
    <w:rsid w:val="00B11851"/>
    <w:rPr>
      <w:vertAlign w:val="superscript"/>
    </w:rPr>
  </w:style>
  <w:style w:type="character" w:styleId="FollowedHyperlink">
    <w:name w:val="FollowedHyperlink"/>
    <w:basedOn w:val="DefaultParagraphFont"/>
    <w:uiPriority w:val="99"/>
    <w:semiHidden/>
    <w:unhideWhenUsed/>
    <w:rsid w:val="002A15BA"/>
    <w:rPr>
      <w:color w:val="800080" w:themeColor="followedHyperlink"/>
      <w:u w:val="single"/>
    </w:rPr>
  </w:style>
  <w:style w:type="paragraph" w:styleId="EndnoteText">
    <w:name w:val="endnote text"/>
    <w:basedOn w:val="Normal"/>
    <w:link w:val="EndnoteTextChar"/>
    <w:uiPriority w:val="99"/>
    <w:semiHidden/>
    <w:unhideWhenUsed/>
    <w:rsid w:val="001C6C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6C82"/>
    <w:rPr>
      <w:sz w:val="20"/>
      <w:szCs w:val="20"/>
    </w:rPr>
  </w:style>
  <w:style w:type="character" w:styleId="EndnoteReference">
    <w:name w:val="endnote reference"/>
    <w:basedOn w:val="DefaultParagraphFont"/>
    <w:uiPriority w:val="99"/>
    <w:semiHidden/>
    <w:unhideWhenUsed/>
    <w:rsid w:val="001C6C82"/>
    <w:rPr>
      <w:vertAlign w:val="superscript"/>
    </w:rPr>
  </w:style>
  <w:style w:type="paragraph" w:styleId="NormalWeb">
    <w:name w:val="Normal (Web)"/>
    <w:basedOn w:val="Normal"/>
    <w:uiPriority w:val="99"/>
    <w:unhideWhenUsed/>
    <w:rsid w:val="008B0F89"/>
    <w:pPr>
      <w:spacing w:before="100" w:beforeAutospacing="1" w:after="100" w:afterAutospacing="1" w:line="240" w:lineRule="auto"/>
    </w:pPr>
    <w:rPr>
      <w:rFonts w:ascii="Times New Roman" w:eastAsia="Times New Roman" w:hAnsi="Times New Roman" w:cs="Times New Roman"/>
      <w:kern w:val="0"/>
      <w:lang w:eastAsia="en-GB"/>
    </w:rPr>
  </w:style>
  <w:style w:type="character" w:styleId="Strong">
    <w:name w:val="Strong"/>
    <w:basedOn w:val="DefaultParagraphFont"/>
    <w:uiPriority w:val="22"/>
    <w:qFormat/>
    <w:rsid w:val="001E5129"/>
    <w:rPr>
      <w:b/>
      <w:bCs/>
    </w:rPr>
  </w:style>
  <w:style w:type="paragraph" w:styleId="Revision">
    <w:name w:val="Revision"/>
    <w:hidden/>
    <w:uiPriority w:val="99"/>
    <w:semiHidden/>
    <w:rsid w:val="00DE011F"/>
    <w:pPr>
      <w:spacing w:after="0" w:line="240" w:lineRule="auto"/>
    </w:pPr>
  </w:style>
  <w:style w:type="paragraph" w:styleId="Header">
    <w:name w:val="header"/>
    <w:basedOn w:val="Normal"/>
    <w:link w:val="HeaderChar"/>
    <w:uiPriority w:val="99"/>
    <w:unhideWhenUsed/>
    <w:rsid w:val="004815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5C7"/>
  </w:style>
  <w:style w:type="paragraph" w:styleId="Footer">
    <w:name w:val="footer"/>
    <w:basedOn w:val="Normal"/>
    <w:link w:val="FooterChar"/>
    <w:uiPriority w:val="99"/>
    <w:unhideWhenUsed/>
    <w:rsid w:val="004815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chart" Target="charts/chart1.xml" /><Relationship Id="rId8" Type="http://schemas.openxmlformats.org/officeDocument/2006/relationships/chart" Target="charts/chart2.xml" /><Relationship Id="rId9" Type="http://schemas.openxmlformats.org/officeDocument/2006/relationships/header" Target="header1.xml" /></Relationships>
</file>

<file path=word/charts/_rels/chart1.xml.rels>&#65279;<?xml version="1.0" encoding="utf-8" standalone="yes"?><Relationships xmlns="http://schemas.openxmlformats.org/package/2006/relationships"><Relationship Id="rId1" Type="http://schemas.openxmlformats.org/officeDocument/2006/relationships/oleObject" Target="https://unicefuk-my.sharepoint.com/personal/saskiaj_unicef_org_uk/Documents/Vaccination/graphs.xlsx" TargetMode="External" /></Relationships>
</file>

<file path=word/charts/_rels/chart2.xml.rels>&#65279;<?xml version="1.0" encoding="utf-8" standalone="yes"?><Relationships xmlns="http://schemas.openxmlformats.org/package/2006/relationships"><Relationship Id="rId1" Type="http://schemas.openxmlformats.org/officeDocument/2006/relationships/oleObject" Target="Book1"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t>Vaccine</a:t>
            </a:r>
            <a:r>
              <a:rPr lang="en-GB" sz="1200" baseline="0"/>
              <a:t> uptake by Local Authorities' level of deprivation (IMD)</a:t>
            </a:r>
            <a:endParaRPr lang="en-GB"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Sheet1!$A$37</c:f>
              <c:strCache>
                <c:ptCount val="1"/>
                <c:pt idx="0">
                  <c:v>1st Quintile  (least deprived areas)</c:v>
                </c:pt>
              </c:strCache>
            </c:strRef>
          </c:tx>
          <c:spPr>
            <a:solidFill>
              <a:schemeClr val="accent2">
                <a:tint val="54000"/>
              </a:schemeClr>
            </a:solidFill>
            <a:ln>
              <a:noFill/>
            </a:ln>
            <a:effectLst/>
          </c:spPr>
          <c:invertIfNegative val="0"/>
          <c:cat>
            <c:strRef>
              <c:f>Sheet1!$B$36:$F$36</c:f>
              <c:strCache>
                <c:ptCount val="5"/>
                <c:pt idx="0">
                  <c:v>DTaP/IPV/Hib/HepB</c:v>
                </c:pt>
                <c:pt idx="1">
                  <c:v>MMR1</c:v>
                </c:pt>
                <c:pt idx="2">
                  <c:v>DTaP/IPV booster</c:v>
                </c:pt>
                <c:pt idx="3">
                  <c:v>Hib/MenC booster</c:v>
                </c:pt>
                <c:pt idx="4">
                  <c:v>MMR2</c:v>
                </c:pt>
              </c:strCache>
            </c:strRef>
          </c:cat>
          <c:val>
            <c:numRef>
              <c:f>Sheet1!$B$37:$F$37</c:f>
              <c:numCache>
                <c:formatCode>0.00%</c:formatCode>
                <c:ptCount val="5"/>
                <c:pt idx="0">
                  <c:v>0.94730000000000003</c:v>
                </c:pt>
                <c:pt idx="1">
                  <c:v>0.94110000000000005</c:v>
                </c:pt>
                <c:pt idx="2">
                  <c:v>0.85619999999999996</c:v>
                </c:pt>
                <c:pt idx="3">
                  <c:v>0.91900000000000004</c:v>
                </c:pt>
                <c:pt idx="4">
                  <c:v>0.87809999999999999</c:v>
                </c:pt>
              </c:numCache>
            </c:numRef>
          </c:val>
          <c:extLst>
            <c:ext xmlns:c16="http://schemas.microsoft.com/office/drawing/2014/chart" uri="{C3380CC4-5D6E-409C-BE32-E72D297353CC}">
              <c16:uniqueId val="{00000000-DE88-4584-97BF-68731F5EDCC8}"/>
            </c:ext>
          </c:extLst>
        </c:ser>
        <c:ser>
          <c:idx val="1"/>
          <c:order val="1"/>
          <c:tx>
            <c:strRef>
              <c:f>Sheet1!$A$38</c:f>
              <c:strCache>
                <c:ptCount val="1"/>
                <c:pt idx="0">
                  <c:v>2nd Quintile</c:v>
                </c:pt>
              </c:strCache>
            </c:strRef>
          </c:tx>
          <c:spPr>
            <a:solidFill>
              <a:schemeClr val="accent2">
                <a:tint val="77000"/>
              </a:schemeClr>
            </a:solidFill>
            <a:ln>
              <a:noFill/>
            </a:ln>
            <a:effectLst/>
          </c:spPr>
          <c:invertIfNegative val="0"/>
          <c:cat>
            <c:strRef>
              <c:f>Sheet1!$B$36:$F$36</c:f>
              <c:strCache>
                <c:ptCount val="5"/>
                <c:pt idx="0">
                  <c:v>DTaP/IPV/Hib/HepB</c:v>
                </c:pt>
                <c:pt idx="1">
                  <c:v>MMR1</c:v>
                </c:pt>
                <c:pt idx="2">
                  <c:v>DTaP/IPV booster</c:v>
                </c:pt>
                <c:pt idx="3">
                  <c:v>Hib/MenC booster</c:v>
                </c:pt>
                <c:pt idx="4">
                  <c:v>MMR2</c:v>
                </c:pt>
              </c:strCache>
            </c:strRef>
          </c:cat>
          <c:val>
            <c:numRef>
              <c:f>Sheet1!$B$38:$F$38</c:f>
              <c:numCache>
                <c:formatCode>0.00%</c:formatCode>
                <c:ptCount val="5"/>
                <c:pt idx="0">
                  <c:v>0.94020000000000004</c:v>
                </c:pt>
                <c:pt idx="1">
                  <c:v>0.93169999999999997</c:v>
                </c:pt>
                <c:pt idx="2">
                  <c:v>0.8427</c:v>
                </c:pt>
                <c:pt idx="3">
                  <c:v>0.90590000000000004</c:v>
                </c:pt>
                <c:pt idx="4">
                  <c:v>0.86219999999999997</c:v>
                </c:pt>
              </c:numCache>
            </c:numRef>
          </c:val>
          <c:extLst>
            <c:ext xmlns:c16="http://schemas.microsoft.com/office/drawing/2014/chart" uri="{C3380CC4-5D6E-409C-BE32-E72D297353CC}">
              <c16:uniqueId val="{00000001-DE88-4584-97BF-68731F5EDCC8}"/>
            </c:ext>
          </c:extLst>
        </c:ser>
        <c:ser>
          <c:idx val="2"/>
          <c:order val="2"/>
          <c:tx>
            <c:strRef>
              <c:f>Sheet1!$A$39</c:f>
              <c:strCache>
                <c:ptCount val="1"/>
                <c:pt idx="0">
                  <c:v>3rd Quintile</c:v>
                </c:pt>
              </c:strCache>
            </c:strRef>
          </c:tx>
          <c:spPr>
            <a:solidFill>
              <a:schemeClr val="accent2"/>
            </a:solidFill>
            <a:ln>
              <a:noFill/>
            </a:ln>
            <a:effectLst/>
          </c:spPr>
          <c:invertIfNegative val="0"/>
          <c:cat>
            <c:strRef>
              <c:f>Sheet1!$B$36:$F$36</c:f>
              <c:strCache>
                <c:ptCount val="5"/>
                <c:pt idx="0">
                  <c:v>DTaP/IPV/Hib/HepB</c:v>
                </c:pt>
                <c:pt idx="1">
                  <c:v>MMR1</c:v>
                </c:pt>
                <c:pt idx="2">
                  <c:v>DTaP/IPV booster</c:v>
                </c:pt>
                <c:pt idx="3">
                  <c:v>Hib/MenC booster</c:v>
                </c:pt>
                <c:pt idx="4">
                  <c:v>MMR2</c:v>
                </c:pt>
              </c:strCache>
            </c:strRef>
          </c:cat>
          <c:val>
            <c:numRef>
              <c:f>Sheet1!$B$39:$F$39</c:f>
              <c:numCache>
                <c:formatCode>0.00%</c:formatCode>
                <c:ptCount val="5"/>
                <c:pt idx="0">
                  <c:v>0.92200000000000004</c:v>
                </c:pt>
                <c:pt idx="1">
                  <c:v>0.91210000000000002</c:v>
                </c:pt>
                <c:pt idx="2">
                  <c:v>0.79779999999999995</c:v>
                </c:pt>
                <c:pt idx="3">
                  <c:v>0.878</c:v>
                </c:pt>
                <c:pt idx="4">
                  <c:v>0.82289999999999996</c:v>
                </c:pt>
              </c:numCache>
            </c:numRef>
          </c:val>
          <c:extLst>
            <c:ext xmlns:c16="http://schemas.microsoft.com/office/drawing/2014/chart" uri="{C3380CC4-5D6E-409C-BE32-E72D297353CC}">
              <c16:uniqueId val="{00000002-DE88-4584-97BF-68731F5EDCC8}"/>
            </c:ext>
          </c:extLst>
        </c:ser>
        <c:ser>
          <c:idx val="3"/>
          <c:order val="3"/>
          <c:tx>
            <c:strRef>
              <c:f>Sheet1!$A$40</c:f>
              <c:strCache>
                <c:ptCount val="1"/>
                <c:pt idx="0">
                  <c:v>4th Quintile</c:v>
                </c:pt>
              </c:strCache>
            </c:strRef>
          </c:tx>
          <c:spPr>
            <a:solidFill>
              <a:schemeClr val="accent2">
                <a:shade val="76000"/>
              </a:schemeClr>
            </a:solidFill>
            <a:ln>
              <a:noFill/>
            </a:ln>
            <a:effectLst/>
          </c:spPr>
          <c:invertIfNegative val="0"/>
          <c:cat>
            <c:strRef>
              <c:f>Sheet1!$B$36:$F$36</c:f>
              <c:strCache>
                <c:ptCount val="5"/>
                <c:pt idx="0">
                  <c:v>DTaP/IPV/Hib/HepB</c:v>
                </c:pt>
                <c:pt idx="1">
                  <c:v>MMR1</c:v>
                </c:pt>
                <c:pt idx="2">
                  <c:v>DTaP/IPV booster</c:v>
                </c:pt>
                <c:pt idx="3">
                  <c:v>Hib/MenC booster</c:v>
                </c:pt>
                <c:pt idx="4">
                  <c:v>MMR2</c:v>
                </c:pt>
              </c:strCache>
            </c:strRef>
          </c:cat>
          <c:val>
            <c:numRef>
              <c:f>Sheet1!$B$40:$F$40</c:f>
              <c:numCache>
                <c:formatCode>0.00%</c:formatCode>
                <c:ptCount val="5"/>
                <c:pt idx="0">
                  <c:v>0.92069999999999996</c:v>
                </c:pt>
                <c:pt idx="1">
                  <c:v>0.91169999999999995</c:v>
                </c:pt>
                <c:pt idx="2">
                  <c:v>0.79139999999999999</c:v>
                </c:pt>
                <c:pt idx="3">
                  <c:v>0.87090000000000001</c:v>
                </c:pt>
                <c:pt idx="4">
                  <c:v>0.82140000000000002</c:v>
                </c:pt>
              </c:numCache>
            </c:numRef>
          </c:val>
          <c:extLst>
            <c:ext xmlns:c16="http://schemas.microsoft.com/office/drawing/2014/chart" uri="{C3380CC4-5D6E-409C-BE32-E72D297353CC}">
              <c16:uniqueId val="{00000003-DE88-4584-97BF-68731F5EDCC8}"/>
            </c:ext>
          </c:extLst>
        </c:ser>
        <c:ser>
          <c:idx val="4"/>
          <c:order val="4"/>
          <c:tx>
            <c:strRef>
              <c:f>Sheet1!$A$41</c:f>
              <c:strCache>
                <c:ptCount val="1"/>
                <c:pt idx="0">
                  <c:v>5th Quintile (most deprived areas)</c:v>
                </c:pt>
              </c:strCache>
            </c:strRef>
          </c:tx>
          <c:spPr>
            <a:solidFill>
              <a:schemeClr val="accent2">
                <a:shade val="53000"/>
              </a:schemeClr>
            </a:solidFill>
            <a:ln>
              <a:noFill/>
            </a:ln>
            <a:effectLst/>
          </c:spPr>
          <c:invertIfNegative val="0"/>
          <c:cat>
            <c:strRef>
              <c:f>Sheet1!$B$36:$F$36</c:f>
              <c:strCache>
                <c:ptCount val="5"/>
                <c:pt idx="0">
                  <c:v>DTaP/IPV/Hib/HepB</c:v>
                </c:pt>
                <c:pt idx="1">
                  <c:v>MMR1</c:v>
                </c:pt>
                <c:pt idx="2">
                  <c:v>DTaP/IPV booster</c:v>
                </c:pt>
                <c:pt idx="3">
                  <c:v>Hib/MenC booster</c:v>
                </c:pt>
                <c:pt idx="4">
                  <c:v>MMR2</c:v>
                </c:pt>
              </c:strCache>
            </c:strRef>
          </c:cat>
          <c:val>
            <c:numRef>
              <c:f>Sheet1!$B$41:$F$41</c:f>
              <c:numCache>
                <c:formatCode>0.00%</c:formatCode>
                <c:ptCount val="5"/>
                <c:pt idx="0">
                  <c:v>0.90029999999999999</c:v>
                </c:pt>
                <c:pt idx="1">
                  <c:v>0.88680000000000003</c:v>
                </c:pt>
                <c:pt idx="2">
                  <c:v>0.75900000000000001</c:v>
                </c:pt>
                <c:pt idx="3">
                  <c:v>0.85870000000000002</c:v>
                </c:pt>
                <c:pt idx="4">
                  <c:v>0.78320000000000001</c:v>
                </c:pt>
              </c:numCache>
            </c:numRef>
          </c:val>
          <c:extLst>
            <c:ext xmlns:c16="http://schemas.microsoft.com/office/drawing/2014/chart" uri="{C3380CC4-5D6E-409C-BE32-E72D297353CC}">
              <c16:uniqueId val="{00000004-DE88-4584-97BF-68731F5EDCC8}"/>
            </c:ext>
          </c:extLst>
        </c:ser>
        <c:dLbls>
          <c:showLegendKey val="0"/>
          <c:showVal val="0"/>
          <c:showCatName val="0"/>
          <c:showSerName val="0"/>
          <c:showPercent val="0"/>
          <c:showBubbleSize val="0"/>
        </c:dLbls>
        <c:gapWidth val="219"/>
        <c:overlap val="-27"/>
        <c:axId val="1094180928"/>
        <c:axId val="1094182368"/>
      </c:barChart>
      <c:catAx>
        <c:axId val="109418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182368"/>
        <c:crosses val="autoZero"/>
        <c:auto val="1"/>
        <c:lblAlgn val="ctr"/>
        <c:lblOffset val="100"/>
        <c:noMultiLvlLbl val="0"/>
      </c:catAx>
      <c:valAx>
        <c:axId val="1094182368"/>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18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t>Vaccine uptake</a:t>
            </a:r>
            <a:r>
              <a:rPr lang="en-GB" sz="1200" baseline="0"/>
              <a:t> by Local Authories' IDACI level</a:t>
            </a:r>
            <a:endParaRPr lang="en-GB"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Sheet1!$A$2</c:f>
              <c:strCache>
                <c:ptCount val="1"/>
                <c:pt idx="0">
                  <c:v>1st Quintile (least deprived areas)</c:v>
                </c:pt>
              </c:strCache>
            </c:strRef>
          </c:tx>
          <c:spPr>
            <a:solidFill>
              <a:schemeClr val="accent2">
                <a:tint val="54000"/>
              </a:schemeClr>
            </a:solidFill>
            <a:ln>
              <a:noFill/>
            </a:ln>
            <a:effectLst/>
          </c:spPr>
          <c:invertIfNegative val="0"/>
          <c:cat>
            <c:strRef>
              <c:f>Sheet1!$B$1:$F$1</c:f>
              <c:strCache>
                <c:ptCount val="5"/>
                <c:pt idx="0">
                  <c:v>DTaP/IPV/Hib/HepB</c:v>
                </c:pt>
                <c:pt idx="1">
                  <c:v> MMR1</c:v>
                </c:pt>
                <c:pt idx="2">
                  <c:v>DTaP/IPV booster</c:v>
                </c:pt>
                <c:pt idx="3">
                  <c:v>Hib/MenC booster</c:v>
                </c:pt>
                <c:pt idx="4">
                  <c:v>MMR2</c:v>
                </c:pt>
              </c:strCache>
            </c:strRef>
          </c:cat>
          <c:val>
            <c:numRef>
              <c:f>Sheet1!$B$2:$F$2</c:f>
              <c:numCache>
                <c:formatCode>0.00%</c:formatCode>
                <c:ptCount val="5"/>
                <c:pt idx="0">
                  <c:v>0.95009999999999994</c:v>
                </c:pt>
                <c:pt idx="1">
                  <c:v>0.94540000000000002</c:v>
                </c:pt>
                <c:pt idx="2">
                  <c:v>0.86509999999999998</c:v>
                </c:pt>
                <c:pt idx="3">
                  <c:v>0.92530000000000001</c:v>
                </c:pt>
                <c:pt idx="4">
                  <c:v>0.88580000000000003</c:v>
                </c:pt>
              </c:numCache>
            </c:numRef>
          </c:val>
          <c:extLst>
            <c:ext xmlns:c16="http://schemas.microsoft.com/office/drawing/2014/chart" uri="{C3380CC4-5D6E-409C-BE32-E72D297353CC}">
              <c16:uniqueId val="{00000000-5B76-4DC3-A461-1E6652D363A9}"/>
            </c:ext>
          </c:extLst>
        </c:ser>
        <c:ser>
          <c:idx val="1"/>
          <c:order val="1"/>
          <c:tx>
            <c:strRef>
              <c:f>Sheet1!$A$3</c:f>
              <c:strCache>
                <c:ptCount val="1"/>
                <c:pt idx="0">
                  <c:v>2nd Quintile</c:v>
                </c:pt>
              </c:strCache>
            </c:strRef>
          </c:tx>
          <c:spPr>
            <a:solidFill>
              <a:schemeClr val="accent2">
                <a:tint val="77000"/>
              </a:schemeClr>
            </a:solidFill>
            <a:ln>
              <a:noFill/>
            </a:ln>
            <a:effectLst/>
          </c:spPr>
          <c:invertIfNegative val="0"/>
          <c:cat>
            <c:strRef>
              <c:f>Sheet1!$B$1:$F$1</c:f>
              <c:strCache>
                <c:ptCount val="5"/>
                <c:pt idx="0">
                  <c:v>DTaP/IPV/Hib/HepB</c:v>
                </c:pt>
                <c:pt idx="1">
                  <c:v> MMR1</c:v>
                </c:pt>
                <c:pt idx="2">
                  <c:v>DTaP/IPV booster</c:v>
                </c:pt>
                <c:pt idx="3">
                  <c:v>Hib/MenC booster</c:v>
                </c:pt>
                <c:pt idx="4">
                  <c:v>MMR2</c:v>
                </c:pt>
              </c:strCache>
            </c:strRef>
          </c:cat>
          <c:val>
            <c:numRef>
              <c:f>Sheet1!$B$3:$F$3</c:f>
              <c:numCache>
                <c:formatCode>0.00%</c:formatCode>
                <c:ptCount val="5"/>
                <c:pt idx="0">
                  <c:v>0.94740000000000002</c:v>
                </c:pt>
                <c:pt idx="1">
                  <c:v>0.9405</c:v>
                </c:pt>
                <c:pt idx="2">
                  <c:v>0.86060000000000003</c:v>
                </c:pt>
                <c:pt idx="3">
                  <c:v>0.91259999999999997</c:v>
                </c:pt>
                <c:pt idx="4">
                  <c:v>0.87609999999999999</c:v>
                </c:pt>
              </c:numCache>
            </c:numRef>
          </c:val>
          <c:extLst>
            <c:ext xmlns:c16="http://schemas.microsoft.com/office/drawing/2014/chart" uri="{C3380CC4-5D6E-409C-BE32-E72D297353CC}">
              <c16:uniqueId val="{00000001-5B76-4DC3-A461-1E6652D363A9}"/>
            </c:ext>
          </c:extLst>
        </c:ser>
        <c:ser>
          <c:idx val="2"/>
          <c:order val="2"/>
          <c:tx>
            <c:strRef>
              <c:f>Sheet1!$A$4</c:f>
              <c:strCache>
                <c:ptCount val="1"/>
                <c:pt idx="0">
                  <c:v>3rd Quintile</c:v>
                </c:pt>
              </c:strCache>
            </c:strRef>
          </c:tx>
          <c:spPr>
            <a:solidFill>
              <a:schemeClr val="accent2"/>
            </a:solidFill>
            <a:ln>
              <a:noFill/>
            </a:ln>
            <a:effectLst/>
          </c:spPr>
          <c:invertIfNegative val="0"/>
          <c:cat>
            <c:strRef>
              <c:f>Sheet1!$B$1:$F$1</c:f>
              <c:strCache>
                <c:ptCount val="5"/>
                <c:pt idx="0">
                  <c:v>DTaP/IPV/Hib/HepB</c:v>
                </c:pt>
                <c:pt idx="1">
                  <c:v> MMR1</c:v>
                </c:pt>
                <c:pt idx="2">
                  <c:v>DTaP/IPV booster</c:v>
                </c:pt>
                <c:pt idx="3">
                  <c:v>Hib/MenC booster</c:v>
                </c:pt>
                <c:pt idx="4">
                  <c:v>MMR2</c:v>
                </c:pt>
              </c:strCache>
            </c:strRef>
          </c:cat>
          <c:val>
            <c:numRef>
              <c:f>Sheet1!$B$4:$F$4</c:f>
              <c:numCache>
                <c:formatCode>0.00%</c:formatCode>
                <c:ptCount val="5"/>
                <c:pt idx="0">
                  <c:v>0.92200000000000004</c:v>
                </c:pt>
                <c:pt idx="1">
                  <c:v>0.9123</c:v>
                </c:pt>
                <c:pt idx="2">
                  <c:v>0.80100000000000005</c:v>
                </c:pt>
                <c:pt idx="3">
                  <c:v>0.87980000000000003</c:v>
                </c:pt>
                <c:pt idx="4">
                  <c:v>0.82640000000000002</c:v>
                </c:pt>
              </c:numCache>
            </c:numRef>
          </c:val>
          <c:extLst>
            <c:ext xmlns:c16="http://schemas.microsoft.com/office/drawing/2014/chart" uri="{C3380CC4-5D6E-409C-BE32-E72D297353CC}">
              <c16:uniqueId val="{00000002-5B76-4DC3-A461-1E6652D363A9}"/>
            </c:ext>
          </c:extLst>
        </c:ser>
        <c:ser>
          <c:idx val="3"/>
          <c:order val="3"/>
          <c:tx>
            <c:strRef>
              <c:f>Sheet1!$A$5</c:f>
              <c:strCache>
                <c:ptCount val="1"/>
                <c:pt idx="0">
                  <c:v>4th Quintile</c:v>
                </c:pt>
              </c:strCache>
            </c:strRef>
          </c:tx>
          <c:spPr>
            <a:solidFill>
              <a:schemeClr val="accent2">
                <a:shade val="76000"/>
              </a:schemeClr>
            </a:solidFill>
            <a:ln>
              <a:noFill/>
            </a:ln>
            <a:effectLst/>
          </c:spPr>
          <c:invertIfNegative val="0"/>
          <c:cat>
            <c:strRef>
              <c:f>Sheet1!$B$1:$F$1</c:f>
              <c:strCache>
                <c:ptCount val="5"/>
                <c:pt idx="0">
                  <c:v>DTaP/IPV/Hib/HepB</c:v>
                </c:pt>
                <c:pt idx="1">
                  <c:v> MMR1</c:v>
                </c:pt>
                <c:pt idx="2">
                  <c:v>DTaP/IPV booster</c:v>
                </c:pt>
                <c:pt idx="3">
                  <c:v>Hib/MenC booster</c:v>
                </c:pt>
                <c:pt idx="4">
                  <c:v>MMR2</c:v>
                </c:pt>
              </c:strCache>
            </c:strRef>
          </c:cat>
          <c:val>
            <c:numRef>
              <c:f>Sheet1!$B$5:$F$5</c:f>
              <c:numCache>
                <c:formatCode>0.00%</c:formatCode>
                <c:ptCount val="5"/>
                <c:pt idx="0">
                  <c:v>0.91890000000000005</c:v>
                </c:pt>
                <c:pt idx="1">
                  <c:v>0.90720000000000001</c:v>
                </c:pt>
                <c:pt idx="2">
                  <c:v>0.78269999999999995</c:v>
                </c:pt>
                <c:pt idx="3">
                  <c:v>0.86819999999999997</c:v>
                </c:pt>
                <c:pt idx="4">
                  <c:v>0.81200000000000006</c:v>
                </c:pt>
              </c:numCache>
            </c:numRef>
          </c:val>
          <c:extLst>
            <c:ext xmlns:c16="http://schemas.microsoft.com/office/drawing/2014/chart" uri="{C3380CC4-5D6E-409C-BE32-E72D297353CC}">
              <c16:uniqueId val="{00000003-5B76-4DC3-A461-1E6652D363A9}"/>
            </c:ext>
          </c:extLst>
        </c:ser>
        <c:ser>
          <c:idx val="4"/>
          <c:order val="4"/>
          <c:tx>
            <c:strRef>
              <c:f>Sheet1!$A$6</c:f>
              <c:strCache>
                <c:ptCount val="1"/>
                <c:pt idx="0">
                  <c:v>5th Quintile (most deprived areas)</c:v>
                </c:pt>
              </c:strCache>
            </c:strRef>
          </c:tx>
          <c:spPr>
            <a:solidFill>
              <a:schemeClr val="accent2">
                <a:shade val="53000"/>
              </a:schemeClr>
            </a:solidFill>
            <a:ln>
              <a:noFill/>
            </a:ln>
            <a:effectLst/>
          </c:spPr>
          <c:invertIfNegative val="0"/>
          <c:cat>
            <c:strRef>
              <c:f>Sheet1!$B$1:$F$1</c:f>
              <c:strCache>
                <c:ptCount val="5"/>
                <c:pt idx="0">
                  <c:v>DTaP/IPV/Hib/HepB</c:v>
                </c:pt>
                <c:pt idx="1">
                  <c:v> MMR1</c:v>
                </c:pt>
                <c:pt idx="2">
                  <c:v>DTaP/IPV booster</c:v>
                </c:pt>
                <c:pt idx="3">
                  <c:v>Hib/MenC booster</c:v>
                </c:pt>
                <c:pt idx="4">
                  <c:v>MMR2</c:v>
                </c:pt>
              </c:strCache>
            </c:strRef>
          </c:cat>
          <c:val>
            <c:numRef>
              <c:f>Sheet1!$B$6:$F$6</c:f>
              <c:numCache>
                <c:formatCode>0.00%</c:formatCode>
                <c:ptCount val="5"/>
                <c:pt idx="0">
                  <c:v>0.88900000000000001</c:v>
                </c:pt>
                <c:pt idx="1">
                  <c:v>0.87390000000000001</c:v>
                </c:pt>
                <c:pt idx="2">
                  <c:v>0.72760000000000002</c:v>
                </c:pt>
                <c:pt idx="3">
                  <c:v>0.84230000000000005</c:v>
                </c:pt>
                <c:pt idx="4">
                  <c:v>0.75980000000000003</c:v>
                </c:pt>
              </c:numCache>
            </c:numRef>
          </c:val>
          <c:extLst>
            <c:ext xmlns:c16="http://schemas.microsoft.com/office/drawing/2014/chart" uri="{C3380CC4-5D6E-409C-BE32-E72D297353CC}">
              <c16:uniqueId val="{00000004-5B76-4DC3-A461-1E6652D363A9}"/>
            </c:ext>
          </c:extLst>
        </c:ser>
        <c:dLbls>
          <c:showLegendKey val="0"/>
          <c:showVal val="0"/>
          <c:showCatName val="0"/>
          <c:showSerName val="0"/>
          <c:showPercent val="0"/>
          <c:showBubbleSize val="0"/>
        </c:dLbls>
        <c:gapWidth val="219"/>
        <c:overlap val="-27"/>
        <c:axId val="1094093568"/>
        <c:axId val="1094096448"/>
      </c:barChart>
      <c:catAx>
        <c:axId val="109409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096448"/>
        <c:crosses val="autoZero"/>
        <c:auto val="1"/>
        <c:lblAlgn val="ctr"/>
        <c:lblOffset val="100"/>
        <c:noMultiLvlLbl val="0"/>
      </c:catAx>
      <c:valAx>
        <c:axId val="1094096448"/>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09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218B2-BB87-4DD2-8DE1-EB946C1AC47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CVX0078</dc:title>
  <cp:revision>0</cp:revision>
</cp:coreProperties>
</file>