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D32C8" w:rsidRPr="001719A8" w:rsidP="00DD32C8">
      <w:pPr>
        <w:spacing w:after="160" w:line="259" w:lineRule="auto"/>
        <w:rPr>
          <w:rFonts w:ascii="Verdana" w:eastAsia="Aptos" w:hAnsi="Verdana" w:cs="Arial"/>
          <w:b/>
          <w:bCs/>
          <w:lang w:eastAsia="en-US"/>
        </w:rPr>
      </w:pPr>
      <w:r w:rsidRPr="001719A8">
        <w:rPr>
          <w:rFonts w:ascii="Verdana" w:eastAsia="Aptos" w:hAnsi="Verdana" w:cs="Arial"/>
          <w:b/>
          <w:bCs/>
          <w:lang w:eastAsia="en-US"/>
        </w:rPr>
        <w:t>Written evidence from</w:t>
      </w:r>
      <w:r w:rsidRPr="001719A8" w:rsidR="009F3AAF">
        <w:rPr>
          <w:rFonts w:ascii="Verdana" w:eastAsia="Aptos" w:hAnsi="Verdana" w:cs="Arial"/>
          <w:b/>
          <w:bCs/>
          <w:lang w:eastAsia="en-US"/>
        </w:rPr>
        <w:t xml:space="preserve"> National Office of Animal Health (NOAH)</w:t>
      </w:r>
      <w:r w:rsidRPr="001719A8">
        <w:rPr>
          <w:rFonts w:ascii="Verdana" w:eastAsia="Aptos" w:hAnsi="Verdana" w:cs="Arial"/>
          <w:b/>
          <w:bCs/>
          <w:lang w:eastAsia="en-US"/>
        </w:rPr>
        <w:t xml:space="preserve"> (PPM0045)</w:t>
      </w:r>
    </w:p>
    <w:p w:rsidR="00DD32C8" w:rsidRPr="00D17359" w:rsidP="00DD32C8">
      <w:pPr>
        <w:spacing w:after="160" w:line="259" w:lineRule="auto"/>
        <w:rPr>
          <w:rFonts w:ascii="Verdana" w:eastAsia="Aptos" w:hAnsi="Verdana" w:cs="Arial"/>
          <w:b/>
          <w:bCs/>
          <w:u w:val="single"/>
          <w:lang w:eastAsia="en-US"/>
        </w:rPr>
      </w:pPr>
    </w:p>
    <w:p w:rsidR="00D9373E" w:rsidRPr="00D17359" w:rsidP="00DD32C8">
      <w:pPr>
        <w:spacing w:after="160" w:line="259" w:lineRule="auto"/>
        <w:rPr>
          <w:rFonts w:ascii="Verdana" w:eastAsia="Aptos" w:hAnsi="Verdana" w:cs="Arial"/>
          <w:b/>
          <w:bCs/>
          <w:u w:val="single"/>
          <w:lang w:eastAsia="en-US"/>
        </w:rPr>
      </w:pPr>
      <w:r w:rsidRPr="00D17359">
        <w:rPr>
          <w:rFonts w:ascii="Verdana" w:eastAsia="Aptos" w:hAnsi="Verdana" w:cs="Arial"/>
          <w:b/>
          <w:bCs/>
          <w:u w:val="single"/>
          <w:lang w:eastAsia="en-US"/>
        </w:rPr>
        <w:t>Follow-up Information for the House of Lords Environment and Climate Change Committee Inquiry on Pet Parasite Medicines</w:t>
      </w:r>
    </w:p>
    <w:p w:rsidR="00D9373E" w:rsidRPr="00D17359" w:rsidP="00D9373E">
      <w:pPr>
        <w:spacing w:after="160" w:line="259" w:lineRule="auto"/>
        <w:rPr>
          <w:rFonts w:ascii="Verdana" w:eastAsia="Aptos" w:hAnsi="Verdana" w:cs="Arial"/>
          <w:b/>
          <w:bCs/>
          <w:i/>
          <w:iCs/>
          <w:lang w:eastAsia="en-US"/>
        </w:rPr>
      </w:pPr>
      <w:r w:rsidRPr="00D17359">
        <w:rPr>
          <w:rFonts w:ascii="Verdana" w:eastAsia="Aptos" w:hAnsi="Verdana" w:cs="Arial"/>
          <w:b/>
          <w:bCs/>
          <w:i/>
          <w:iCs/>
          <w:lang w:eastAsia="en-US"/>
        </w:rPr>
        <w:t>02/07/26</w:t>
      </w:r>
    </w:p>
    <w:p w:rsidR="00D9373E" w:rsidRPr="00D17359" w:rsidP="00D9373E">
      <w:pPr>
        <w:spacing w:after="160" w:line="259" w:lineRule="auto"/>
        <w:rPr>
          <w:rFonts w:ascii="Verdana" w:eastAsia="Aptos" w:hAnsi="Verdana" w:cs="Arial"/>
          <w:b/>
          <w:bCs/>
          <w:i/>
          <w:iCs/>
          <w:lang w:eastAsia="en-US"/>
        </w:rPr>
      </w:pPr>
    </w:p>
    <w:p w:rsidR="00D9373E" w:rsidRPr="00D17359" w:rsidP="00D9373E">
      <w:pPr>
        <w:spacing w:after="160" w:line="259" w:lineRule="auto"/>
        <w:rPr>
          <w:rFonts w:ascii="Verdana" w:eastAsia="Aptos" w:hAnsi="Verdana" w:cs="Arial"/>
          <w:b/>
          <w:bCs/>
          <w:lang w:eastAsia="en-US"/>
        </w:rPr>
      </w:pPr>
      <w:r w:rsidRPr="00D17359">
        <w:rPr>
          <w:rFonts w:ascii="Verdana" w:eastAsia="Aptos" w:hAnsi="Verdana" w:cs="Arial"/>
          <w:b/>
          <w:bCs/>
          <w:lang w:eastAsia="en-US"/>
        </w:rPr>
        <w:t>1. The UK Veterinary Medicines Market</w:t>
      </w:r>
    </w:p>
    <w:p w:rsidR="00D9373E" w:rsidRPr="00D17359" w:rsidP="00D9373E">
      <w:pPr>
        <w:spacing w:after="160" w:line="259" w:lineRule="auto"/>
        <w:rPr>
          <w:rFonts w:ascii="Verdana" w:eastAsia="Aptos" w:hAnsi="Verdana" w:cs="Arial"/>
          <w:b/>
          <w:bCs/>
          <w:lang w:eastAsia="en-US"/>
        </w:rPr>
      </w:pPr>
      <w:r w:rsidRPr="00D17359">
        <w:rPr>
          <w:rFonts w:ascii="Verdana" w:eastAsia="Aptos" w:hAnsi="Verdana" w:cs="Arial"/>
          <w:b/>
          <w:bCs/>
          <w:lang w:eastAsia="en-US"/>
        </w:rPr>
        <w:t>a. Size of the UK veterinary medicines market</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Veterinary medicines are a small market in comparison to human pharmaceuticals, representing approximately 2-3% by value; this figure is commensurate across Europe. NOAH member companies represent more than 97% of the UK animal medicines market. The overall UK veterinary medicines market is estimated to be worth approximately £870 million in sales annually, encompassing</w:t>
      </w:r>
      <w:r w:rsidRPr="00D17359" w:rsidR="00277C27">
        <w:rPr>
          <w:rFonts w:ascii="Verdana" w:eastAsia="Aptos" w:hAnsi="Verdana" w:cs="Arial"/>
          <w:lang w:eastAsia="en-US"/>
        </w:rPr>
        <w:t xml:space="preserve"> all licensed</w:t>
      </w:r>
      <w:r w:rsidRPr="00D17359">
        <w:rPr>
          <w:rFonts w:ascii="Verdana" w:eastAsia="Aptos" w:hAnsi="Verdana" w:cs="Arial"/>
          <w:lang w:eastAsia="en-US"/>
        </w:rPr>
        <w:t xml:space="preserve"> medicines, vaccines and other licensed veterinary medicines used in both companion and food-producing animals.</w:t>
      </w:r>
    </w:p>
    <w:p w:rsidR="00D9373E" w:rsidRPr="00D17359" w:rsidP="00D9373E">
      <w:pPr>
        <w:spacing w:after="160" w:line="259" w:lineRule="auto"/>
        <w:rPr>
          <w:rFonts w:ascii="Verdana" w:eastAsia="Aptos" w:hAnsi="Verdana" w:cs="Arial"/>
          <w:b/>
          <w:bCs/>
          <w:lang w:eastAsia="en-US"/>
        </w:rPr>
      </w:pPr>
      <w:r w:rsidRPr="00D17359">
        <w:rPr>
          <w:rFonts w:ascii="Verdana" w:eastAsia="Aptos" w:hAnsi="Verdana" w:cs="Arial"/>
          <w:b/>
          <w:bCs/>
          <w:lang w:eastAsia="en-US"/>
        </w:rPr>
        <w:t>b. Size of the companion animal medicines market</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Around 60% of the licensed veterinary medicines market relates to medicines for companion animals. Of these, the vast majority of products require a prescription from a vet in order to be supplied. Based on an overall market value of £870 million per annum, the companion animal market would equate to approximately £522 million</w:t>
      </w:r>
      <w:r w:rsidRPr="00D17359" w:rsidR="00364EA7">
        <w:rPr>
          <w:rFonts w:ascii="Verdana" w:eastAsia="Aptos" w:hAnsi="Verdana" w:cs="Arial"/>
          <w:lang w:eastAsia="en-US"/>
        </w:rPr>
        <w:t xml:space="preserve"> in sales</w:t>
      </w:r>
      <w:r w:rsidRPr="00D17359">
        <w:rPr>
          <w:rFonts w:ascii="Verdana" w:eastAsia="Aptos" w:hAnsi="Verdana" w:cs="Arial"/>
          <w:lang w:eastAsia="en-US"/>
        </w:rPr>
        <w:t xml:space="preserve"> annually.</w:t>
      </w:r>
    </w:p>
    <w:p w:rsidR="00D9373E" w:rsidRPr="00D17359" w:rsidP="00D9373E">
      <w:pPr>
        <w:spacing w:after="160" w:line="259" w:lineRule="auto"/>
        <w:rPr>
          <w:rFonts w:ascii="Verdana" w:eastAsia="Aptos" w:hAnsi="Verdana" w:cs="Arial"/>
          <w:b/>
          <w:bCs/>
          <w:lang w:eastAsia="en-US"/>
        </w:rPr>
      </w:pPr>
      <w:r w:rsidRPr="00D17359">
        <w:rPr>
          <w:rFonts w:ascii="Verdana" w:eastAsia="Aptos" w:hAnsi="Verdana" w:cs="Arial"/>
          <w:b/>
          <w:bCs/>
          <w:lang w:eastAsia="en-US"/>
        </w:rPr>
        <w:t>c. Size of the UK anti-parasitic medicines market</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It is estimated that 25% of the companion animal veterinary medicines market is made up of sales of anti-parasitic medicines. This would equate to an estimated £1</w:t>
      </w:r>
      <w:r w:rsidRPr="00D17359" w:rsidR="00AA24BA">
        <w:rPr>
          <w:rFonts w:ascii="Verdana" w:eastAsia="Aptos" w:hAnsi="Verdana" w:cs="Arial"/>
          <w:lang w:eastAsia="en-US"/>
        </w:rPr>
        <w:t>30</w:t>
      </w:r>
      <w:r w:rsidRPr="00D17359">
        <w:rPr>
          <w:rFonts w:ascii="Verdana" w:eastAsia="Aptos" w:hAnsi="Verdana" w:cs="Arial"/>
          <w:lang w:eastAsia="en-US"/>
        </w:rPr>
        <w:t xml:space="preserve">.5 million in sales annually. This, however, includes sales of </w:t>
      </w:r>
      <w:r w:rsidRPr="00D17359">
        <w:rPr>
          <w:rFonts w:ascii="Verdana" w:eastAsia="Aptos" w:hAnsi="Verdana" w:cs="Arial"/>
          <w:i/>
          <w:iCs/>
          <w:lang w:eastAsia="en-US"/>
        </w:rPr>
        <w:t xml:space="preserve">all </w:t>
      </w:r>
      <w:r w:rsidRPr="00D17359">
        <w:rPr>
          <w:rFonts w:ascii="Verdana" w:eastAsia="Aptos" w:hAnsi="Verdana" w:cs="Arial"/>
          <w:lang w:eastAsia="en-US"/>
        </w:rPr>
        <w:t>anti-parasitic medicines, including those available only with a prescription from a vet. This figure of an estimated £1</w:t>
      </w:r>
      <w:r w:rsidRPr="00D17359" w:rsidR="005D6F08">
        <w:rPr>
          <w:rFonts w:ascii="Verdana" w:eastAsia="Aptos" w:hAnsi="Verdana" w:cs="Arial"/>
          <w:lang w:eastAsia="en-US"/>
        </w:rPr>
        <w:t>30</w:t>
      </w:r>
      <w:r w:rsidRPr="00D17359">
        <w:rPr>
          <w:rFonts w:ascii="Verdana" w:eastAsia="Aptos" w:hAnsi="Verdana" w:cs="Arial"/>
          <w:lang w:eastAsia="en-US"/>
        </w:rPr>
        <w:t>.5 million in sales annually is not limited to spot-on treatments or products containing fipronil and imidacloprid</w:t>
      </w:r>
      <w:r w:rsidRPr="00D17359" w:rsidR="005D6F08">
        <w:rPr>
          <w:rFonts w:ascii="Verdana" w:eastAsia="Aptos" w:hAnsi="Verdana" w:cs="Arial"/>
          <w:lang w:eastAsia="en-US"/>
        </w:rPr>
        <w:t xml:space="preserve"> only</w:t>
      </w:r>
      <w:r w:rsidRPr="00D17359">
        <w:rPr>
          <w:rFonts w:ascii="Verdana" w:eastAsia="Aptos" w:hAnsi="Verdana" w:cs="Arial"/>
          <w:lang w:eastAsia="en-US"/>
        </w:rPr>
        <w:t xml:space="preserve">. </w:t>
      </w:r>
      <w:r w:rsidRPr="00D17359" w:rsidR="005D6F08">
        <w:rPr>
          <w:rFonts w:ascii="Verdana" w:eastAsia="Aptos" w:hAnsi="Verdana" w:cs="Arial"/>
          <w:lang w:eastAsia="en-US"/>
        </w:rPr>
        <w:t xml:space="preserve">A recent survey commissioned by NOAH </w:t>
      </w:r>
      <w:r w:rsidRPr="00D17359" w:rsidR="005D6F08">
        <w:rPr>
          <w:rFonts w:ascii="Verdana" w:eastAsia="Aptos" w:hAnsi="Verdana" w:cs="Arial"/>
          <w:lang w:eastAsia="en-US"/>
        </w:rPr>
        <w:t>demonsrated</w:t>
      </w:r>
      <w:r w:rsidRPr="00D17359" w:rsidR="005D6F08">
        <w:rPr>
          <w:rFonts w:ascii="Verdana" w:eastAsia="Aptos" w:hAnsi="Verdana" w:cs="Arial"/>
          <w:lang w:eastAsia="en-US"/>
        </w:rPr>
        <w:t xml:space="preserve"> that </w:t>
      </w:r>
      <w:r w:rsidRPr="00D17359">
        <w:rPr>
          <w:rFonts w:ascii="Verdana" w:eastAsia="Aptos" w:hAnsi="Verdana" w:cs="Arial"/>
          <w:lang w:eastAsia="en-US"/>
        </w:rPr>
        <w:t xml:space="preserve">60% of dogs in Great Britain and 27% of British cats are treated with products other than spot-on </w:t>
      </w:r>
      <w:r w:rsidRPr="00D17359">
        <w:rPr>
          <w:rFonts w:ascii="Verdana" w:eastAsia="Aptos" w:hAnsi="Verdana" w:cs="Arial"/>
          <w:lang w:eastAsia="en-US"/>
        </w:rPr>
        <w:t>ectoparasiticides</w:t>
      </w:r>
      <w:r w:rsidRPr="00D17359">
        <w:rPr>
          <w:rFonts w:ascii="Verdana" w:eastAsia="Aptos" w:hAnsi="Verdana" w:cs="Arial"/>
          <w:lang w:eastAsia="en-US"/>
        </w:rPr>
        <w:t xml:space="preserve"> </w:t>
      </w:r>
      <w:r w:rsidRPr="00D17359">
        <w:rPr>
          <w:rFonts w:ascii="Verdana" w:eastAsia="Aptos" w:hAnsi="Verdana"/>
          <w:kern w:val="2"/>
          <w:lang w:eastAsia="en-US"/>
        </w:rPr>
        <w:t>(MG&amp;A, NOAH, 2026)</w:t>
      </w:r>
      <w:r w:rsidRPr="00D17359">
        <w:rPr>
          <w:rFonts w:ascii="Verdana" w:eastAsia="Aptos" w:hAnsi="Verdana" w:cs="Arial"/>
          <w:lang w:eastAsia="en-US"/>
        </w:rPr>
        <w:t>.</w:t>
      </w:r>
    </w:p>
    <w:p w:rsidR="00D9373E" w:rsidRPr="00D17359" w:rsidP="00D9373E">
      <w:pPr>
        <w:spacing w:after="160" w:line="259" w:lineRule="auto"/>
        <w:rPr>
          <w:rFonts w:ascii="Verdana" w:eastAsia="Aptos" w:hAnsi="Verdana" w:cs="Arial"/>
          <w:b/>
          <w:bCs/>
          <w:lang w:eastAsia="en-US"/>
        </w:rPr>
      </w:pPr>
      <w:r w:rsidRPr="00D17359">
        <w:rPr>
          <w:rFonts w:ascii="Verdana" w:eastAsia="Aptos" w:hAnsi="Verdana" w:cs="Arial"/>
          <w:b/>
          <w:bCs/>
          <w:lang w:eastAsia="en-US"/>
        </w:rPr>
        <w:t>d. Volumes of antiparasitic veterinary medicines, including fipronil and imidacloprid sold in the UK</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NOAH does not collect sales data at the level of individual active substances because this is commercially confidential information and outside the scope of </w:t>
      </w:r>
      <w:r w:rsidRPr="00D17359">
        <w:rPr>
          <w:rFonts w:ascii="Verdana" w:eastAsia="Aptos" w:hAnsi="Verdana" w:cs="Arial"/>
          <w:lang w:eastAsia="en-US"/>
        </w:rPr>
        <w:t>a trade association. It is normal commercial practice that businesses do not disclose and share detailed granular data about where their products are being sold and in what quantities.  Detailed sales volumes for fipronil</w:t>
      </w:r>
      <w:r w:rsidRPr="00D17359" w:rsidR="00052298">
        <w:rPr>
          <w:rFonts w:ascii="Verdana" w:eastAsia="Aptos" w:hAnsi="Verdana" w:cs="Arial"/>
          <w:lang w:eastAsia="en-US"/>
        </w:rPr>
        <w:t xml:space="preserve"> </w:t>
      </w:r>
      <w:r w:rsidRPr="00D17359">
        <w:rPr>
          <w:rFonts w:ascii="Verdana" w:eastAsia="Aptos" w:hAnsi="Verdana" w:cs="Arial"/>
          <w:lang w:eastAsia="en-US"/>
        </w:rPr>
        <w:t>and imidacloprid</w:t>
      </w:r>
      <w:r w:rsidRPr="00D17359" w:rsidR="00052298">
        <w:rPr>
          <w:rFonts w:ascii="Verdana" w:eastAsia="Aptos" w:hAnsi="Verdana" w:cs="Arial"/>
          <w:lang w:eastAsia="en-US"/>
        </w:rPr>
        <w:t xml:space="preserve"> </w:t>
      </w:r>
      <w:r w:rsidRPr="00D17359">
        <w:rPr>
          <w:rFonts w:ascii="Verdana" w:eastAsia="Aptos" w:hAnsi="Verdana" w:cs="Arial"/>
          <w:lang w:eastAsia="en-US"/>
        </w:rPr>
        <w:t xml:space="preserve">containing veterinary medicines are held by Marketing Authorisation Holders.  The Veterinary Medicines Directorate (VMD) does hold data in the form of sales data submitted by </w:t>
      </w:r>
      <w:r w:rsidRPr="00D17359" w:rsidR="00052298">
        <w:rPr>
          <w:rFonts w:ascii="Verdana" w:eastAsia="Aptos" w:hAnsi="Verdana" w:cs="Arial"/>
          <w:lang w:eastAsia="en-US"/>
        </w:rPr>
        <w:t>M</w:t>
      </w:r>
      <w:r w:rsidRPr="00D17359">
        <w:rPr>
          <w:rFonts w:ascii="Verdana" w:eastAsia="Aptos" w:hAnsi="Verdana" w:cs="Arial"/>
          <w:lang w:eastAsia="en-US"/>
        </w:rPr>
        <w:t xml:space="preserve">arketing </w:t>
      </w:r>
      <w:r w:rsidRPr="00D17359" w:rsidR="00052298">
        <w:rPr>
          <w:rFonts w:ascii="Verdana" w:eastAsia="Aptos" w:hAnsi="Verdana" w:cs="Arial"/>
          <w:lang w:eastAsia="en-US"/>
        </w:rPr>
        <w:t>A</w:t>
      </w:r>
      <w:r w:rsidRPr="00D17359">
        <w:rPr>
          <w:rFonts w:ascii="Verdana" w:eastAsia="Aptos" w:hAnsi="Verdana" w:cs="Arial"/>
          <w:lang w:eastAsia="en-US"/>
        </w:rPr>
        <w:t xml:space="preserve">uthorisation </w:t>
      </w:r>
      <w:r w:rsidRPr="00D17359" w:rsidR="00052298">
        <w:rPr>
          <w:rFonts w:ascii="Verdana" w:eastAsia="Aptos" w:hAnsi="Verdana" w:cs="Arial"/>
          <w:lang w:eastAsia="en-US"/>
        </w:rPr>
        <w:t>H</w:t>
      </w:r>
      <w:r w:rsidRPr="00D17359">
        <w:rPr>
          <w:rFonts w:ascii="Verdana" w:eastAsia="Aptos" w:hAnsi="Verdana" w:cs="Arial"/>
          <w:lang w:eastAsia="en-US"/>
        </w:rPr>
        <w:t>olders for Pharmacovigilance purposes. These data are not collected for the purpose of monitoring national usage</w:t>
      </w:r>
      <w:r w:rsidRPr="00D17359" w:rsidR="00951AB5">
        <w:rPr>
          <w:rFonts w:ascii="Verdana" w:eastAsia="Aptos" w:hAnsi="Verdana" w:cs="Arial"/>
          <w:lang w:eastAsia="en-US"/>
        </w:rPr>
        <w:t xml:space="preserve"> of companion animal parasiticides and</w:t>
      </w:r>
      <w:r w:rsidRPr="00D17359">
        <w:rPr>
          <w:rFonts w:ascii="Verdana" w:eastAsia="Aptos" w:hAnsi="Verdana" w:cs="Arial"/>
          <w:lang w:eastAsia="en-US"/>
        </w:rPr>
        <w:t xml:space="preserve"> are not subject to independent verification. </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It is important to note that sales volumes alone do not equate to environmental exposure, as exposure depends on factors including the type of animal, the number of animals treated, formulation, route of administration, frequency of use, disposal pathways and environmental fate.</w:t>
      </w:r>
    </w:p>
    <w:p w:rsidR="00D9373E" w:rsidRPr="00D17359" w:rsidP="00D9373E">
      <w:pPr>
        <w:spacing w:after="160" w:line="259" w:lineRule="auto"/>
        <w:rPr>
          <w:rFonts w:ascii="Verdana" w:eastAsia="Aptos" w:hAnsi="Verdana" w:cs="Arial"/>
          <w:lang w:eastAsia="en-US"/>
        </w:rPr>
      </w:pPr>
    </w:p>
    <w:p w:rsidR="00D9373E" w:rsidRPr="00D17359" w:rsidP="00D9373E">
      <w:pPr>
        <w:spacing w:after="160" w:line="259" w:lineRule="auto"/>
        <w:rPr>
          <w:rFonts w:ascii="Verdana" w:eastAsia="Aptos" w:hAnsi="Verdana" w:cs="Arial"/>
          <w:b/>
          <w:bCs/>
          <w:lang w:eastAsia="en-US"/>
        </w:rPr>
      </w:pPr>
      <w:r w:rsidRPr="00D17359">
        <w:rPr>
          <w:rFonts w:ascii="Verdana" w:eastAsia="Aptos" w:hAnsi="Verdana" w:cs="Arial"/>
          <w:b/>
          <w:bCs/>
          <w:lang w:eastAsia="en-US"/>
        </w:rPr>
        <w:t>2. How Veterinary Medicines are assessed for User/Human Safety</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Before a veterinary medicine can be authorised in the UK, it undergoes a comprehensive assessment by the Veterinary Medicines Directorate.</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For user safety, applicants must provide detailed data evaluating risks to:</w:t>
      </w:r>
    </w:p>
    <w:p w:rsidR="00D9373E" w:rsidRPr="00D17359" w:rsidP="00D9373E">
      <w:pPr>
        <w:numPr>
          <w:ilvl w:val="0"/>
          <w:numId w:val="35"/>
        </w:numPr>
        <w:spacing w:after="160" w:line="259" w:lineRule="auto"/>
        <w:rPr>
          <w:rFonts w:ascii="Verdana" w:eastAsia="Aptos" w:hAnsi="Verdana" w:cs="Arial"/>
          <w:lang w:eastAsia="en-US"/>
        </w:rPr>
      </w:pPr>
      <w:r w:rsidRPr="00D17359">
        <w:rPr>
          <w:rFonts w:ascii="Verdana" w:eastAsia="Aptos" w:hAnsi="Verdana" w:cs="Arial"/>
          <w:lang w:eastAsia="en-US"/>
        </w:rPr>
        <w:t>Veterinary surgeons and nurses.</w:t>
      </w:r>
    </w:p>
    <w:p w:rsidR="00D9373E" w:rsidRPr="00D17359" w:rsidP="00D9373E">
      <w:pPr>
        <w:numPr>
          <w:ilvl w:val="0"/>
          <w:numId w:val="35"/>
        </w:numPr>
        <w:spacing w:after="160" w:line="259" w:lineRule="auto"/>
        <w:rPr>
          <w:rFonts w:ascii="Verdana" w:eastAsia="Aptos" w:hAnsi="Verdana" w:cs="Arial"/>
          <w:lang w:eastAsia="en-US"/>
        </w:rPr>
      </w:pPr>
      <w:r w:rsidRPr="00D17359">
        <w:rPr>
          <w:rFonts w:ascii="Verdana" w:eastAsia="Aptos" w:hAnsi="Verdana" w:cs="Arial"/>
          <w:lang w:eastAsia="en-US"/>
        </w:rPr>
        <w:t>Pet owners administering medicines.</w:t>
      </w:r>
    </w:p>
    <w:p w:rsidR="00D9373E" w:rsidRPr="00D17359" w:rsidP="00D9373E">
      <w:pPr>
        <w:numPr>
          <w:ilvl w:val="0"/>
          <w:numId w:val="35"/>
        </w:numPr>
        <w:spacing w:after="160" w:line="259" w:lineRule="auto"/>
        <w:rPr>
          <w:rFonts w:ascii="Verdana" w:eastAsia="Aptos" w:hAnsi="Verdana" w:cs="Arial"/>
          <w:lang w:eastAsia="en-US"/>
        </w:rPr>
      </w:pPr>
      <w:r w:rsidRPr="00D17359">
        <w:rPr>
          <w:rFonts w:ascii="Verdana" w:eastAsia="Aptos" w:hAnsi="Verdana" w:cs="Arial"/>
          <w:lang w:eastAsia="en-US"/>
        </w:rPr>
        <w:t>Farmers and animal handlers.</w:t>
      </w:r>
    </w:p>
    <w:p w:rsidR="00D9373E" w:rsidRPr="00D17359" w:rsidP="00D9373E">
      <w:pPr>
        <w:numPr>
          <w:ilvl w:val="0"/>
          <w:numId w:val="35"/>
        </w:numPr>
        <w:spacing w:after="160" w:line="259" w:lineRule="auto"/>
        <w:rPr>
          <w:rFonts w:ascii="Verdana" w:eastAsia="Aptos" w:hAnsi="Verdana" w:cs="Arial"/>
          <w:lang w:eastAsia="en-US"/>
        </w:rPr>
      </w:pPr>
      <w:r w:rsidRPr="00D17359">
        <w:rPr>
          <w:rFonts w:ascii="Verdana" w:eastAsia="Aptos" w:hAnsi="Verdana" w:cs="Arial"/>
          <w:lang w:eastAsia="en-US"/>
        </w:rPr>
        <w:t>Other people who may come into contact with treated animals.</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The assessment includes:</w:t>
      </w:r>
    </w:p>
    <w:p w:rsidR="00D9373E" w:rsidRPr="00D17359" w:rsidP="00D9373E">
      <w:pPr>
        <w:numPr>
          <w:ilvl w:val="0"/>
          <w:numId w:val="36"/>
        </w:numPr>
        <w:spacing w:after="160" w:line="259" w:lineRule="auto"/>
        <w:rPr>
          <w:rFonts w:ascii="Verdana" w:eastAsia="Aptos" w:hAnsi="Verdana" w:cs="Arial"/>
          <w:lang w:eastAsia="en-US"/>
        </w:rPr>
      </w:pPr>
      <w:r w:rsidRPr="00D17359">
        <w:rPr>
          <w:rFonts w:ascii="Verdana" w:eastAsia="Aptos" w:hAnsi="Verdana" w:cs="Arial"/>
          <w:lang w:eastAsia="en-US"/>
        </w:rPr>
        <w:t>Hazard identification: determining the intrinsic toxicological properties of the active substance and formulation.</w:t>
      </w:r>
    </w:p>
    <w:p w:rsidR="00D9373E" w:rsidRPr="00D17359" w:rsidP="00D9373E">
      <w:pPr>
        <w:numPr>
          <w:ilvl w:val="0"/>
          <w:numId w:val="36"/>
        </w:numPr>
        <w:spacing w:after="160" w:line="259" w:lineRule="auto"/>
        <w:rPr>
          <w:rFonts w:ascii="Verdana" w:eastAsia="Aptos" w:hAnsi="Verdana" w:cs="Arial"/>
          <w:lang w:eastAsia="en-US"/>
        </w:rPr>
      </w:pPr>
      <w:r w:rsidRPr="00D17359">
        <w:rPr>
          <w:rFonts w:ascii="Verdana" w:eastAsia="Aptos" w:hAnsi="Verdana" w:cs="Arial"/>
          <w:lang w:eastAsia="en-US"/>
        </w:rPr>
        <w:t>Exposure assessment: evaluating likely exposure during storage, administration and handling.</w:t>
      </w:r>
    </w:p>
    <w:p w:rsidR="00D9373E" w:rsidRPr="00D17359" w:rsidP="00D9373E">
      <w:pPr>
        <w:numPr>
          <w:ilvl w:val="0"/>
          <w:numId w:val="36"/>
        </w:numPr>
        <w:spacing w:after="160" w:line="259" w:lineRule="auto"/>
        <w:rPr>
          <w:rFonts w:ascii="Verdana" w:eastAsia="Aptos" w:hAnsi="Verdana" w:cs="Arial"/>
          <w:lang w:eastAsia="en-US"/>
        </w:rPr>
      </w:pPr>
      <w:r w:rsidRPr="00D17359">
        <w:rPr>
          <w:rFonts w:ascii="Verdana" w:eastAsia="Aptos" w:hAnsi="Verdana" w:cs="Arial"/>
          <w:lang w:eastAsia="en-US"/>
        </w:rPr>
        <w:t>Risk characterisation: combining hazard and exposure information to determine whether risks are acceptable.</w:t>
      </w:r>
    </w:p>
    <w:p w:rsidR="00D9373E" w:rsidRPr="00D17359" w:rsidP="00D9373E">
      <w:pPr>
        <w:numPr>
          <w:ilvl w:val="0"/>
          <w:numId w:val="36"/>
        </w:numPr>
        <w:spacing w:after="160" w:line="259" w:lineRule="auto"/>
        <w:rPr>
          <w:rFonts w:ascii="Verdana" w:eastAsia="Aptos" w:hAnsi="Verdana" w:cs="Arial"/>
          <w:lang w:eastAsia="en-US"/>
        </w:rPr>
      </w:pPr>
      <w:r w:rsidRPr="00D17359">
        <w:rPr>
          <w:rFonts w:ascii="Verdana" w:eastAsia="Aptos" w:hAnsi="Verdana" w:cs="Arial"/>
          <w:lang w:eastAsia="en-US"/>
        </w:rPr>
        <w:t>Risk mitigation: introducing measures such as protective gloves, hand-washing requirements, restrictions on use, child-resistant packaging and warning statements.</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An assessment of the risk from the Veterinary Medicinal Product </w:t>
      </w:r>
      <w:r w:rsidRPr="00D17359" w:rsidR="00FB5318">
        <w:rPr>
          <w:rFonts w:ascii="Verdana" w:eastAsia="Aptos" w:hAnsi="Verdana" w:cs="Arial"/>
          <w:lang w:eastAsia="en-US"/>
        </w:rPr>
        <w:t xml:space="preserve">(VMP) </w:t>
      </w:r>
      <w:r w:rsidRPr="00D17359">
        <w:rPr>
          <w:rFonts w:ascii="Verdana" w:eastAsia="Aptos" w:hAnsi="Verdana" w:cs="Arial"/>
          <w:lang w:eastAsia="en-US"/>
        </w:rPr>
        <w:t>to those handling and administering it or be</w:t>
      </w:r>
      <w:r w:rsidRPr="00D17359" w:rsidR="00DA3150">
        <w:rPr>
          <w:rFonts w:ascii="Verdana" w:eastAsia="Aptos" w:hAnsi="Verdana" w:cs="Arial"/>
          <w:lang w:eastAsia="en-US"/>
        </w:rPr>
        <w:t>ing</w:t>
      </w:r>
      <w:r w:rsidRPr="00D17359">
        <w:rPr>
          <w:rFonts w:ascii="Verdana" w:eastAsia="Aptos" w:hAnsi="Verdana" w:cs="Arial"/>
          <w:lang w:eastAsia="en-US"/>
        </w:rPr>
        <w:t xml:space="preserve"> exposed via contact with a treated animal, considers the following aspects: </w:t>
      </w:r>
    </w:p>
    <w:p w:rsidR="00D9373E" w:rsidRPr="00D17359" w:rsidP="00D9373E">
      <w:pPr>
        <w:numPr>
          <w:ilvl w:val="0"/>
          <w:numId w:val="42"/>
        </w:numPr>
        <w:spacing w:after="160" w:line="259" w:lineRule="auto"/>
        <w:contextualSpacing/>
        <w:rPr>
          <w:rFonts w:ascii="Verdana" w:eastAsia="Aptos" w:hAnsi="Verdana" w:cs="Arial"/>
          <w:lang w:eastAsia="en-US"/>
        </w:rPr>
      </w:pPr>
      <w:r w:rsidRPr="00D17359">
        <w:rPr>
          <w:rFonts w:ascii="Verdana" w:eastAsia="Aptos" w:hAnsi="Verdana" w:cs="Arial"/>
          <w:lang w:eastAsia="en-US"/>
        </w:rPr>
        <w:t>Establishing Toxicological Reference Values (TRVs) for all scenarios</w:t>
      </w:r>
    </w:p>
    <w:p w:rsidR="00D9373E" w:rsidRPr="00D17359" w:rsidP="00D9373E">
      <w:pPr>
        <w:numPr>
          <w:ilvl w:val="0"/>
          <w:numId w:val="42"/>
        </w:numPr>
        <w:spacing w:after="160" w:line="259" w:lineRule="auto"/>
        <w:contextualSpacing/>
        <w:rPr>
          <w:rFonts w:ascii="Verdana" w:eastAsia="Aptos" w:hAnsi="Verdana" w:cs="Arial"/>
          <w:lang w:eastAsia="en-US"/>
        </w:rPr>
      </w:pPr>
      <w:r w:rsidRPr="00D17359">
        <w:rPr>
          <w:rFonts w:ascii="Verdana" w:eastAsia="Aptos" w:hAnsi="Verdana" w:cs="Arial"/>
          <w:lang w:eastAsia="en-US"/>
        </w:rPr>
        <w:t>An appraisal of the inherent toxicity of the VMP and the identification of the most relevant toxicological reference values (TRVs);</w:t>
      </w:r>
    </w:p>
    <w:p w:rsidR="00D9373E" w:rsidRPr="00D17359" w:rsidP="00D9373E">
      <w:pPr>
        <w:numPr>
          <w:ilvl w:val="0"/>
          <w:numId w:val="42"/>
        </w:numPr>
        <w:spacing w:after="160" w:line="259" w:lineRule="auto"/>
        <w:contextualSpacing/>
        <w:rPr>
          <w:rFonts w:ascii="Verdana" w:eastAsia="Aptos" w:hAnsi="Verdana" w:cs="Arial"/>
          <w:lang w:eastAsia="en-US"/>
        </w:rPr>
      </w:pPr>
      <w:r w:rsidRPr="00D17359">
        <w:rPr>
          <w:rFonts w:ascii="Verdana" w:eastAsia="Aptos" w:hAnsi="Verdana" w:cs="Arial"/>
          <w:lang w:eastAsia="en-US"/>
        </w:rPr>
        <w:t>An appraisal of how and when the user will be exposed to the VMP – identifying the different exposure scenarios and estimating user exposure for each scenario;</w:t>
      </w:r>
    </w:p>
    <w:p w:rsidR="00D9373E" w:rsidRPr="00D17359" w:rsidP="00D9373E">
      <w:pPr>
        <w:numPr>
          <w:ilvl w:val="0"/>
          <w:numId w:val="42"/>
        </w:numPr>
        <w:spacing w:after="160" w:line="259" w:lineRule="auto"/>
        <w:contextualSpacing/>
        <w:rPr>
          <w:rFonts w:ascii="Verdana" w:eastAsia="Aptos" w:hAnsi="Verdana" w:cs="Arial"/>
          <w:lang w:eastAsia="en-US"/>
        </w:rPr>
      </w:pPr>
      <w:r w:rsidRPr="00D17359">
        <w:rPr>
          <w:rFonts w:ascii="Verdana" w:eastAsia="Aptos" w:hAnsi="Verdana" w:cs="Arial"/>
          <w:lang w:eastAsia="en-US"/>
        </w:rPr>
        <w:t>Assessment of the level of risk by establishing margins of exposure (MOEs) based on a comparison of the exposure levels with the toxicological reference values;</w:t>
      </w:r>
    </w:p>
    <w:p w:rsidR="00D9373E" w:rsidRPr="00D17359" w:rsidP="00D9373E">
      <w:pPr>
        <w:numPr>
          <w:ilvl w:val="0"/>
          <w:numId w:val="42"/>
        </w:numPr>
        <w:spacing w:after="160" w:line="259" w:lineRule="auto"/>
        <w:contextualSpacing/>
        <w:rPr>
          <w:rFonts w:ascii="Verdana" w:eastAsia="Aptos" w:hAnsi="Verdana" w:cs="Arial"/>
          <w:lang w:eastAsia="en-US"/>
        </w:rPr>
      </w:pPr>
      <w:r w:rsidRPr="00D17359">
        <w:rPr>
          <w:rFonts w:ascii="Verdana" w:eastAsia="Aptos" w:hAnsi="Verdana" w:cs="Arial"/>
          <w:lang w:eastAsia="en-US"/>
        </w:rPr>
        <w:t>The proposal of appropriate and practical risk mitigation measures where appropriate</w:t>
      </w:r>
    </w:p>
    <w:p w:rsidR="00B66C99" w:rsidRPr="00D17359" w:rsidP="00B66C99">
      <w:pPr>
        <w:spacing w:after="160" w:line="259" w:lineRule="auto"/>
        <w:ind w:left="720"/>
        <w:contextualSpacing/>
        <w:rPr>
          <w:rFonts w:ascii="Verdana" w:eastAsia="Aptos" w:hAnsi="Verdana" w:cs="Arial"/>
          <w:lang w:eastAsia="en-US"/>
        </w:rPr>
      </w:pP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Products are only authorised when the </w:t>
      </w:r>
      <w:r w:rsidRPr="00D17359" w:rsidR="00B66C99">
        <w:rPr>
          <w:rFonts w:ascii="Verdana" w:eastAsia="Aptos" w:hAnsi="Verdana" w:cs="Arial"/>
          <w:lang w:eastAsia="en-US"/>
        </w:rPr>
        <w:t>regulator, in the UK the Veterinary Medicines Directorate (</w:t>
      </w:r>
      <w:r w:rsidRPr="00D17359">
        <w:rPr>
          <w:rFonts w:ascii="Verdana" w:eastAsia="Aptos" w:hAnsi="Verdana" w:cs="Arial"/>
          <w:lang w:eastAsia="en-US"/>
        </w:rPr>
        <w:t>VMD</w:t>
      </w:r>
      <w:r w:rsidRPr="00D17359" w:rsidR="00B66C99">
        <w:rPr>
          <w:rFonts w:ascii="Verdana" w:eastAsia="Aptos" w:hAnsi="Verdana" w:cs="Arial"/>
          <w:lang w:eastAsia="en-US"/>
        </w:rPr>
        <w:t>),</w:t>
      </w:r>
      <w:r w:rsidRPr="00D17359">
        <w:rPr>
          <w:rFonts w:ascii="Verdana" w:eastAsia="Aptos" w:hAnsi="Verdana" w:cs="Arial"/>
          <w:lang w:eastAsia="en-US"/>
        </w:rPr>
        <w:t xml:space="preserve"> concludes that the benefit-risk balance is positive and that risks to users can be appropriately managed.</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The assessment does not end at authorisation. Pharmacovigilance systems require companies to </w:t>
      </w:r>
      <w:r w:rsidRPr="00D17359">
        <w:rPr>
          <w:rFonts w:ascii="Verdana" w:eastAsia="Aptos" w:hAnsi="Verdana" w:cs="Arial"/>
          <w:lang w:eastAsia="en-US"/>
        </w:rPr>
        <w:t>monitor</w:t>
      </w:r>
      <w:r w:rsidRPr="00D17359">
        <w:rPr>
          <w:rFonts w:ascii="Verdana" w:eastAsia="Aptos" w:hAnsi="Verdana" w:cs="Arial"/>
          <w:lang w:eastAsia="en-US"/>
        </w:rPr>
        <w:t xml:space="preserve"> and report </w:t>
      </w:r>
      <w:r w:rsidRPr="00D17359" w:rsidR="00B66D65">
        <w:rPr>
          <w:rFonts w:ascii="Verdana" w:eastAsia="Aptos" w:hAnsi="Verdana" w:cs="Arial"/>
          <w:lang w:eastAsia="en-US"/>
        </w:rPr>
        <w:t xml:space="preserve">suspected </w:t>
      </w:r>
      <w:r w:rsidRPr="00D17359">
        <w:rPr>
          <w:rFonts w:ascii="Verdana" w:eastAsia="Aptos" w:hAnsi="Verdana" w:cs="Arial"/>
          <w:lang w:eastAsia="en-US"/>
        </w:rPr>
        <w:t>adverse events and emerging safety information throughout the product's lifecycle. Regulatory authorities can amend, suspend or revoke authorisations if new evidence alters the benefit-risk balance.</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The VMD has reported the frequency of adverse events involving humans and some active ingredients in anti-parasitic medicines </w:t>
      </w:r>
      <w:r>
        <w:fldChar w:fldCharType="begin"/>
      </w:r>
      <w:r>
        <w:instrText xml:space="preserve"> HYPERLINK "https://www.gov.uk/government/news/ectoparasiticide-veterinary-medicinal-products-containing-fipronil-imidacloprid-and-permethrin" </w:instrText>
      </w:r>
      <w:r>
        <w:fldChar w:fldCharType="separate"/>
      </w:r>
      <w:r w:rsidRPr="00D17359">
        <w:rPr>
          <w:rFonts w:ascii="Verdana" w:eastAsia="Aptos" w:hAnsi="Verdana" w:cs="Arial"/>
          <w:color w:val="467886"/>
          <w:u w:val="single"/>
          <w:lang w:eastAsia="en-US"/>
        </w:rPr>
        <w:t>here</w:t>
      </w:r>
      <w:r>
        <w:fldChar w:fldCharType="end"/>
      </w:r>
      <w:r w:rsidRPr="00D17359">
        <w:rPr>
          <w:rFonts w:ascii="Verdana" w:eastAsia="Aptos" w:hAnsi="Verdana" w:cs="Arial"/>
          <w:lang w:eastAsia="en-US"/>
        </w:rPr>
        <w:t xml:space="preserve"> (VMD, 2023):</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noProof/>
          <w:lang w:eastAsia="en-US"/>
        </w:rPr>
        <w:drawing>
          <wp:inline distT="0" distB="0" distL="0" distR="0">
            <wp:extent cx="3817041" cy="2444750"/>
            <wp:effectExtent l="0" t="0" r="0" b="0"/>
            <wp:docPr id="763632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632441" name=""/>
                    <pic:cNvPicPr/>
                  </pic:nvPicPr>
                  <pic:blipFill>
                    <a:blip xmlns:r="http://schemas.openxmlformats.org/officeDocument/2006/relationships" r:embed="rId8"/>
                    <a:stretch>
                      <a:fillRect/>
                    </a:stretch>
                  </pic:blipFill>
                  <pic:spPr>
                    <a:xfrm>
                      <a:off x="0" y="0"/>
                      <a:ext cx="3821701" cy="2447735"/>
                    </a:xfrm>
                    <a:prstGeom prst="rect">
                      <a:avLst/>
                    </a:prstGeom>
                  </pic:spPr>
                </pic:pic>
              </a:graphicData>
            </a:graphic>
          </wp:inline>
        </w:drawing>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Full and detailed information on the user (human) safety assessment process that has been applied to the authorisation of the products that are subject to these discussions can be found via the European Medicines Agency Committee for Veterinary Medicinal Products (CVMP) guidelines (EMA, 2018). </w:t>
      </w:r>
    </w:p>
    <w:p w:rsidR="00D9373E" w:rsidRPr="00D17359" w:rsidP="00D9373E">
      <w:pPr>
        <w:spacing w:after="160" w:line="259" w:lineRule="auto"/>
        <w:rPr>
          <w:rFonts w:ascii="Verdana" w:eastAsia="Aptos" w:hAnsi="Verdana" w:cs="Arial"/>
          <w:lang w:eastAsia="en-US"/>
        </w:rPr>
      </w:pPr>
    </w:p>
    <w:p w:rsidR="00D9373E" w:rsidRPr="00D17359" w:rsidP="00D9373E">
      <w:pPr>
        <w:spacing w:after="160" w:line="259" w:lineRule="auto"/>
        <w:rPr>
          <w:rFonts w:ascii="Verdana" w:eastAsia="Aptos" w:hAnsi="Verdana" w:cs="Arial"/>
          <w:b/>
          <w:bCs/>
          <w:lang w:eastAsia="en-US"/>
        </w:rPr>
      </w:pPr>
      <w:r w:rsidRPr="00D17359">
        <w:rPr>
          <w:rFonts w:ascii="Verdana" w:eastAsia="Aptos" w:hAnsi="Verdana" w:cs="Arial"/>
          <w:b/>
          <w:bCs/>
          <w:lang w:eastAsia="en-US"/>
        </w:rPr>
        <w:t>3. Industry Investment in Research on Human Health Risk</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During the evidence session, a member of the Committee asked for information on how much money the industry is putting into research on human health risk. NOAH does not hold data on the levels of UK based research on these matters.</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As described during the session, both here in the UK and globally, the animal health industry is a small sector. This means that much of the research is undertaken on a European or global basis and will not be specific to the UK market. </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UK and European animal health companies spend an average of 7.8% of revenue on Research and Development (R and D), that reflects approximately </w:t>
      </w:r>
      <w:r w:rsidRPr="00D17359">
        <w:rPr>
          <w:rFonts w:ascii="Verdana" w:eastAsia="Aptos" w:hAnsi="Verdana"/>
          <w:lang w:eastAsia="en-US"/>
        </w:rPr>
        <w:t>€</w:t>
      </w:r>
      <w:r w:rsidRPr="00D17359">
        <w:rPr>
          <w:rFonts w:ascii="Verdana" w:eastAsia="Aptos" w:hAnsi="Verdana" w:cs="Arial"/>
          <w:lang w:eastAsia="en-US"/>
        </w:rPr>
        <w:t xml:space="preserve">700 million spent per year in this region (AnimalhealthEurope 2024). A significant portion of that R&amp;D investment is spent on producing the necessary safety and other studies for product approval, as well as expenditure on post-approval studies conducted by companies to ensure their products continue to meet regulatory standards. This expenditure relates to their entire portfolios and is not directly related to parasiticide veterinary medicines. As a trade organization, we do not hold detailed, granular data of that nature. </w:t>
      </w:r>
    </w:p>
    <w:p w:rsidR="00D9373E" w:rsidRPr="00D17359" w:rsidP="00D9373E">
      <w:pPr>
        <w:spacing w:after="160" w:line="259" w:lineRule="auto"/>
        <w:rPr>
          <w:rFonts w:ascii="Verdana" w:eastAsia="Aptos" w:hAnsi="Verdana" w:cs="Arial"/>
          <w:b/>
          <w:bCs/>
          <w:lang w:eastAsia="en-US"/>
        </w:rPr>
      </w:pPr>
    </w:p>
    <w:p w:rsidR="00D9373E" w:rsidRPr="00D17359" w:rsidP="00D9373E">
      <w:pPr>
        <w:spacing w:after="160" w:line="259" w:lineRule="auto"/>
        <w:rPr>
          <w:rFonts w:ascii="Verdana" w:eastAsia="Aptos" w:hAnsi="Verdana" w:cs="Arial"/>
          <w:b/>
          <w:bCs/>
          <w:lang w:eastAsia="en-US"/>
        </w:rPr>
      </w:pPr>
      <w:r w:rsidRPr="00D17359">
        <w:rPr>
          <w:rFonts w:ascii="Verdana" w:eastAsia="Aptos" w:hAnsi="Verdana" w:cs="Arial"/>
          <w:b/>
          <w:bCs/>
          <w:lang w:eastAsia="en-US"/>
        </w:rPr>
        <w:t>4. Information regarding declining levels of fipronil in UK waters</w:t>
      </w:r>
    </w:p>
    <w:p w:rsidR="00C617EB" w:rsidRPr="00D17359" w:rsidP="006D1E1D">
      <w:pPr>
        <w:spacing w:after="160" w:line="259" w:lineRule="auto"/>
        <w:rPr>
          <w:rFonts w:ascii="Verdana" w:eastAsia="Aptos" w:hAnsi="Verdana" w:cs="Arial"/>
          <w:lang w:eastAsia="en-US"/>
        </w:rPr>
      </w:pPr>
      <w:r w:rsidRPr="00D17359">
        <w:rPr>
          <w:rFonts w:ascii="Verdana" w:eastAsia="Aptos" w:hAnsi="Verdana" w:cs="Arial"/>
          <w:lang w:eastAsia="en-US"/>
        </w:rPr>
        <w:t>During the evidence session there was discussion regarding declining levels of imidacloprid in UK waters, but the opportunity to discuss fipronil in this context did not arise. NOAH wishes to draw the Committee’s attention to unpublished data, with peer reviewed publication being pursued, which demonstrates declining levels of fipronil in UK waters. The data contained in the report can be made available following its acceptance for publication.</w:t>
      </w:r>
    </w:p>
    <w:p w:rsidR="00D9373E" w:rsidRPr="00D17359" w:rsidP="006D1E1D">
      <w:pPr>
        <w:spacing w:after="160" w:line="259" w:lineRule="auto"/>
        <w:contextualSpacing/>
        <w:rPr>
          <w:rFonts w:ascii="Verdana" w:eastAsia="Aptos" w:hAnsi="Verdana" w:cs="Arial"/>
          <w:lang w:eastAsia="en-US"/>
        </w:rPr>
      </w:pPr>
    </w:p>
    <w:p w:rsidR="00D9373E" w:rsidRPr="00D17359" w:rsidP="00D9373E">
      <w:pPr>
        <w:numPr>
          <w:ilvl w:val="0"/>
          <w:numId w:val="41"/>
        </w:numPr>
        <w:spacing w:after="160" w:line="259" w:lineRule="auto"/>
        <w:contextualSpacing/>
        <w:rPr>
          <w:rFonts w:ascii="Verdana" w:eastAsia="Aptos" w:hAnsi="Verdana" w:cs="Arial"/>
          <w:lang w:eastAsia="en-US"/>
        </w:rPr>
      </w:pPr>
      <w:r w:rsidRPr="00D17359">
        <w:rPr>
          <w:rFonts w:ascii="Verdana" w:eastAsia="Aptos" w:hAnsi="Verdana" w:cs="Arial"/>
          <w:lang w:eastAsia="en-US"/>
        </w:rPr>
        <w:t>Fipronil concentrations in UK surface waters are generally low and the available monitoring data indicate that concentrations have declined since 2016.</w:t>
      </w:r>
    </w:p>
    <w:p w:rsidR="00D9373E" w:rsidRPr="00D17359" w:rsidP="00D9373E">
      <w:pPr>
        <w:numPr>
          <w:ilvl w:val="0"/>
          <w:numId w:val="41"/>
        </w:numPr>
        <w:spacing w:after="160" w:line="259" w:lineRule="auto"/>
        <w:contextualSpacing/>
        <w:rPr>
          <w:rFonts w:ascii="Verdana" w:eastAsia="Aptos" w:hAnsi="Verdana" w:cs="Arial"/>
          <w:lang w:eastAsia="en-US"/>
        </w:rPr>
      </w:pPr>
      <w:r w:rsidRPr="00D17359">
        <w:rPr>
          <w:rFonts w:ascii="Verdana" w:eastAsia="Aptos" w:hAnsi="Verdana" w:cs="Arial"/>
          <w:lang w:eastAsia="en-US"/>
        </w:rPr>
        <w:t>Elevated concentrations (≥20 ng/L) were highly spatially clustered, with a small number of monitoring locations accounting for a disproportionate fraction of higher concentration observations. This pattern suggests that localised sources and catchment-specific factors play an important role in determining environmental occurrence and is inconsistent with a uniformly distributed national contamination pattern.</w:t>
      </w:r>
    </w:p>
    <w:p w:rsidR="00D9373E" w:rsidRPr="00D17359" w:rsidP="00D9373E">
      <w:pPr>
        <w:numPr>
          <w:ilvl w:val="0"/>
          <w:numId w:val="41"/>
        </w:numPr>
        <w:spacing w:after="160" w:line="278" w:lineRule="auto"/>
        <w:contextualSpacing/>
        <w:rPr>
          <w:rFonts w:ascii="Verdana" w:eastAsia="Aptos" w:hAnsi="Verdana" w:cs="Calibri"/>
          <w:kern w:val="2"/>
          <w:lang w:eastAsia="en-US"/>
        </w:rPr>
      </w:pPr>
      <w:r w:rsidRPr="00D17359">
        <w:rPr>
          <w:rFonts w:ascii="Verdana" w:eastAsia="Aptos" w:hAnsi="Verdana" w:cs="Calibri"/>
          <w:kern w:val="2"/>
          <w:lang w:eastAsia="en-US"/>
        </w:rPr>
        <w:t xml:space="preserve">The available monitoring data includes samples analysed by either LC-MS (Liquid Chromatography Mass Spectrometry) or GC-MS (Gas Chromatography-Mass Spectrometry). </w:t>
      </w:r>
      <w:r w:rsidRPr="00D17359">
        <w:rPr>
          <w:rFonts w:ascii="Verdana" w:eastAsia="Aptos" w:hAnsi="Verdana" w:cs="Calibri"/>
          <w:lang w:eastAsia="en-US"/>
        </w:rPr>
        <w:t xml:space="preserve">LC-MS monitoring indicated a substantial reduction in annual average concentrations </w:t>
      </w:r>
      <w:r w:rsidRPr="00D17359">
        <w:rPr>
          <w:rFonts w:ascii="Verdana" w:eastAsia="Aptos" w:hAnsi="Verdana" w:cs="Calibri"/>
          <w:lang w:eastAsia="en-US"/>
        </w:rPr>
        <w:t>between 2016 and 2024, while reconstruction of the wider GC-MS monitoring network showed that approximately 99% of 1,505 samples collected in 2024 were below the analytical detection limit of 10 ng/L.</w:t>
      </w:r>
    </w:p>
    <w:p w:rsidR="00D9373E" w:rsidRPr="00D17359" w:rsidP="00D9373E">
      <w:pPr>
        <w:numPr>
          <w:ilvl w:val="0"/>
          <w:numId w:val="41"/>
        </w:numPr>
        <w:spacing w:after="160" w:line="259" w:lineRule="auto"/>
        <w:contextualSpacing/>
        <w:rPr>
          <w:rFonts w:ascii="Verdana" w:eastAsia="Aptos" w:hAnsi="Verdana" w:cs="Arial"/>
          <w:lang w:eastAsia="en-US"/>
        </w:rPr>
      </w:pPr>
      <w:r w:rsidRPr="00D17359">
        <w:rPr>
          <w:rFonts w:ascii="Verdana" w:eastAsia="Aptos" w:hAnsi="Verdana" w:cs="Arial"/>
          <w:lang w:eastAsia="en-US"/>
        </w:rPr>
        <w:t>Published assessments have largely relied on datasets containing only concentrations reported above analytical detection limits. Reconstruction of missing sampling events and incorporation of non-detect observations identified 1,909 LC-MS and 15,657 GC-MS observations below analytical detection limits between 2016 and 2024.</w:t>
      </w:r>
    </w:p>
    <w:p w:rsidR="00D9373E" w:rsidRPr="00D17359" w:rsidP="00D9373E">
      <w:pPr>
        <w:numPr>
          <w:ilvl w:val="0"/>
          <w:numId w:val="41"/>
        </w:numPr>
        <w:spacing w:after="160" w:line="259" w:lineRule="auto"/>
        <w:contextualSpacing/>
        <w:rPr>
          <w:rFonts w:ascii="Verdana" w:eastAsia="Aptos" w:hAnsi="Verdana" w:cs="Arial"/>
          <w:lang w:eastAsia="en-US"/>
        </w:rPr>
      </w:pPr>
      <w:r w:rsidRPr="00D17359">
        <w:rPr>
          <w:rFonts w:ascii="Verdana" w:eastAsia="Aptos" w:hAnsi="Verdana" w:cs="Arial"/>
          <w:lang w:eastAsia="en-US"/>
        </w:rPr>
        <w:t xml:space="preserve">While veterinary flea treatment products represent a plausible environmental pathway, several observations suggest that environmental occurrence cannot presently be attributed exclusively, or with confidence predominantly, to companion animal use. </w:t>
      </w:r>
    </w:p>
    <w:p w:rsidR="00D9373E" w:rsidRPr="00D17359" w:rsidP="00D9373E">
      <w:pPr>
        <w:numPr>
          <w:ilvl w:val="0"/>
          <w:numId w:val="41"/>
        </w:numPr>
        <w:spacing w:after="160" w:line="259" w:lineRule="auto"/>
        <w:contextualSpacing/>
        <w:rPr>
          <w:rFonts w:ascii="Verdana" w:eastAsia="Aptos" w:hAnsi="Verdana" w:cs="Arial"/>
          <w:lang w:eastAsia="en-US"/>
        </w:rPr>
      </w:pPr>
      <w:r w:rsidRPr="00D17359">
        <w:rPr>
          <w:rFonts w:ascii="Verdana" w:eastAsia="Aptos" w:hAnsi="Verdana" w:cs="Arial"/>
          <w:lang w:eastAsia="en-US"/>
        </w:rPr>
        <w:t>Elevated concentrations were concentrated within a small number of catchments, hotspot locations were associated with wastewater and non-water company effluent discharges, and wastewater monitoring data did not exhibit the seasonal patterns that might be expected if concentrations were driven primarily by peak flea-treatment use (Brown, 2026).</w:t>
      </w:r>
    </w:p>
    <w:p w:rsidR="00D2680A" w:rsidRPr="00D17359" w:rsidP="00D2680A">
      <w:pPr>
        <w:spacing w:after="160" w:line="259" w:lineRule="auto"/>
        <w:ind w:left="1440"/>
        <w:contextualSpacing/>
        <w:rPr>
          <w:rFonts w:ascii="Verdana" w:eastAsia="Aptos" w:hAnsi="Verdana" w:cs="Arial"/>
          <w:lang w:eastAsia="en-US"/>
        </w:rPr>
      </w:pPr>
    </w:p>
    <w:p w:rsidR="00B44E68" w:rsidRPr="00D17359" w:rsidP="006C572D">
      <w:pPr>
        <w:spacing w:after="160" w:line="259" w:lineRule="auto"/>
        <w:contextualSpacing/>
        <w:rPr>
          <w:rFonts w:ascii="Verdana" w:eastAsia="Aptos" w:hAnsi="Verdana" w:cs="Arial"/>
          <w:lang w:eastAsia="en-US"/>
        </w:rPr>
      </w:pPr>
      <w:r w:rsidRPr="00D17359">
        <w:rPr>
          <w:rFonts w:ascii="Verdana" w:eastAsia="Aptos" w:hAnsi="Verdana" w:cs="Arial"/>
          <w:lang w:eastAsia="en-US"/>
        </w:rPr>
        <w:t>Please note that as the data referred to above is unpublished, not all NOAH member companies have reviewed the data.</w:t>
      </w:r>
    </w:p>
    <w:p w:rsidR="003B1343" w:rsidRPr="00D17359" w:rsidP="003B1343">
      <w:pPr>
        <w:spacing w:after="160" w:line="259" w:lineRule="auto"/>
        <w:ind w:left="1440"/>
        <w:contextualSpacing/>
        <w:rPr>
          <w:rFonts w:ascii="Verdana" w:eastAsia="Aptos" w:hAnsi="Verdana" w:cs="Arial"/>
          <w:lang w:eastAsia="en-US"/>
        </w:rPr>
      </w:pPr>
    </w:p>
    <w:p w:rsidR="00D9373E" w:rsidRPr="00D17359" w:rsidP="00D9373E">
      <w:pPr>
        <w:spacing w:after="160" w:line="259" w:lineRule="auto"/>
        <w:rPr>
          <w:rFonts w:ascii="Verdana" w:eastAsia="Aptos" w:hAnsi="Verdana" w:cs="Arial"/>
          <w:b/>
          <w:bCs/>
          <w:lang w:eastAsia="en-US"/>
        </w:rPr>
      </w:pPr>
      <w:r w:rsidRPr="00D17359">
        <w:rPr>
          <w:rFonts w:ascii="Verdana" w:eastAsia="Aptos" w:hAnsi="Verdana" w:cs="Arial"/>
          <w:b/>
          <w:bCs/>
          <w:lang w:eastAsia="en-US"/>
        </w:rPr>
        <w:t>5. VICH and Industry Participation</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Please see the separate document that has been provided describing industry participation in VICH. </w:t>
      </w:r>
    </w:p>
    <w:p w:rsidR="003B1343" w:rsidRPr="00D17359" w:rsidP="00D9373E">
      <w:pPr>
        <w:spacing w:after="160" w:line="259" w:lineRule="auto"/>
        <w:rPr>
          <w:rFonts w:ascii="Verdana" w:eastAsia="Aptos" w:hAnsi="Verdana" w:cs="Arial"/>
          <w:lang w:eastAsia="en-US"/>
        </w:rPr>
      </w:pPr>
    </w:p>
    <w:p w:rsidR="00D9373E" w:rsidRPr="00D17359" w:rsidP="00D9373E">
      <w:pPr>
        <w:spacing w:after="160" w:line="259" w:lineRule="auto"/>
        <w:rPr>
          <w:rFonts w:ascii="Verdana" w:eastAsia="Aptos" w:hAnsi="Verdana" w:cs="Arial"/>
          <w:b/>
          <w:bCs/>
          <w:lang w:eastAsia="en-US"/>
        </w:rPr>
      </w:pPr>
      <w:r w:rsidRPr="00D17359">
        <w:rPr>
          <w:rFonts w:ascii="Verdana" w:eastAsia="Aptos" w:hAnsi="Verdana" w:cs="Arial"/>
          <w:b/>
          <w:bCs/>
          <w:lang w:eastAsia="en-US"/>
        </w:rPr>
        <w:t>6. Pets Not Registered with a Veterinary Practice- up to date figures</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There is no central register of pets in the UK and therefore no definitive figure for the number of animals not registered with a veterinary practice. During the evidence session, NOAH referred to a 2023 report. We would like to draw the Committee’s attention to a more recent report, with more up to date figures. </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The </w:t>
      </w:r>
      <w:r>
        <w:fldChar w:fldCharType="begin"/>
      </w:r>
      <w:r>
        <w:instrText xml:space="preserve"> HYPERLINK "https://www.pdsa.org.uk/what-we-do/pdsa-animal-wellbeing-report" </w:instrText>
      </w:r>
      <w:r>
        <w:fldChar w:fldCharType="separate"/>
      </w:r>
      <w:r w:rsidRPr="00D17359">
        <w:rPr>
          <w:rFonts w:ascii="Verdana" w:eastAsia="Aptos" w:hAnsi="Verdana" w:cs="Arial"/>
          <w:color w:val="467886"/>
          <w:u w:val="single"/>
          <w:lang w:eastAsia="en-US"/>
        </w:rPr>
        <w:t>PDSA’s 2025 Paw Report</w:t>
      </w:r>
      <w:r>
        <w:fldChar w:fldCharType="end"/>
      </w:r>
      <w:r w:rsidRPr="00D17359">
        <w:rPr>
          <w:rFonts w:ascii="Verdana" w:eastAsia="Aptos" w:hAnsi="Verdana" w:cs="Arial"/>
          <w:lang w:eastAsia="en-US"/>
        </w:rPr>
        <w:t xml:space="preserve"> states that 10% of dogs in the UK and 15% of cats are not registered with a veterinary practice. When applied against the same report’s estimates of the dog population (11.1 million) and cat population (10.5 million), this means that 1.11 million dogs and 1.575 million cats, (a total of 2.675 million pets), are not registered with a veterinary practice (PDSA, 2025). </w:t>
      </w:r>
    </w:p>
    <w:p w:rsidR="00D9373E" w:rsidRPr="00D17359" w:rsidP="00D9373E">
      <w:pPr>
        <w:spacing w:after="160" w:line="259" w:lineRule="auto"/>
        <w:rPr>
          <w:rFonts w:ascii="Verdana" w:eastAsia="Aptos" w:hAnsi="Verdana" w:cs="Arial"/>
          <w:lang w:eastAsia="en-US"/>
        </w:rPr>
      </w:pPr>
    </w:p>
    <w:p w:rsidR="00D9373E" w:rsidRPr="00D17359" w:rsidP="00D9373E">
      <w:pPr>
        <w:spacing w:after="160" w:line="259" w:lineRule="auto"/>
        <w:rPr>
          <w:rFonts w:ascii="Verdana" w:eastAsia="Aptos" w:hAnsi="Verdana" w:cs="Arial"/>
          <w:b/>
          <w:bCs/>
          <w:lang w:eastAsia="en-US"/>
        </w:rPr>
      </w:pPr>
      <w:r w:rsidRPr="00D17359">
        <w:rPr>
          <w:rFonts w:ascii="Verdana" w:eastAsia="Aptos" w:hAnsi="Verdana" w:cs="Arial"/>
          <w:b/>
          <w:bCs/>
          <w:lang w:eastAsia="en-US"/>
        </w:rPr>
        <w:t>7. Post-Authorisation Monitoring of Environmental Concerns</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The environmental assessment of a veterinary medicine does not end when a product is authorised. Companies have ongoing obligations to monitor emerging evidence and to report information to the regulatory authorities that may affect the benefit-risk balance of a product.</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This monitoring draws on multiple sources, including:</w:t>
      </w:r>
    </w:p>
    <w:p w:rsidR="00D9373E" w:rsidRPr="00D17359" w:rsidP="00D9373E">
      <w:pPr>
        <w:numPr>
          <w:ilvl w:val="0"/>
          <w:numId w:val="37"/>
        </w:numPr>
        <w:spacing w:after="160" w:line="259" w:lineRule="auto"/>
        <w:rPr>
          <w:rFonts w:ascii="Verdana" w:eastAsia="Aptos" w:hAnsi="Verdana" w:cs="Arial"/>
          <w:lang w:eastAsia="en-US"/>
        </w:rPr>
      </w:pPr>
      <w:r w:rsidRPr="00D17359">
        <w:rPr>
          <w:rFonts w:ascii="Verdana" w:eastAsia="Aptos" w:hAnsi="Verdana" w:cs="Arial"/>
          <w:lang w:eastAsia="en-US"/>
        </w:rPr>
        <w:t>Pharmacovigilance reports received from a range of sources, including vets, the general public.</w:t>
      </w:r>
    </w:p>
    <w:p w:rsidR="00D9373E" w:rsidRPr="00D17359" w:rsidP="00D9373E">
      <w:pPr>
        <w:numPr>
          <w:ilvl w:val="0"/>
          <w:numId w:val="37"/>
        </w:numPr>
        <w:spacing w:after="160" w:line="259" w:lineRule="auto"/>
        <w:rPr>
          <w:rFonts w:ascii="Verdana" w:eastAsia="Aptos" w:hAnsi="Verdana" w:cs="Arial"/>
          <w:lang w:eastAsia="en-US"/>
        </w:rPr>
      </w:pPr>
      <w:r w:rsidRPr="00D17359">
        <w:rPr>
          <w:rFonts w:ascii="Verdana" w:eastAsia="Aptos" w:hAnsi="Verdana" w:cs="Arial"/>
          <w:lang w:eastAsia="en-US"/>
        </w:rPr>
        <w:t>Scientific literature surveillance.</w:t>
      </w:r>
    </w:p>
    <w:p w:rsidR="00D9373E" w:rsidRPr="00D17359" w:rsidP="00D9373E">
      <w:pPr>
        <w:numPr>
          <w:ilvl w:val="0"/>
          <w:numId w:val="37"/>
        </w:numPr>
        <w:spacing w:after="160" w:line="259" w:lineRule="auto"/>
        <w:rPr>
          <w:rFonts w:ascii="Verdana" w:eastAsia="Aptos" w:hAnsi="Verdana" w:cs="Arial"/>
          <w:lang w:eastAsia="en-US"/>
        </w:rPr>
      </w:pPr>
      <w:r w:rsidRPr="00D17359">
        <w:rPr>
          <w:rFonts w:ascii="Verdana" w:eastAsia="Aptos" w:hAnsi="Verdana" w:cs="Arial"/>
          <w:lang w:eastAsia="en-US"/>
        </w:rPr>
        <w:t>New toxicological or ecotoxicological research.</w:t>
      </w:r>
    </w:p>
    <w:p w:rsidR="00D9373E" w:rsidRPr="00D17359" w:rsidP="004E0754">
      <w:pPr>
        <w:numPr>
          <w:ilvl w:val="0"/>
          <w:numId w:val="37"/>
        </w:numPr>
        <w:spacing w:after="160" w:line="259" w:lineRule="auto"/>
        <w:rPr>
          <w:rFonts w:ascii="Verdana" w:eastAsia="Aptos" w:hAnsi="Verdana" w:cs="Arial"/>
          <w:lang w:eastAsia="en-US"/>
        </w:rPr>
      </w:pPr>
      <w:r w:rsidRPr="00D17359">
        <w:rPr>
          <w:rFonts w:ascii="Verdana" w:eastAsia="Aptos" w:hAnsi="Verdana" w:cs="Arial"/>
          <w:lang w:eastAsia="en-US"/>
        </w:rPr>
        <w:t>Information from global regulators, academia and other stakeholders.</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Marketing Authorisation Holders are required to notify the VMD of information that could affect a product's safety profile. Where new evidence emerges, companies may submit data to the VMD who will </w:t>
      </w:r>
      <w:r w:rsidRPr="00D17359">
        <w:rPr>
          <w:rFonts w:ascii="Verdana" w:eastAsia="Aptos" w:hAnsi="Verdana" w:cs="Arial"/>
          <w:lang w:eastAsia="en-US"/>
        </w:rPr>
        <w:t>then  assess</w:t>
      </w:r>
      <w:r w:rsidRPr="00D17359">
        <w:rPr>
          <w:rFonts w:ascii="Verdana" w:eastAsia="Aptos" w:hAnsi="Verdana" w:cs="Arial"/>
          <w:lang w:eastAsia="en-US"/>
        </w:rPr>
        <w:t xml:space="preserve"> whether any regulatory action is required.</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Potential regulatory responses may include:</w:t>
      </w:r>
    </w:p>
    <w:p w:rsidR="00D9373E" w:rsidRPr="00D17359" w:rsidP="00D9373E">
      <w:pPr>
        <w:numPr>
          <w:ilvl w:val="0"/>
          <w:numId w:val="38"/>
        </w:numPr>
        <w:spacing w:after="160" w:line="259" w:lineRule="auto"/>
        <w:rPr>
          <w:rFonts w:ascii="Verdana" w:eastAsia="Aptos" w:hAnsi="Verdana" w:cs="Arial"/>
          <w:lang w:eastAsia="en-US"/>
        </w:rPr>
      </w:pPr>
      <w:r w:rsidRPr="00D17359">
        <w:rPr>
          <w:rFonts w:ascii="Verdana" w:eastAsia="Aptos" w:hAnsi="Verdana" w:cs="Arial"/>
          <w:lang w:eastAsia="en-US"/>
        </w:rPr>
        <w:t>Updates to product information.</w:t>
      </w:r>
    </w:p>
    <w:p w:rsidR="00D9373E" w:rsidRPr="00D17359" w:rsidP="00D9373E">
      <w:pPr>
        <w:numPr>
          <w:ilvl w:val="0"/>
          <w:numId w:val="38"/>
        </w:numPr>
        <w:spacing w:after="160" w:line="259" w:lineRule="auto"/>
        <w:rPr>
          <w:rFonts w:ascii="Verdana" w:eastAsia="Aptos" w:hAnsi="Verdana" w:cs="Arial"/>
          <w:lang w:eastAsia="en-US"/>
        </w:rPr>
      </w:pPr>
      <w:r w:rsidRPr="00D17359">
        <w:rPr>
          <w:rFonts w:ascii="Verdana" w:eastAsia="Aptos" w:hAnsi="Verdana" w:cs="Arial"/>
          <w:lang w:eastAsia="en-US"/>
        </w:rPr>
        <w:t>Additional warnings or risk mitigation measures.</w:t>
      </w:r>
    </w:p>
    <w:p w:rsidR="00D9373E" w:rsidRPr="00D17359" w:rsidP="00D9373E">
      <w:pPr>
        <w:numPr>
          <w:ilvl w:val="0"/>
          <w:numId w:val="38"/>
        </w:numPr>
        <w:spacing w:after="160" w:line="259" w:lineRule="auto"/>
        <w:rPr>
          <w:rFonts w:ascii="Verdana" w:eastAsia="Aptos" w:hAnsi="Verdana" w:cs="Arial"/>
          <w:lang w:eastAsia="en-US"/>
        </w:rPr>
      </w:pPr>
      <w:r w:rsidRPr="00D17359">
        <w:rPr>
          <w:rFonts w:ascii="Verdana" w:eastAsia="Aptos" w:hAnsi="Verdana" w:cs="Arial"/>
          <w:lang w:eastAsia="en-US"/>
        </w:rPr>
        <w:t>Changes to conditions of use.</w:t>
      </w:r>
    </w:p>
    <w:p w:rsidR="00D9373E" w:rsidRPr="00D17359" w:rsidP="00D9373E">
      <w:pPr>
        <w:numPr>
          <w:ilvl w:val="0"/>
          <w:numId w:val="38"/>
        </w:numPr>
        <w:spacing w:after="160" w:line="259" w:lineRule="auto"/>
        <w:rPr>
          <w:rFonts w:ascii="Verdana" w:eastAsia="Aptos" w:hAnsi="Verdana" w:cs="Arial"/>
          <w:lang w:eastAsia="en-US"/>
        </w:rPr>
      </w:pPr>
      <w:r w:rsidRPr="00D17359">
        <w:rPr>
          <w:rFonts w:ascii="Verdana" w:eastAsia="Aptos" w:hAnsi="Verdana" w:cs="Arial"/>
          <w:lang w:eastAsia="en-US"/>
        </w:rPr>
        <w:t>Requests for further studies.</w:t>
      </w:r>
    </w:p>
    <w:p w:rsidR="00D9373E" w:rsidRPr="00D17359" w:rsidP="00D9373E">
      <w:pPr>
        <w:numPr>
          <w:ilvl w:val="0"/>
          <w:numId w:val="38"/>
        </w:numPr>
        <w:spacing w:after="160" w:line="259" w:lineRule="auto"/>
        <w:rPr>
          <w:rFonts w:ascii="Verdana" w:eastAsia="Aptos" w:hAnsi="Verdana" w:cs="Arial"/>
          <w:lang w:eastAsia="en-US"/>
        </w:rPr>
      </w:pPr>
      <w:r w:rsidRPr="00D17359">
        <w:rPr>
          <w:rFonts w:ascii="Verdana" w:eastAsia="Aptos" w:hAnsi="Verdana" w:cs="Arial"/>
          <w:lang w:eastAsia="en-US"/>
        </w:rPr>
        <w:t>Reassessment of the environmental risk profile.</w:t>
      </w:r>
    </w:p>
    <w:p w:rsidR="00D9373E" w:rsidRPr="00D17359" w:rsidP="00D9373E">
      <w:pPr>
        <w:numPr>
          <w:ilvl w:val="0"/>
          <w:numId w:val="38"/>
        </w:numPr>
        <w:spacing w:after="160" w:line="259" w:lineRule="auto"/>
        <w:rPr>
          <w:rFonts w:ascii="Verdana" w:eastAsia="Aptos" w:hAnsi="Verdana" w:cs="Arial"/>
          <w:lang w:eastAsia="en-US"/>
        </w:rPr>
      </w:pPr>
      <w:r w:rsidRPr="00D17359">
        <w:rPr>
          <w:rFonts w:ascii="Verdana" w:eastAsia="Aptos" w:hAnsi="Verdana" w:cs="Arial"/>
          <w:lang w:eastAsia="en-US"/>
        </w:rPr>
        <w:t>In exceptional circumstances, suspension or withdrawal of an authorisation.</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The trigger for regulatory action is not simply the detection of a substance in the environment. Rather, regulators consider the totality of evidence, including environmental concentrations, ecological relevance, exposure pathways, uncertainties and whether a change to the benefit-risk balance has occurred.</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The animal health industry supports ongoing monitoring and believes decisions should continue to be based on robust scientific evidence and proportionate risk assessment.</w:t>
      </w:r>
      <w:r w:rsidRPr="00D17359">
        <w:rPr>
          <w:rFonts w:ascii="Verdana" w:eastAsia="Aptos" w:hAnsi="Verdana" w:cs="Arial"/>
          <w:lang w:eastAsia="en-US"/>
        </w:rPr>
        <w:br/>
      </w:r>
    </w:p>
    <w:p w:rsidR="00D9373E" w:rsidRPr="00D17359" w:rsidP="00D9373E">
      <w:pPr>
        <w:spacing w:after="160" w:line="259" w:lineRule="auto"/>
        <w:rPr>
          <w:rFonts w:ascii="Verdana" w:eastAsia="Aptos" w:hAnsi="Verdana" w:cs="Arial"/>
          <w:lang w:eastAsia="en-US"/>
        </w:rPr>
      </w:pPr>
    </w:p>
    <w:p w:rsidR="00D9373E" w:rsidRPr="00D17359" w:rsidP="00D9373E">
      <w:pPr>
        <w:spacing w:after="160" w:line="259" w:lineRule="auto"/>
        <w:rPr>
          <w:rFonts w:ascii="Verdana" w:eastAsia="Aptos" w:hAnsi="Verdana" w:cs="Arial"/>
          <w:b/>
          <w:bCs/>
          <w:lang w:eastAsia="en-US"/>
        </w:rPr>
      </w:pPr>
      <w:r w:rsidRPr="00D17359">
        <w:rPr>
          <w:rFonts w:ascii="Verdana" w:eastAsia="Aptos" w:hAnsi="Verdana" w:cs="Arial"/>
          <w:b/>
          <w:bCs/>
          <w:lang w:eastAsia="en-US"/>
        </w:rPr>
        <w:t>8. Environmental Risk Assessment Framework for Veterinary Medicines</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Environmental risk assessment (ERA) forms part of the authorisation process for veterinary medicines. </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The regulatory framework distinguishes between products used in food-producing animals and those used in companion animals. Environmental exposure from the treatment of livestock is considered to be higher, given that the animals are intensively reared and the entire herd/flock can be treated (depending on the nature of product/disease). By contrast, companion animals are not intensively reared, are generally lower in bodyweight (compared with livestock), are treated on an individual basis and consequently, the total amount of drug to which the environment is exposed is lower; because the primary environmental exposure pathways differ substantially.</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This is reflected in international regulatory guidance developed through VICH and subsequently adopted by regulators in many parts of the world.</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The legislation and </w:t>
      </w:r>
      <w:r w:rsidRPr="00D17359">
        <w:rPr>
          <w:rFonts w:ascii="Verdana" w:eastAsia="Aptos" w:hAnsi="Verdana" w:cs="Arial"/>
          <w:lang w:eastAsia="en-US"/>
        </w:rPr>
        <w:t>guidance</w:t>
      </w:r>
      <w:r w:rsidRPr="00D17359">
        <w:rPr>
          <w:rFonts w:ascii="Verdana" w:eastAsia="Aptos" w:hAnsi="Verdana" w:cs="Arial"/>
          <w:lang w:eastAsia="en-US"/>
        </w:rPr>
        <w:t xml:space="preserve"> however, have never created an automatic exemption for companion animal products. The framework includes a provision often referred to as the ‘however clause’, which allows regulators to require a more </w:t>
      </w:r>
      <w:r w:rsidRPr="00D17359">
        <w:rPr>
          <w:rFonts w:ascii="Verdana" w:eastAsia="Aptos" w:hAnsi="Verdana" w:cs="Arial"/>
          <w:lang w:eastAsia="en-US"/>
        </w:rPr>
        <w:t>in depth</w:t>
      </w:r>
      <w:r w:rsidRPr="00D17359">
        <w:rPr>
          <w:rFonts w:ascii="Verdana" w:eastAsia="Aptos" w:hAnsi="Verdana" w:cs="Arial"/>
          <w:lang w:eastAsia="en-US"/>
        </w:rPr>
        <w:t xml:space="preserve"> environmental assessment where there are grounds that a companion animal product could present an environmental risk. </w:t>
      </w:r>
      <w:r w:rsidRPr="00D17359">
        <w:rPr>
          <w:rFonts w:ascii="Verdana" w:eastAsia="Aptos" w:hAnsi="Verdana" w:cs="Arial"/>
          <w:lang w:eastAsia="en-US"/>
        </w:rPr>
        <w:t>Consequently ,</w:t>
      </w:r>
      <w:r w:rsidRPr="00D17359">
        <w:rPr>
          <w:rFonts w:ascii="Verdana" w:eastAsia="Aptos" w:hAnsi="Verdana" w:cs="Arial"/>
          <w:lang w:eastAsia="en-US"/>
        </w:rPr>
        <w:t xml:space="preserve"> regulators have overarching powers to request data from companies to assess if the benefit/risk balance of a product has changed and whether the marketing authorisation should be amended, suspended or withdrawn. This means that companion animal products can be subject to further environmental scrutiny where the characteristics of the active ingredient/product, use pattern or emerging evidence indicate that additional assessment is warranted.</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NOAH recognises that scientific understanding of potential risks continues to evolve. If the UK Government or VMD were to consider a companion animal-specific environmental assessment framework, NOAH would engage constructively and support an evidence-based review of the available science, practical feasibility, proportionality and international alignment.</w:t>
      </w:r>
    </w:p>
    <w:p w:rsidR="00D9373E" w:rsidRPr="00D17359" w:rsidP="00D9373E">
      <w:pPr>
        <w:spacing w:after="160" w:line="259" w:lineRule="auto"/>
        <w:rPr>
          <w:rFonts w:ascii="Verdana" w:eastAsia="Aptos" w:hAnsi="Verdana" w:cs="Arial"/>
          <w:lang w:eastAsia="en-US"/>
        </w:rPr>
      </w:pPr>
    </w:p>
    <w:p w:rsidR="00D9373E" w:rsidRPr="00D17359" w:rsidP="00D9373E">
      <w:pPr>
        <w:spacing w:after="160" w:line="259" w:lineRule="auto"/>
        <w:rPr>
          <w:rFonts w:ascii="Verdana" w:eastAsia="Aptos" w:hAnsi="Verdana" w:cs="Arial"/>
          <w:b/>
          <w:bCs/>
          <w:lang w:eastAsia="en-US"/>
        </w:rPr>
      </w:pPr>
      <w:r w:rsidRPr="00D17359">
        <w:rPr>
          <w:rFonts w:ascii="Verdana" w:eastAsia="Aptos" w:hAnsi="Verdana" w:cs="Arial"/>
          <w:b/>
          <w:bCs/>
          <w:lang w:eastAsia="en-US"/>
        </w:rPr>
        <w:t>9.</w:t>
      </w:r>
      <w:r w:rsidRPr="00D17359">
        <w:rPr>
          <w:rFonts w:ascii="Verdana" w:eastAsia="Aptos" w:hAnsi="Verdana" w:cs="Arial"/>
          <w:lang w:eastAsia="en-US"/>
        </w:rPr>
        <w:t xml:space="preserve"> </w:t>
      </w:r>
      <w:r w:rsidRPr="00D17359">
        <w:rPr>
          <w:rFonts w:ascii="Verdana" w:eastAsia="Aptos" w:hAnsi="Verdana" w:cs="Arial"/>
          <w:b/>
          <w:bCs/>
          <w:lang w:eastAsia="en-US"/>
        </w:rPr>
        <w:t>Product Packaging, Summary of Product Characteristics (SPCs) and Owner focussed Information</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Product packaging, Summary of Product Characteristics (SPC), package leaflets, and labelling are all reviewed and approved by the VMD as part of the authorisation process for licensed veterinary medicines.</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Marketing Authorisation Holders i.e. Companies cannot amend approved safety information, warnings, disposal advice, indications or directions for use. Any requests for changes must be submitted to the regulator through established variation procedures and are subject to regulatory review before implementation.</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The approved SPC serves as the authoritative regulatory document and forms the basis for information included on labels and package leaflets.</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Where new evidence emerges after authorisation, changes may include:</w:t>
      </w:r>
    </w:p>
    <w:p w:rsidR="00D9373E" w:rsidRPr="00D17359" w:rsidP="00D9373E">
      <w:pPr>
        <w:numPr>
          <w:ilvl w:val="0"/>
          <w:numId w:val="39"/>
        </w:numPr>
        <w:spacing w:after="160" w:line="259" w:lineRule="auto"/>
        <w:rPr>
          <w:rFonts w:ascii="Verdana" w:eastAsia="Aptos" w:hAnsi="Verdana" w:cs="Arial"/>
          <w:lang w:eastAsia="en-US"/>
        </w:rPr>
      </w:pPr>
      <w:r w:rsidRPr="00D17359">
        <w:rPr>
          <w:rFonts w:ascii="Verdana" w:eastAsia="Aptos" w:hAnsi="Verdana" w:cs="Arial"/>
          <w:lang w:eastAsia="en-US"/>
        </w:rPr>
        <w:t>Additional user safety warnings.</w:t>
      </w:r>
    </w:p>
    <w:p w:rsidR="00D9373E" w:rsidRPr="00D17359" w:rsidP="00D9373E">
      <w:pPr>
        <w:numPr>
          <w:ilvl w:val="0"/>
          <w:numId w:val="39"/>
        </w:numPr>
        <w:spacing w:after="160" w:line="259" w:lineRule="auto"/>
        <w:rPr>
          <w:rFonts w:ascii="Verdana" w:eastAsia="Aptos" w:hAnsi="Verdana" w:cs="Arial"/>
          <w:lang w:eastAsia="en-US"/>
        </w:rPr>
      </w:pPr>
      <w:r w:rsidRPr="00D17359">
        <w:rPr>
          <w:rFonts w:ascii="Verdana" w:eastAsia="Aptos" w:hAnsi="Verdana" w:cs="Arial"/>
          <w:lang w:eastAsia="en-US"/>
        </w:rPr>
        <w:t>Environmental precautions.</w:t>
      </w:r>
    </w:p>
    <w:p w:rsidR="00D9373E" w:rsidRPr="00D17359" w:rsidP="00D9373E">
      <w:pPr>
        <w:numPr>
          <w:ilvl w:val="0"/>
          <w:numId w:val="39"/>
        </w:numPr>
        <w:spacing w:after="160" w:line="259" w:lineRule="auto"/>
        <w:rPr>
          <w:rFonts w:ascii="Verdana" w:eastAsia="Aptos" w:hAnsi="Verdana" w:cs="Arial"/>
          <w:lang w:eastAsia="en-US"/>
        </w:rPr>
      </w:pPr>
      <w:r w:rsidRPr="00D17359">
        <w:rPr>
          <w:rFonts w:ascii="Verdana" w:eastAsia="Aptos" w:hAnsi="Verdana" w:cs="Arial"/>
          <w:lang w:eastAsia="en-US"/>
        </w:rPr>
        <w:t>Disposal instructions.</w:t>
      </w:r>
    </w:p>
    <w:p w:rsidR="00D9373E" w:rsidRPr="00D17359" w:rsidP="00D9373E">
      <w:pPr>
        <w:numPr>
          <w:ilvl w:val="0"/>
          <w:numId w:val="39"/>
        </w:numPr>
        <w:spacing w:after="160" w:line="259" w:lineRule="auto"/>
        <w:rPr>
          <w:rFonts w:ascii="Verdana" w:eastAsia="Aptos" w:hAnsi="Verdana" w:cs="Arial"/>
          <w:lang w:eastAsia="en-US"/>
        </w:rPr>
      </w:pPr>
      <w:r w:rsidRPr="00D17359">
        <w:rPr>
          <w:rFonts w:ascii="Verdana" w:eastAsia="Aptos" w:hAnsi="Verdana" w:cs="Arial"/>
          <w:lang w:eastAsia="en-US"/>
        </w:rPr>
        <w:t>Restrictions on use.</w:t>
      </w:r>
    </w:p>
    <w:p w:rsidR="00D9373E" w:rsidRPr="00D17359" w:rsidP="00D9373E">
      <w:pPr>
        <w:numPr>
          <w:ilvl w:val="0"/>
          <w:numId w:val="39"/>
        </w:numPr>
        <w:spacing w:after="160" w:line="259" w:lineRule="auto"/>
        <w:rPr>
          <w:rFonts w:ascii="Verdana" w:eastAsia="Aptos" w:hAnsi="Verdana" w:cs="Arial"/>
          <w:lang w:eastAsia="en-US"/>
        </w:rPr>
      </w:pPr>
      <w:r w:rsidRPr="00D17359">
        <w:rPr>
          <w:rFonts w:ascii="Verdana" w:eastAsia="Aptos" w:hAnsi="Verdana" w:cs="Arial"/>
          <w:lang w:eastAsia="en-US"/>
        </w:rPr>
        <w:t>Revised dosing recommendations.</w:t>
      </w:r>
    </w:p>
    <w:p w:rsidR="00D9373E" w:rsidRPr="00D17359" w:rsidP="00D9373E">
      <w:pPr>
        <w:numPr>
          <w:ilvl w:val="0"/>
          <w:numId w:val="39"/>
        </w:numPr>
        <w:spacing w:after="160" w:line="259" w:lineRule="auto"/>
        <w:rPr>
          <w:rFonts w:ascii="Verdana" w:eastAsia="Aptos" w:hAnsi="Verdana" w:cs="Arial"/>
          <w:lang w:eastAsia="en-US"/>
        </w:rPr>
      </w:pPr>
      <w:r w:rsidRPr="00D17359">
        <w:rPr>
          <w:rFonts w:ascii="Verdana" w:eastAsia="Aptos" w:hAnsi="Verdana" w:cs="Arial"/>
          <w:lang w:eastAsia="en-US"/>
        </w:rPr>
        <w:t>Clarifications regarding exposure reduction measures.</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Changes may be initiated by regulators or proposed by Marketing Authorisation Holders following review of new scientific evidence. This system ensures that safety information remains subject to independent regulatory oversight and that changes are implemented consistently across all product information.</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NOAH and its members understand that not all end users do read the current information provided, </w:t>
      </w:r>
      <w:r w:rsidRPr="00D17359" w:rsidR="005328AC">
        <w:rPr>
          <w:rFonts w:ascii="Verdana" w:eastAsia="Aptos" w:hAnsi="Verdana" w:cs="Arial"/>
          <w:lang w:eastAsia="en-US"/>
        </w:rPr>
        <w:t>and NOAH and our members are open to dialogue</w:t>
      </w:r>
      <w:r w:rsidRPr="00D17359" w:rsidR="00A12578">
        <w:rPr>
          <w:rFonts w:ascii="Verdana" w:eastAsia="Aptos" w:hAnsi="Verdana" w:cs="Arial"/>
          <w:lang w:eastAsia="en-US"/>
        </w:rPr>
        <w:t xml:space="preserve"> with the VMD </w:t>
      </w:r>
      <w:r w:rsidRPr="00D17359">
        <w:rPr>
          <w:rFonts w:ascii="Verdana" w:eastAsia="Aptos" w:hAnsi="Verdana" w:cs="Arial"/>
          <w:lang w:eastAsia="en-US"/>
        </w:rPr>
        <w:t>a</w:t>
      </w:r>
      <w:r w:rsidRPr="00D17359" w:rsidR="00A12578">
        <w:rPr>
          <w:rFonts w:ascii="Verdana" w:eastAsia="Aptos" w:hAnsi="Verdana" w:cs="Arial"/>
          <w:lang w:eastAsia="en-US"/>
        </w:rPr>
        <w:t>bout what</w:t>
      </w:r>
      <w:r w:rsidRPr="00D17359">
        <w:rPr>
          <w:rFonts w:ascii="Verdana" w:eastAsia="Aptos" w:hAnsi="Verdana" w:cs="Arial"/>
          <w:lang w:eastAsia="en-US"/>
        </w:rPr>
        <w:t xml:space="preserve"> additional measures </w:t>
      </w:r>
      <w:r w:rsidRPr="00D17359" w:rsidR="00A12578">
        <w:rPr>
          <w:rFonts w:ascii="Verdana" w:eastAsia="Aptos" w:hAnsi="Verdana" w:cs="Arial"/>
          <w:lang w:eastAsia="en-US"/>
        </w:rPr>
        <w:t xml:space="preserve">could </w:t>
      </w:r>
      <w:r w:rsidRPr="00D17359">
        <w:rPr>
          <w:rFonts w:ascii="Verdana" w:eastAsia="Aptos" w:hAnsi="Verdana" w:cs="Arial"/>
          <w:lang w:eastAsia="en-US"/>
        </w:rPr>
        <w:t>be taken in relation to product labelling. These additional measures could include more prominent instructions on the packaging, the use of QR codes to direct pet owners to additional information online, and packaging inserts that prominently display important information.</w:t>
      </w:r>
      <w:r w:rsidRPr="00D17359">
        <w:rPr>
          <w:rFonts w:ascii="Verdana" w:eastAsia="Aptos" w:hAnsi="Verdana" w:cs="Arial"/>
          <w:lang w:eastAsia="en-US"/>
        </w:rPr>
        <w:br/>
      </w:r>
    </w:p>
    <w:p w:rsidR="00D9373E" w:rsidRPr="00D17359" w:rsidP="00D9373E">
      <w:pPr>
        <w:spacing w:after="160" w:line="259" w:lineRule="auto"/>
        <w:rPr>
          <w:rFonts w:ascii="Verdana" w:eastAsia="Aptos" w:hAnsi="Verdana" w:cs="Arial"/>
          <w:b/>
          <w:bCs/>
          <w:lang w:eastAsia="en-US"/>
        </w:rPr>
      </w:pPr>
      <w:r w:rsidRPr="00D17359">
        <w:rPr>
          <w:rFonts w:ascii="Verdana" w:eastAsia="Aptos" w:hAnsi="Verdana" w:cs="Arial"/>
          <w:b/>
          <w:bCs/>
          <w:lang w:eastAsia="en-US"/>
        </w:rPr>
        <w:t>10.</w:t>
      </w:r>
      <w:r w:rsidRPr="00D17359">
        <w:rPr>
          <w:rFonts w:ascii="Verdana" w:eastAsia="Aptos" w:hAnsi="Verdana" w:cs="Arial"/>
          <w:lang w:eastAsia="en-US"/>
        </w:rPr>
        <w:t xml:space="preserve"> </w:t>
      </w:r>
      <w:r w:rsidRPr="00D17359">
        <w:rPr>
          <w:rFonts w:ascii="Verdana" w:eastAsia="Aptos" w:hAnsi="Verdana" w:cs="Arial"/>
          <w:b/>
          <w:bCs/>
          <w:lang w:eastAsia="en-US"/>
        </w:rPr>
        <w:t>Strengthening Point-of-Sale Advice</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NOAH believes that effective parasite control should be supported by high-quality advice and responsible use guidance, regardless of how a product is obtained.</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The animal health sector already benefits from multiple professional touchpoints, including veterinary surgeons, registered veterinary nurses, Suitably Qualified Persons (SQPs), pharmacists and trained retail staff.</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Purchasing routes have evolved, however, particularly through online channels. NOAH therefore supports exploring opportunities to strengthen the consistency and visibility of advice provided at the point of sale.</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Potential measures could include:</w:t>
      </w:r>
    </w:p>
    <w:p w:rsidR="00D9373E" w:rsidRPr="00D17359" w:rsidP="00D9373E">
      <w:pPr>
        <w:numPr>
          <w:ilvl w:val="0"/>
          <w:numId w:val="40"/>
        </w:numPr>
        <w:spacing w:after="160" w:line="259" w:lineRule="auto"/>
        <w:rPr>
          <w:rFonts w:ascii="Verdana" w:eastAsia="Aptos" w:hAnsi="Verdana" w:cs="Arial"/>
          <w:lang w:eastAsia="en-US"/>
        </w:rPr>
      </w:pPr>
      <w:r w:rsidRPr="00D17359">
        <w:rPr>
          <w:rFonts w:ascii="Verdana" w:eastAsia="Aptos" w:hAnsi="Verdana" w:cs="Arial"/>
          <w:lang w:eastAsia="en-US"/>
        </w:rPr>
        <w:t>Enhanced educational materials for owners.</w:t>
      </w:r>
    </w:p>
    <w:p w:rsidR="00D9373E" w:rsidRPr="00D17359" w:rsidP="00D9373E">
      <w:pPr>
        <w:numPr>
          <w:ilvl w:val="0"/>
          <w:numId w:val="40"/>
        </w:numPr>
        <w:spacing w:after="160" w:line="259" w:lineRule="auto"/>
        <w:rPr>
          <w:rFonts w:ascii="Verdana" w:eastAsia="Aptos" w:hAnsi="Verdana" w:cs="Arial"/>
          <w:lang w:eastAsia="en-US"/>
        </w:rPr>
      </w:pPr>
      <w:r w:rsidRPr="00D17359">
        <w:rPr>
          <w:rFonts w:ascii="Verdana" w:eastAsia="Aptos" w:hAnsi="Verdana" w:cs="Arial"/>
          <w:lang w:eastAsia="en-US"/>
        </w:rPr>
        <w:t>Improved online decision-support tools.</w:t>
      </w:r>
    </w:p>
    <w:p w:rsidR="00D9373E" w:rsidRPr="00D17359" w:rsidP="00D9373E">
      <w:pPr>
        <w:numPr>
          <w:ilvl w:val="0"/>
          <w:numId w:val="40"/>
        </w:numPr>
        <w:spacing w:after="160" w:line="259" w:lineRule="auto"/>
        <w:rPr>
          <w:rFonts w:ascii="Verdana" w:eastAsia="Aptos" w:hAnsi="Verdana" w:cs="Arial"/>
          <w:lang w:eastAsia="en-US"/>
        </w:rPr>
      </w:pPr>
      <w:r w:rsidRPr="00D17359">
        <w:rPr>
          <w:rFonts w:ascii="Verdana" w:eastAsia="Aptos" w:hAnsi="Verdana" w:cs="Arial"/>
          <w:lang w:eastAsia="en-US"/>
        </w:rPr>
        <w:t>Stronger signposting to professional advice.</w:t>
      </w:r>
    </w:p>
    <w:p w:rsidR="00D9373E" w:rsidRPr="00D17359" w:rsidP="00D9373E">
      <w:pPr>
        <w:numPr>
          <w:ilvl w:val="0"/>
          <w:numId w:val="40"/>
        </w:numPr>
        <w:spacing w:after="160" w:line="259" w:lineRule="auto"/>
        <w:rPr>
          <w:rFonts w:ascii="Verdana" w:eastAsia="Aptos" w:hAnsi="Verdana" w:cs="Arial"/>
          <w:lang w:eastAsia="en-US"/>
        </w:rPr>
      </w:pPr>
      <w:r w:rsidRPr="00D17359">
        <w:rPr>
          <w:rFonts w:ascii="Verdana" w:eastAsia="Aptos" w:hAnsi="Verdana" w:cs="Arial"/>
          <w:lang w:eastAsia="en-US"/>
        </w:rPr>
        <w:t>More consistent environmental stewardship messaging.</w:t>
      </w:r>
    </w:p>
    <w:p w:rsidR="00D9373E" w:rsidRPr="00D17359" w:rsidP="00D9373E">
      <w:pPr>
        <w:numPr>
          <w:ilvl w:val="0"/>
          <w:numId w:val="40"/>
        </w:numPr>
        <w:spacing w:after="160" w:line="259" w:lineRule="auto"/>
        <w:rPr>
          <w:rFonts w:ascii="Verdana" w:eastAsia="Aptos" w:hAnsi="Verdana" w:cs="Arial"/>
          <w:lang w:eastAsia="en-US"/>
        </w:rPr>
      </w:pPr>
      <w:r w:rsidRPr="00D17359">
        <w:rPr>
          <w:rFonts w:ascii="Verdana" w:eastAsia="Aptos" w:hAnsi="Verdana" w:cs="Arial"/>
          <w:lang w:eastAsia="en-US"/>
        </w:rPr>
        <w:t>Improved disposal guidance for packaging, pipettes, and unused medication.</w:t>
      </w:r>
    </w:p>
    <w:p w:rsidR="00D9373E" w:rsidRPr="00D17359" w:rsidP="00D9373E">
      <w:pPr>
        <w:numPr>
          <w:ilvl w:val="0"/>
          <w:numId w:val="40"/>
        </w:numPr>
        <w:spacing w:after="160" w:line="259" w:lineRule="auto"/>
        <w:rPr>
          <w:rFonts w:ascii="Verdana" w:eastAsia="Aptos" w:hAnsi="Verdana" w:cs="Arial"/>
          <w:lang w:eastAsia="en-US"/>
        </w:rPr>
      </w:pPr>
      <w:r w:rsidRPr="00D17359">
        <w:rPr>
          <w:rFonts w:ascii="Verdana" w:eastAsia="Aptos" w:hAnsi="Verdana" w:cs="Arial"/>
          <w:lang w:eastAsia="en-US"/>
        </w:rPr>
        <w:t>Better awareness of risk-based parasite control approaches.</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Such measures should improve informed decision-making and responsible use of these important products.</w:t>
      </w:r>
    </w:p>
    <w:p w:rsidR="007E578F" w:rsidP="00D9373E">
      <w:pPr>
        <w:spacing w:after="160" w:line="259" w:lineRule="auto"/>
        <w:rPr>
          <w:rFonts w:ascii="Verdana" w:eastAsia="Aptos" w:hAnsi="Verdana" w:cs="Arial"/>
          <w:lang w:eastAsia="en-US"/>
        </w:rPr>
      </w:pPr>
    </w:p>
    <w:p w:rsidR="00D9373E" w:rsidRPr="00D17359" w:rsidP="00D9373E">
      <w:pPr>
        <w:spacing w:after="160" w:line="259" w:lineRule="auto"/>
        <w:rPr>
          <w:rFonts w:ascii="Verdana" w:eastAsia="Aptos" w:hAnsi="Verdana" w:cs="Arial"/>
          <w:b/>
          <w:bCs/>
          <w:lang w:eastAsia="en-US"/>
        </w:rPr>
      </w:pPr>
      <w:r w:rsidRPr="00D17359">
        <w:rPr>
          <w:rFonts w:ascii="Verdana" w:eastAsia="Aptos" w:hAnsi="Verdana" w:cs="Arial"/>
          <w:b/>
          <w:bCs/>
          <w:lang w:eastAsia="en-US"/>
        </w:rPr>
        <w:t>References:</w:t>
      </w:r>
    </w:p>
    <w:p w:rsidR="00D9373E" w:rsidRPr="00D17359" w:rsidP="00D9373E">
      <w:pPr>
        <w:spacing w:after="160" w:line="259" w:lineRule="auto"/>
        <w:rPr>
          <w:rFonts w:ascii="Verdana" w:eastAsia="Aptos" w:hAnsi="Verdana" w:cs="Arial"/>
          <w:lang w:eastAsia="en-US"/>
        </w:rPr>
      </w:pPr>
      <w:r>
        <w:fldChar w:fldCharType="begin"/>
      </w:r>
      <w:r>
        <w:instrText xml:space="preserve"> HYPERLINK "https://animalhealtheurope.eu/facts-and-figures/" </w:instrText>
      </w:r>
      <w:r>
        <w:fldChar w:fldCharType="separate"/>
      </w:r>
      <w:r w:rsidRPr="00D17359">
        <w:rPr>
          <w:rFonts w:ascii="Verdana" w:eastAsia="Aptos" w:hAnsi="Verdana" w:cs="Arial"/>
          <w:color w:val="467886"/>
          <w:u w:val="single"/>
          <w:lang w:eastAsia="en-US"/>
        </w:rPr>
        <w:t>AnimalhealthEurope</w:t>
      </w:r>
      <w:r>
        <w:fldChar w:fldCharType="end"/>
      </w:r>
      <w:r w:rsidRPr="00D17359">
        <w:rPr>
          <w:rFonts w:ascii="Verdana" w:eastAsia="Aptos" w:hAnsi="Verdana" w:cs="Arial"/>
          <w:lang w:eastAsia="en-US"/>
        </w:rPr>
        <w:t xml:space="preserve">, Facts and figures, 2024. Available at: </w:t>
      </w:r>
      <w:r>
        <w:fldChar w:fldCharType="begin"/>
      </w:r>
      <w:r>
        <w:instrText xml:space="preserve"> HYPERLINK "https://animalhealtheurope.eu/facts-and-figures/" </w:instrText>
      </w:r>
      <w:r>
        <w:fldChar w:fldCharType="separate"/>
      </w:r>
      <w:r w:rsidRPr="00D17359">
        <w:rPr>
          <w:rFonts w:ascii="Verdana" w:eastAsia="Aptos" w:hAnsi="Verdana" w:cs="Arial"/>
          <w:color w:val="0000FF"/>
          <w:u w:val="single"/>
          <w:lang w:eastAsia="en-US"/>
        </w:rPr>
        <w:t>Facts and Figures - AnimalhealthEurope</w:t>
      </w:r>
      <w:r>
        <w:fldChar w:fldCharType="end"/>
      </w:r>
    </w:p>
    <w:p w:rsidR="00D9373E" w:rsidRPr="00D17359" w:rsidP="00D9373E">
      <w:pPr>
        <w:spacing w:after="160" w:line="259" w:lineRule="auto"/>
        <w:rPr>
          <w:rFonts w:ascii="Verdana" w:eastAsia="Aptos" w:hAnsi="Verdana" w:cs="Arial"/>
          <w:strike/>
          <w:lang w:eastAsia="en-US"/>
        </w:rPr>
      </w:pPr>
      <w:r w:rsidRPr="00D17359">
        <w:rPr>
          <w:rFonts w:ascii="Verdana" w:eastAsia="Aptos" w:hAnsi="Verdana" w:cs="Arial"/>
          <w:lang w:eastAsia="en-US"/>
        </w:rPr>
        <w:t xml:space="preserve">David Brown. Response to Call for Evidence: Environmental Occurrence, Sources and Ecological Significance of Fipronil in UK Surface Waters. Cambridge Environmental Assessments. </w:t>
      </w:r>
      <w:r w:rsidRPr="00D17359">
        <w:rPr>
          <w:rFonts w:ascii="Verdana" w:eastAsia="Aptos" w:hAnsi="Verdana" w:cs="Arial"/>
          <w:lang w:eastAsia="en-US"/>
        </w:rPr>
        <w:t>June,</w:t>
      </w:r>
      <w:r w:rsidRPr="00D17359">
        <w:rPr>
          <w:rFonts w:ascii="Verdana" w:eastAsia="Aptos" w:hAnsi="Verdana" w:cs="Arial"/>
          <w:lang w:eastAsia="en-US"/>
        </w:rPr>
        <w:t xml:space="preserve"> 2026. Unpublished report.</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European Medicines Agency 9EMA), 2018. Guideline on user safety of topically administered veterinary medicinal products.  </w:t>
      </w:r>
      <w:r>
        <w:fldChar w:fldCharType="begin"/>
      </w:r>
      <w:r>
        <w:instrText xml:space="preserve"> HYPERLINK "https://www.ema.europa.eu/en/documents/scientific-guideline/guideline-user-safety-topically-administered-veterinary-medicinal-products_en.pdf" </w:instrText>
      </w:r>
      <w:r>
        <w:fldChar w:fldCharType="separate"/>
      </w:r>
      <w:r w:rsidRPr="00D17359">
        <w:rPr>
          <w:rStyle w:val="Hyperlink"/>
          <w:rFonts w:ascii="Verdana" w:eastAsia="Aptos" w:hAnsi="Verdana" w:cs="Arial"/>
          <w:lang w:eastAsia="en-US"/>
        </w:rPr>
        <w:t>https://www.ema.europa.eu/en/documents/scientific-guideline/guideline-user-safety-topically-administered-veterinary-medicinal-products_en.pdf</w:t>
      </w:r>
      <w:r>
        <w:fldChar w:fldCharType="end"/>
      </w:r>
      <w:r w:rsidRPr="00D17359">
        <w:rPr>
          <w:rFonts w:ascii="Verdana" w:eastAsia="Aptos" w:hAnsi="Verdana" w:cs="Arial"/>
          <w:lang w:eastAsia="en-US"/>
        </w:rPr>
        <w:t xml:space="preserve"> </w:t>
      </w:r>
    </w:p>
    <w:p w:rsidR="00D9373E" w:rsidRPr="00D17359" w:rsidP="00D9373E">
      <w:pPr>
        <w:spacing w:after="160" w:line="278" w:lineRule="auto"/>
        <w:jc w:val="both"/>
        <w:rPr>
          <w:rFonts w:ascii="Verdana" w:eastAsia="Aptos" w:hAnsi="Verdana"/>
          <w:kern w:val="2"/>
          <w:lang w:eastAsia="en-US"/>
        </w:rPr>
      </w:pPr>
      <w:r w:rsidRPr="00D17359">
        <w:rPr>
          <w:rFonts w:ascii="Verdana" w:eastAsia="Aptos" w:hAnsi="Verdana"/>
          <w:kern w:val="2"/>
          <w:lang w:eastAsia="en-US"/>
        </w:rPr>
        <w:t>Mo Gannon &amp; Associates (MG&amp;A) survey on behalf of NOAH (2026). Fieldwork carried out online by YouGov. Total sample size was 6403 adults, of which 1078 were cat-only owners who were mainly/ jointly responsible for their cat’s healthcare decisions and 1258 dog-only owners who were mainly or jointly responsible for their dog's healthcare decisions. Fieldwork was undertaken between 16th - 25th April 2026. The figures have been weighted and are representative of all GB adults (aged 18+).</w:t>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PDSA Animal Wellbeing (PAW) Report, 2025. Available at: </w:t>
      </w:r>
      <w:r>
        <w:fldChar w:fldCharType="begin"/>
      </w:r>
      <w:r>
        <w:instrText xml:space="preserve"> HYPERLINK "https://www.pdsa.org.uk/what-we-do/pdsa-animal-wellbeing-report" </w:instrText>
      </w:r>
      <w:r>
        <w:fldChar w:fldCharType="separate"/>
      </w:r>
      <w:r w:rsidRPr="00D17359">
        <w:rPr>
          <w:rFonts w:ascii="Verdana" w:eastAsia="Aptos" w:hAnsi="Verdana" w:cs="Arial"/>
          <w:color w:val="467886"/>
          <w:u w:val="single"/>
          <w:lang w:eastAsia="en-US"/>
        </w:rPr>
        <w:t>https://www.pdsa.org.uk/what-we-do/pdsa-animal-wellbeing-report</w:t>
      </w:r>
      <w:r>
        <w:fldChar w:fldCharType="end"/>
      </w:r>
    </w:p>
    <w:p w:rsidR="00D9373E" w:rsidRPr="00D17359" w:rsidP="00D9373E">
      <w:pPr>
        <w:spacing w:after="160" w:line="259" w:lineRule="auto"/>
        <w:rPr>
          <w:rFonts w:ascii="Verdana" w:eastAsia="Aptos" w:hAnsi="Verdana" w:cs="Arial"/>
          <w:lang w:eastAsia="en-US"/>
        </w:rPr>
      </w:pPr>
      <w:r w:rsidRPr="00D17359">
        <w:rPr>
          <w:rFonts w:ascii="Verdana" w:eastAsia="Aptos" w:hAnsi="Verdana" w:cs="Arial"/>
          <w:lang w:eastAsia="en-US"/>
        </w:rPr>
        <w:t xml:space="preserve">Veterinary Medicines Directorate, 2023. </w:t>
      </w:r>
      <w:r w:rsidRPr="00D17359">
        <w:rPr>
          <w:rFonts w:ascii="Verdana" w:eastAsia="Aptos" w:hAnsi="Verdana" w:cs="Arial"/>
          <w:lang w:eastAsia="en-US"/>
        </w:rPr>
        <w:t>Ectoparasiticide</w:t>
      </w:r>
      <w:r w:rsidRPr="00D17359">
        <w:rPr>
          <w:rFonts w:ascii="Verdana" w:eastAsia="Aptos" w:hAnsi="Verdana" w:cs="Arial"/>
          <w:lang w:eastAsia="en-US"/>
        </w:rPr>
        <w:t xml:space="preserve"> veterinary medicinal products and reporting adverse events. Available at: https://www.gov.uk/government/news/ectoparasiticide-veterinary-medicinal-products-containing-fipronil-imidacloprid-and-permethrin</w:t>
      </w:r>
    </w:p>
    <w:p w:rsidR="00D9373E" w:rsidRPr="00D17359" w:rsidP="00D9373E">
      <w:pPr>
        <w:spacing w:after="160" w:line="259" w:lineRule="auto"/>
        <w:rPr>
          <w:rFonts w:ascii="Verdana" w:eastAsia="Aptos" w:hAnsi="Verdana" w:cs="Arial"/>
          <w:lang w:eastAsia="en-US"/>
        </w:rPr>
      </w:pPr>
    </w:p>
    <w:p w:rsidR="00D9373E" w:rsidRPr="00D17359" w:rsidP="00D9373E">
      <w:pPr>
        <w:spacing w:after="160" w:line="259" w:lineRule="auto"/>
        <w:rPr>
          <w:rFonts w:ascii="Verdana" w:eastAsia="Aptos" w:hAnsi="Verdana" w:cs="Arial"/>
          <w:lang w:eastAsia="en-US"/>
        </w:rPr>
      </w:pPr>
    </w:p>
    <w:p w:rsidR="00A306E0" w:rsidRPr="00D17359" w:rsidP="00A306E0">
      <w:pPr>
        <w:spacing w:after="160" w:line="278" w:lineRule="auto"/>
        <w:jc w:val="both"/>
        <w:rPr>
          <w:rFonts w:ascii="Verdana" w:eastAsia="Aptos" w:hAnsi="Verdana"/>
          <w:b/>
          <w:bCs/>
          <w:kern w:val="2"/>
          <w:u w:val="single"/>
          <w:lang w:eastAsia="en-US"/>
        </w:rPr>
      </w:pPr>
      <w:r w:rsidRPr="00D17359">
        <w:rPr>
          <w:rFonts w:ascii="Verdana" w:eastAsia="Aptos" w:hAnsi="Verdana"/>
          <w:b/>
          <w:bCs/>
          <w:kern w:val="2"/>
          <w:u w:val="single"/>
          <w:lang w:eastAsia="en-US"/>
        </w:rPr>
        <w:t>Overview of International Cooperation on Harmonisation of Technical Requirements for Registration of Veterinary Medicinal Products (VICH) and its role</w:t>
      </w:r>
    </w:p>
    <w:p w:rsidR="00A306E0" w:rsidRPr="00D17359" w:rsidP="00A306E0">
      <w:pPr>
        <w:spacing w:after="160" w:line="278" w:lineRule="auto"/>
        <w:jc w:val="both"/>
        <w:rPr>
          <w:rFonts w:ascii="Verdana" w:eastAsia="Aptos" w:hAnsi="Verdana"/>
          <w:b/>
          <w:bCs/>
          <w:i/>
          <w:iCs/>
          <w:kern w:val="2"/>
          <w:lang w:eastAsia="en-US"/>
        </w:rPr>
      </w:pPr>
      <w:r w:rsidRPr="00D17359">
        <w:rPr>
          <w:rFonts w:ascii="Verdana" w:eastAsia="Aptos" w:hAnsi="Verdana"/>
          <w:b/>
          <w:bCs/>
          <w:i/>
          <w:iCs/>
          <w:kern w:val="2"/>
          <w:lang w:eastAsia="en-US"/>
        </w:rPr>
        <w:t>02/07/2026</w:t>
      </w:r>
    </w:p>
    <w:p w:rsidR="00A306E0" w:rsidRPr="00D17359" w:rsidP="00A306E0">
      <w:pPr>
        <w:spacing w:after="160" w:line="278" w:lineRule="auto"/>
        <w:jc w:val="both"/>
        <w:rPr>
          <w:rFonts w:ascii="Verdana" w:eastAsia="Aptos" w:hAnsi="Verdana"/>
          <w:b/>
          <w:bCs/>
          <w:kern w:val="2"/>
          <w:lang w:eastAsia="en-US"/>
        </w:rPr>
      </w:pPr>
      <w:r w:rsidRPr="00D17359">
        <w:rPr>
          <w:rFonts w:ascii="Verdana" w:eastAsia="Aptos" w:hAnsi="Verdana"/>
          <w:b/>
          <w:bCs/>
          <w:kern w:val="2"/>
          <w:lang w:eastAsia="en-US"/>
        </w:rPr>
        <w:t>Summary</w:t>
      </w:r>
    </w:p>
    <w:p w:rsidR="00A306E0" w:rsidRPr="00D17359" w:rsidP="00A306E0">
      <w:pPr>
        <w:numPr>
          <w:ilvl w:val="0"/>
          <w:numId w:val="32"/>
        </w:numPr>
        <w:spacing w:after="160" w:line="278" w:lineRule="auto"/>
        <w:contextualSpacing/>
        <w:rPr>
          <w:rFonts w:ascii="Verdana" w:eastAsia="Aptos" w:hAnsi="Verdana"/>
          <w:kern w:val="2"/>
          <w:lang w:eastAsia="en-US"/>
        </w:rPr>
      </w:pPr>
      <w:r w:rsidRPr="00D17359">
        <w:rPr>
          <w:rFonts w:ascii="Verdana" w:eastAsia="Aptos" w:hAnsi="Verdana"/>
          <w:kern w:val="2"/>
          <w:lang w:eastAsia="en-US"/>
        </w:rPr>
        <w:t xml:space="preserve">Established in 1996, VICH (International Cooperation on Harmonisation of Technical Requirements for Registration of Veterinary Medicinal Products) was created to harmonise global regulatory requirements for veterinary medicines. </w:t>
      </w:r>
      <w:r>
        <w:fldChar w:fldCharType="begin"/>
      </w:r>
      <w:r>
        <w:instrText xml:space="preserve"> HYPERLINK "https://vichsec.org/" </w:instrText>
      </w:r>
      <w:r>
        <w:fldChar w:fldCharType="separate"/>
      </w:r>
      <w:r w:rsidRPr="00D17359">
        <w:rPr>
          <w:rFonts w:ascii="Verdana" w:eastAsia="Aptos" w:hAnsi="Verdana"/>
          <w:color w:val="467886"/>
          <w:kern w:val="2"/>
          <w:u w:val="single"/>
          <w:lang w:eastAsia="en-US"/>
        </w:rPr>
        <w:t>(vichsec.org)</w:t>
      </w:r>
      <w:r>
        <w:fldChar w:fldCharType="end"/>
      </w:r>
      <w:r w:rsidRPr="00D17359">
        <w:rPr>
          <w:rFonts w:ascii="Verdana" w:eastAsia="Aptos" w:hAnsi="Verdana"/>
          <w:kern w:val="2"/>
          <w:lang w:eastAsia="en-US"/>
        </w:rPr>
        <w:br/>
      </w:r>
    </w:p>
    <w:p w:rsidR="00A306E0" w:rsidRPr="00D17359" w:rsidP="00A306E0">
      <w:pPr>
        <w:numPr>
          <w:ilvl w:val="0"/>
          <w:numId w:val="32"/>
        </w:numPr>
        <w:spacing w:after="160" w:line="278" w:lineRule="auto"/>
        <w:contextualSpacing/>
        <w:rPr>
          <w:rFonts w:ascii="Verdana" w:eastAsia="Aptos" w:hAnsi="Verdana"/>
          <w:kern w:val="2"/>
          <w:lang w:eastAsia="en-US"/>
        </w:rPr>
      </w:pPr>
      <w:r w:rsidRPr="00D17359">
        <w:rPr>
          <w:rFonts w:ascii="Verdana" w:eastAsia="Aptos" w:hAnsi="Verdana"/>
          <w:kern w:val="2"/>
          <w:lang w:eastAsia="en-US"/>
        </w:rPr>
        <w:t>It is a tripartite initiative that initially brought together the veterinary medicines regulatory authorities and Industry representations from the European Union, the United States and Japan (founding members).</w:t>
      </w:r>
      <w:r w:rsidRPr="00D17359">
        <w:rPr>
          <w:rFonts w:ascii="Verdana" w:eastAsia="Aptos" w:hAnsi="Verdana"/>
          <w:kern w:val="2"/>
          <w:lang w:eastAsia="en-US"/>
        </w:rPr>
        <w:br/>
      </w:r>
    </w:p>
    <w:p w:rsidR="00A306E0" w:rsidRPr="00D17359" w:rsidP="00A306E0">
      <w:pPr>
        <w:numPr>
          <w:ilvl w:val="0"/>
          <w:numId w:val="32"/>
        </w:numPr>
        <w:spacing w:after="160" w:line="278" w:lineRule="auto"/>
        <w:contextualSpacing/>
        <w:rPr>
          <w:rFonts w:ascii="Verdana" w:eastAsia="Aptos" w:hAnsi="Verdana"/>
          <w:kern w:val="2"/>
          <w:lang w:eastAsia="en-US"/>
        </w:rPr>
      </w:pPr>
      <w:r w:rsidRPr="00D17359">
        <w:rPr>
          <w:rFonts w:ascii="Verdana" w:eastAsia="Aptos" w:hAnsi="Verdana"/>
          <w:kern w:val="2"/>
          <w:lang w:eastAsia="en-US"/>
        </w:rPr>
        <w:t>VICH is governed by a Steering Committee, which includes representatives of regulatory authorities and representatives of the animal health industry.</w:t>
      </w:r>
      <w:r w:rsidRPr="00D17359">
        <w:rPr>
          <w:rFonts w:ascii="Verdana" w:eastAsia="Aptos" w:hAnsi="Verdana"/>
          <w:kern w:val="2"/>
          <w:lang w:eastAsia="en-US"/>
        </w:rPr>
        <w:br/>
      </w:r>
    </w:p>
    <w:p w:rsidR="00A306E0" w:rsidRPr="00D17359" w:rsidP="00A306E0">
      <w:pPr>
        <w:numPr>
          <w:ilvl w:val="0"/>
          <w:numId w:val="32"/>
        </w:numPr>
        <w:spacing w:after="160" w:line="278" w:lineRule="auto"/>
        <w:contextualSpacing/>
        <w:rPr>
          <w:rFonts w:ascii="Verdana" w:eastAsia="Aptos" w:hAnsi="Verdana"/>
          <w:kern w:val="2"/>
          <w:lang w:eastAsia="en-US"/>
        </w:rPr>
      </w:pPr>
      <w:r w:rsidRPr="00D17359">
        <w:rPr>
          <w:rFonts w:ascii="Verdana" w:eastAsia="Aptos" w:hAnsi="Verdana"/>
          <w:kern w:val="2"/>
          <w:lang w:eastAsia="en-US"/>
        </w:rPr>
        <w:t>In addition to these core members, a wider group of standing members (formerly known as observer) countries and regions participate (e.g. UK, Canada, Australia, New Zealand, South Africa, Switzerland), helping to support broader international alignment. The UK is represented by the regulatory body, the Veterinary Medicines Directorate (VMD) and NOAH.</w:t>
      </w:r>
      <w:r w:rsidRPr="00D17359">
        <w:rPr>
          <w:rFonts w:ascii="Verdana" w:eastAsia="Aptos" w:hAnsi="Verdana"/>
          <w:kern w:val="2"/>
          <w:lang w:eastAsia="en-US"/>
        </w:rPr>
        <w:br/>
      </w:r>
    </w:p>
    <w:p w:rsidR="00A306E0" w:rsidRPr="00D17359" w:rsidP="00A306E0">
      <w:pPr>
        <w:numPr>
          <w:ilvl w:val="0"/>
          <w:numId w:val="32"/>
        </w:numPr>
        <w:spacing w:after="160" w:line="278" w:lineRule="auto"/>
        <w:contextualSpacing/>
        <w:rPr>
          <w:rFonts w:ascii="Verdana" w:eastAsia="Aptos" w:hAnsi="Verdana"/>
          <w:kern w:val="2"/>
          <w:lang w:eastAsia="en-US"/>
        </w:rPr>
      </w:pPr>
      <w:r w:rsidRPr="00D17359">
        <w:rPr>
          <w:rFonts w:ascii="Verdana" w:eastAsia="Aptos" w:hAnsi="Verdana"/>
          <w:kern w:val="2"/>
          <w:lang w:eastAsia="en-US"/>
        </w:rPr>
        <w:t>VICH produces harmonised guidelines covering safety (including human/user safety and environmental risk), quality, efficacy, and post</w:t>
      </w:r>
      <w:r w:rsidRPr="00D17359">
        <w:rPr>
          <w:rFonts w:ascii="Verdana" w:eastAsia="Aptos" w:hAnsi="Verdana"/>
          <w:kern w:val="2"/>
          <w:lang w:eastAsia="en-US"/>
        </w:rPr>
        <w:noBreakHyphen/>
        <w:t>authorisation pharmacovigilance.</w:t>
      </w:r>
    </w:p>
    <w:p w:rsidR="00A306E0" w:rsidRPr="00D17359" w:rsidP="00A306E0">
      <w:pPr>
        <w:spacing w:after="160" w:line="278" w:lineRule="auto"/>
        <w:ind w:left="720"/>
        <w:contextualSpacing/>
        <w:rPr>
          <w:rFonts w:ascii="Verdana" w:eastAsia="Aptos" w:hAnsi="Verdana"/>
          <w:kern w:val="2"/>
          <w:lang w:eastAsia="en-US"/>
        </w:rPr>
      </w:pPr>
    </w:p>
    <w:p w:rsidR="00A306E0" w:rsidRPr="00D17359" w:rsidP="00A306E0">
      <w:pPr>
        <w:numPr>
          <w:ilvl w:val="0"/>
          <w:numId w:val="32"/>
        </w:numPr>
        <w:spacing w:after="160" w:line="278" w:lineRule="auto"/>
        <w:contextualSpacing/>
        <w:rPr>
          <w:rFonts w:ascii="Verdana" w:eastAsia="Aptos" w:hAnsi="Verdana"/>
          <w:kern w:val="2"/>
          <w:lang w:eastAsia="en-US"/>
        </w:rPr>
      </w:pPr>
      <w:r w:rsidRPr="00D17359">
        <w:rPr>
          <w:rFonts w:ascii="Verdana" w:eastAsia="Aptos" w:hAnsi="Verdana"/>
          <w:kern w:val="2"/>
          <w:lang w:eastAsia="en-US"/>
        </w:rPr>
        <w:t>The governance of VICH is intentionally collaborative. Industry provides scientific and technical expertise while regulators have decision-making authority and retain their independence.</w:t>
      </w:r>
    </w:p>
    <w:p w:rsidR="00A306E0" w:rsidRPr="00D17359" w:rsidP="00A306E0">
      <w:pPr>
        <w:spacing w:after="160" w:line="278" w:lineRule="auto"/>
        <w:jc w:val="both"/>
        <w:rPr>
          <w:rFonts w:ascii="Verdana" w:eastAsia="Aptos" w:hAnsi="Verdana"/>
          <w:b/>
          <w:bCs/>
          <w:kern w:val="2"/>
          <w:lang w:eastAsia="en-US"/>
        </w:rPr>
      </w:pPr>
    </w:p>
    <w:p w:rsidR="00A306E0" w:rsidRPr="00D17359" w:rsidP="00A306E0">
      <w:pPr>
        <w:spacing w:after="160" w:line="278" w:lineRule="auto"/>
        <w:jc w:val="both"/>
        <w:rPr>
          <w:rFonts w:ascii="Verdana" w:eastAsia="Aptos" w:hAnsi="Verdana"/>
          <w:b/>
          <w:bCs/>
          <w:kern w:val="2"/>
          <w:lang w:eastAsia="en-US"/>
        </w:rPr>
      </w:pPr>
      <w:r w:rsidRPr="00D17359">
        <w:rPr>
          <w:rFonts w:ascii="Verdana" w:eastAsia="Aptos" w:hAnsi="Verdana"/>
          <w:b/>
          <w:bCs/>
          <w:kern w:val="2"/>
          <w:lang w:eastAsia="en-US"/>
        </w:rPr>
        <w:t>House of Lords Committee comments regarding regulatory capture</w:t>
      </w:r>
    </w:p>
    <w:p w:rsidR="00A306E0" w:rsidRPr="00D17359" w:rsidP="00A306E0">
      <w:pPr>
        <w:spacing w:after="160" w:line="278" w:lineRule="auto"/>
        <w:jc w:val="both"/>
        <w:rPr>
          <w:rFonts w:ascii="Verdana" w:eastAsia="Aptos" w:hAnsi="Verdana"/>
          <w:kern w:val="2"/>
          <w:lang w:eastAsia="en-US"/>
        </w:rPr>
      </w:pPr>
      <w:r w:rsidRPr="00D17359">
        <w:rPr>
          <w:rFonts w:ascii="Verdana" w:eastAsia="Aptos" w:hAnsi="Verdana"/>
          <w:kern w:val="2"/>
          <w:lang w:eastAsia="en-US"/>
        </w:rPr>
        <w:t xml:space="preserve">NOAH and our members firmly reject the assertion that industry participation in VICH represents regulatory capture. </w:t>
      </w:r>
    </w:p>
    <w:p w:rsidR="00A306E0" w:rsidRPr="00D17359" w:rsidP="00A306E0">
      <w:pPr>
        <w:spacing w:after="160" w:line="278" w:lineRule="auto"/>
        <w:jc w:val="both"/>
        <w:rPr>
          <w:rFonts w:ascii="Verdana" w:eastAsia="Aptos" w:hAnsi="Verdana"/>
          <w:kern w:val="2"/>
          <w:lang w:eastAsia="en-US"/>
        </w:rPr>
      </w:pPr>
      <w:r w:rsidRPr="00D17359">
        <w:rPr>
          <w:rFonts w:ascii="Verdana" w:eastAsia="Aptos" w:hAnsi="Verdana"/>
          <w:kern w:val="2"/>
          <w:lang w:eastAsia="en-US"/>
        </w:rPr>
        <w:t>Animal health companies who develop products are required to submit data for independent regulatory assessment regarding safety, quality and efficacy. In that context, dialogue between animal health companies and regulators on technical requirements is a positive and necessary step, with the same approach being taken at The International Council for Harmonisation of Technical Requirements for Pharmaceuticals for Human Use (ICH) for human medicines.</w:t>
      </w:r>
    </w:p>
    <w:p w:rsidR="00A306E0" w:rsidRPr="00D17359" w:rsidP="00A306E0">
      <w:pPr>
        <w:spacing w:after="160" w:line="278" w:lineRule="auto"/>
        <w:jc w:val="both"/>
        <w:rPr>
          <w:rFonts w:ascii="Verdana" w:eastAsia="Aptos" w:hAnsi="Verdana"/>
          <w:b/>
          <w:bCs/>
          <w:kern w:val="2"/>
          <w:lang w:eastAsia="en-US"/>
        </w:rPr>
      </w:pPr>
    </w:p>
    <w:p w:rsidR="00A306E0" w:rsidRPr="00D17359" w:rsidP="00A306E0">
      <w:pPr>
        <w:spacing w:after="160" w:line="278" w:lineRule="auto"/>
        <w:jc w:val="both"/>
        <w:rPr>
          <w:rFonts w:ascii="Verdana" w:eastAsia="Aptos" w:hAnsi="Verdana"/>
          <w:b/>
          <w:bCs/>
          <w:kern w:val="2"/>
          <w:lang w:eastAsia="en-US"/>
        </w:rPr>
      </w:pPr>
      <w:r w:rsidRPr="00D17359">
        <w:rPr>
          <w:rFonts w:ascii="Verdana" w:eastAsia="Aptos" w:hAnsi="Verdana"/>
          <w:b/>
          <w:bCs/>
          <w:kern w:val="2"/>
          <w:lang w:eastAsia="en-US"/>
        </w:rPr>
        <w:t>Objectives of VICH</w:t>
      </w:r>
    </w:p>
    <w:p w:rsidR="00A306E0" w:rsidRPr="00D17359" w:rsidP="00A306E0">
      <w:pPr>
        <w:spacing w:after="160" w:line="278" w:lineRule="auto"/>
        <w:jc w:val="both"/>
        <w:rPr>
          <w:rFonts w:ascii="Verdana" w:eastAsia="Aptos" w:hAnsi="Verdana"/>
          <w:kern w:val="2"/>
          <w:lang w:eastAsia="en-US"/>
        </w:rPr>
      </w:pPr>
      <w:r w:rsidRPr="00D17359">
        <w:rPr>
          <w:rFonts w:ascii="Verdana" w:eastAsia="Aptos" w:hAnsi="Verdana"/>
          <w:kern w:val="2"/>
          <w:lang w:eastAsia="en-US"/>
        </w:rPr>
        <w:t>The key objectives of VICH are as follows:</w:t>
      </w:r>
    </w:p>
    <w:p w:rsidR="00A306E0" w:rsidRPr="00D17359" w:rsidP="00A306E0">
      <w:pPr>
        <w:numPr>
          <w:ilvl w:val="0"/>
          <w:numId w:val="34"/>
        </w:numPr>
        <w:spacing w:after="160" w:line="278" w:lineRule="auto"/>
        <w:jc w:val="both"/>
        <w:rPr>
          <w:rFonts w:ascii="Verdana" w:eastAsia="Aptos" w:hAnsi="Verdana"/>
          <w:kern w:val="2"/>
          <w:lang w:eastAsia="en-US"/>
        </w:rPr>
      </w:pPr>
      <w:r w:rsidRPr="00D17359">
        <w:rPr>
          <w:rFonts w:ascii="Verdana" w:eastAsia="Aptos" w:hAnsi="Verdana"/>
          <w:kern w:val="2"/>
          <w:lang w:eastAsia="en-US"/>
        </w:rPr>
        <w:t xml:space="preserve">Establish and implement harmonised technical requirements for the registration of veterinary medicinal products in the VICH regions, which meet high quality, safety and efficacy standards and minimize the use of test animals and costs of product development. </w:t>
      </w:r>
    </w:p>
    <w:p w:rsidR="00A306E0" w:rsidRPr="00D17359" w:rsidP="00A306E0">
      <w:pPr>
        <w:numPr>
          <w:ilvl w:val="0"/>
          <w:numId w:val="34"/>
        </w:numPr>
        <w:spacing w:after="160" w:line="278" w:lineRule="auto"/>
        <w:jc w:val="both"/>
        <w:rPr>
          <w:rFonts w:ascii="Verdana" w:eastAsia="Aptos" w:hAnsi="Verdana"/>
          <w:kern w:val="2"/>
          <w:lang w:eastAsia="en-US"/>
        </w:rPr>
      </w:pPr>
      <w:r w:rsidRPr="00D17359">
        <w:rPr>
          <w:rFonts w:ascii="Verdana" w:eastAsia="Aptos" w:hAnsi="Verdana"/>
          <w:kern w:val="2"/>
          <w:lang w:eastAsia="en-US"/>
        </w:rPr>
        <w:t xml:space="preserve">Provide a basis for wider international harmonisation of technical requirements through outreach activities. </w:t>
      </w:r>
    </w:p>
    <w:p w:rsidR="00A306E0" w:rsidRPr="00D17359" w:rsidP="00A306E0">
      <w:pPr>
        <w:numPr>
          <w:ilvl w:val="0"/>
          <w:numId w:val="34"/>
        </w:numPr>
        <w:spacing w:after="160" w:line="278" w:lineRule="auto"/>
        <w:jc w:val="both"/>
        <w:rPr>
          <w:rFonts w:ascii="Verdana" w:eastAsia="Aptos" w:hAnsi="Verdana"/>
          <w:kern w:val="2"/>
          <w:lang w:eastAsia="en-US"/>
        </w:rPr>
      </w:pPr>
      <w:r w:rsidRPr="00D17359">
        <w:rPr>
          <w:rFonts w:ascii="Verdana" w:eastAsia="Aptos" w:hAnsi="Verdana"/>
          <w:kern w:val="2"/>
          <w:lang w:eastAsia="en-US"/>
        </w:rPr>
        <w:t xml:space="preserve">Monitor and maintain existing VICH guidelines, taking particular note of the ICH work programme and, where necessary, updating relevant VICH guidelines. </w:t>
      </w:r>
    </w:p>
    <w:p w:rsidR="00A306E0" w:rsidRPr="00D17359" w:rsidP="00A306E0">
      <w:pPr>
        <w:numPr>
          <w:ilvl w:val="0"/>
          <w:numId w:val="34"/>
        </w:numPr>
        <w:spacing w:after="160" w:line="278" w:lineRule="auto"/>
        <w:jc w:val="both"/>
        <w:rPr>
          <w:rFonts w:ascii="Verdana" w:eastAsia="Aptos" w:hAnsi="Verdana"/>
          <w:kern w:val="2"/>
          <w:lang w:eastAsia="en-US"/>
        </w:rPr>
      </w:pPr>
      <w:r w:rsidRPr="00D17359">
        <w:rPr>
          <w:rFonts w:ascii="Verdana" w:eastAsia="Aptos" w:hAnsi="Verdana"/>
          <w:kern w:val="2"/>
          <w:lang w:eastAsia="en-US"/>
        </w:rPr>
        <w:t>Ensure efficient processes for maintaining and monitoring consistent interpretation of data requirements following the implementation of VICH guidelines.</w:t>
      </w:r>
    </w:p>
    <w:p w:rsidR="00A306E0" w:rsidRPr="00D17359" w:rsidP="00A306E0">
      <w:pPr>
        <w:numPr>
          <w:ilvl w:val="0"/>
          <w:numId w:val="34"/>
        </w:numPr>
        <w:spacing w:after="160" w:line="278" w:lineRule="auto"/>
        <w:jc w:val="both"/>
        <w:rPr>
          <w:rFonts w:ascii="Verdana" w:eastAsia="Aptos" w:hAnsi="Verdana"/>
          <w:kern w:val="2"/>
          <w:lang w:eastAsia="en-US"/>
        </w:rPr>
      </w:pPr>
      <w:r w:rsidRPr="00D17359">
        <w:rPr>
          <w:rFonts w:ascii="Verdana" w:eastAsia="Aptos" w:hAnsi="Verdana"/>
          <w:kern w:val="2"/>
          <w:lang w:eastAsia="en-US"/>
        </w:rPr>
        <w:t>By means of a constructive dialogue between regulatory authorities and industry, provide technical guidance enabling response to significant emerging global issues and science that impact on technical requirements within the VICH regions.</w:t>
      </w:r>
    </w:p>
    <w:p w:rsidR="00A306E0" w:rsidRPr="00D17359" w:rsidP="00A306E0">
      <w:pPr>
        <w:spacing w:after="160" w:line="278" w:lineRule="auto"/>
        <w:jc w:val="both"/>
        <w:rPr>
          <w:rFonts w:ascii="Verdana" w:eastAsia="Aptos" w:hAnsi="Verdana"/>
          <w:b/>
          <w:bCs/>
          <w:kern w:val="2"/>
          <w:lang w:eastAsia="en-US"/>
        </w:rPr>
      </w:pPr>
    </w:p>
    <w:p w:rsidR="00A306E0" w:rsidRPr="00D17359" w:rsidP="00A306E0">
      <w:pPr>
        <w:spacing w:after="160" w:line="278" w:lineRule="auto"/>
        <w:jc w:val="both"/>
        <w:rPr>
          <w:rFonts w:ascii="Verdana" w:eastAsia="Aptos" w:hAnsi="Verdana"/>
          <w:b/>
          <w:bCs/>
          <w:kern w:val="2"/>
          <w:lang w:eastAsia="en-US"/>
        </w:rPr>
      </w:pPr>
      <w:r w:rsidRPr="00D17359">
        <w:rPr>
          <w:rFonts w:ascii="Verdana" w:eastAsia="Aptos" w:hAnsi="Verdana"/>
          <w:b/>
          <w:bCs/>
          <w:kern w:val="2"/>
          <w:lang w:eastAsia="en-US"/>
        </w:rPr>
        <w:t>Background and operations</w:t>
      </w:r>
    </w:p>
    <w:p w:rsidR="00A306E0" w:rsidRPr="00D17359" w:rsidP="00A306E0">
      <w:pPr>
        <w:spacing w:after="160" w:line="278" w:lineRule="auto"/>
        <w:jc w:val="both"/>
        <w:rPr>
          <w:rFonts w:ascii="Verdana" w:eastAsia="Aptos" w:hAnsi="Verdana"/>
          <w:kern w:val="2"/>
          <w:lang w:eastAsia="en-US"/>
        </w:rPr>
      </w:pPr>
      <w:r w:rsidRPr="00D17359">
        <w:rPr>
          <w:rFonts w:ascii="Verdana" w:eastAsia="Aptos" w:hAnsi="Verdana"/>
          <w:kern w:val="2"/>
          <w:lang w:eastAsia="en-US"/>
        </w:rPr>
        <w:t>VICH is a programme aimed at harmonising technical requirements for veterinary product registration between regulators. VICH was officially launched in 1996 by the three Founding Members; EU, Japan and USA. Several countries have since joined as Standing and Forum members. VICH was modelled on ICH (International Council for Harmonisation) created in 1990. ICH promotes harmonisation of preregistration technical requirements in the human health arena. A similar type of group related to animal feed brings together regulators and industry under FAO auspices.</w:t>
      </w:r>
    </w:p>
    <w:p w:rsidR="00A306E0" w:rsidRPr="00D17359" w:rsidP="00A306E0">
      <w:pPr>
        <w:spacing w:after="160" w:line="278" w:lineRule="auto"/>
        <w:jc w:val="both"/>
        <w:rPr>
          <w:rFonts w:ascii="Verdana" w:eastAsia="Aptos" w:hAnsi="Verdana"/>
          <w:kern w:val="2"/>
          <w:lang w:eastAsia="en-US"/>
        </w:rPr>
      </w:pPr>
      <w:r w:rsidRPr="00D17359">
        <w:rPr>
          <w:rFonts w:ascii="Verdana" w:eastAsia="Aptos" w:hAnsi="Verdana"/>
          <w:kern w:val="2"/>
          <w:lang w:eastAsia="en-US"/>
        </w:rPr>
        <w:t xml:space="preserve">VICH produces guidelines which are applied by the three Founding Members, and application by Standing member governments, is strongly encouraged. All guidelines are agreed by the Founding Members, after careful input over multiple years from the best available national experts on specific subjects, from VICH Founding Members, Standing and Forum Members, and industry. VICH guidelines are the result of input from the best specialists, working together to reach scientific and regulatory consensus. </w:t>
      </w:r>
    </w:p>
    <w:p w:rsidR="00A306E0" w:rsidRPr="00D17359" w:rsidP="00A306E0">
      <w:pPr>
        <w:spacing w:after="160" w:line="278" w:lineRule="auto"/>
        <w:jc w:val="both"/>
        <w:rPr>
          <w:rFonts w:ascii="Verdana" w:eastAsia="Aptos" w:hAnsi="Verdana"/>
          <w:kern w:val="2"/>
          <w:lang w:eastAsia="en-US"/>
        </w:rPr>
      </w:pPr>
      <w:r w:rsidRPr="00D17359">
        <w:rPr>
          <w:rFonts w:ascii="Verdana" w:eastAsia="Aptos" w:hAnsi="Verdana"/>
          <w:kern w:val="2"/>
          <w:lang w:eastAsia="en-US"/>
        </w:rPr>
        <w:t xml:space="preserve">VICH, like ICH for the human medicines industry, was expressly set up to create a discussion forum between regulators, but also between regulators and industry. Harmonisation of the preregistration technical data requirements brings significant benefits to society: including less testing on animals, better availability of veterinary products in more countries to counter animal and zoonotic diseases, better use of public resources, etc. </w:t>
      </w:r>
    </w:p>
    <w:p w:rsidR="00A306E0" w:rsidRPr="00D17359" w:rsidP="00A306E0">
      <w:pPr>
        <w:spacing w:after="160" w:line="278" w:lineRule="auto"/>
        <w:jc w:val="both"/>
        <w:rPr>
          <w:rFonts w:ascii="Verdana" w:eastAsia="Aptos" w:hAnsi="Verdana"/>
          <w:kern w:val="2"/>
          <w:lang w:eastAsia="en-US"/>
        </w:rPr>
      </w:pPr>
      <w:r w:rsidRPr="00D17359">
        <w:rPr>
          <w:rFonts w:ascii="Verdana" w:eastAsia="Aptos" w:hAnsi="Verdana"/>
          <w:kern w:val="2"/>
          <w:lang w:eastAsia="en-US"/>
        </w:rPr>
        <w:t xml:space="preserve">Regulated industries in almost all constituencies, engage with regulators to discuss non-product specific issues. For example, the EMA (European Medicines Agency) invites the human and animal health industries annually to discuss new technologies, innovations, processes and regulations. Other nations have similar approaches. </w:t>
      </w:r>
      <w:r w:rsidRPr="00D17359">
        <w:rPr>
          <w:rFonts w:ascii="Verdana" w:eastAsia="Aptos" w:hAnsi="Verdana"/>
          <w:kern w:val="2"/>
          <w:lang w:val="en-US" w:eastAsia="en-US"/>
        </w:rPr>
        <w:t xml:space="preserve">Many regulators also invite others - like academics, NGO's, societal groups, etc. - to provide input. </w:t>
      </w:r>
      <w:r w:rsidRPr="00D17359">
        <w:rPr>
          <w:rFonts w:ascii="Verdana" w:eastAsia="Aptos" w:hAnsi="Verdana"/>
          <w:kern w:val="2"/>
          <w:lang w:eastAsia="en-US"/>
        </w:rPr>
        <w:t xml:space="preserve">Such discussions are widely accepted and applied processes. These were deliberately created by governments to gather and exchange </w:t>
      </w:r>
      <w:r w:rsidRPr="00D17359">
        <w:rPr>
          <w:rFonts w:ascii="Verdana" w:eastAsia="Aptos" w:hAnsi="Verdana"/>
          <w:kern w:val="2"/>
          <w:lang w:eastAsia="en-US"/>
        </w:rPr>
        <w:t>information</w:t>
      </w:r>
      <w:r w:rsidRPr="00D17359">
        <w:rPr>
          <w:rFonts w:ascii="Verdana" w:eastAsia="Aptos" w:hAnsi="Verdana"/>
          <w:kern w:val="2"/>
          <w:lang w:eastAsia="en-US"/>
        </w:rPr>
        <w:t xml:space="preserve"> and such initiatives have positive benefits. </w:t>
      </w:r>
    </w:p>
    <w:p w:rsidR="00A306E0" w:rsidRPr="00D17359" w:rsidP="00A306E0">
      <w:pPr>
        <w:spacing w:after="160" w:line="278" w:lineRule="auto"/>
        <w:jc w:val="both"/>
        <w:rPr>
          <w:rFonts w:ascii="Verdana" w:eastAsia="Aptos" w:hAnsi="Verdana"/>
          <w:kern w:val="2"/>
          <w:lang w:eastAsia="en-US"/>
        </w:rPr>
      </w:pPr>
    </w:p>
    <w:p w:rsidR="00A306E0" w:rsidRPr="00D17359" w:rsidP="00A306E0">
      <w:pPr>
        <w:spacing w:after="160" w:line="278" w:lineRule="auto"/>
        <w:jc w:val="both"/>
        <w:rPr>
          <w:rFonts w:ascii="Verdana" w:eastAsia="Aptos" w:hAnsi="Verdana"/>
          <w:b/>
          <w:bCs/>
          <w:kern w:val="2"/>
          <w:lang w:eastAsia="en-US"/>
        </w:rPr>
      </w:pPr>
      <w:r w:rsidRPr="00D17359">
        <w:rPr>
          <w:rFonts w:ascii="Verdana" w:eastAsia="Aptos" w:hAnsi="Verdana"/>
          <w:b/>
          <w:bCs/>
          <w:kern w:val="2"/>
          <w:lang w:eastAsia="en-US"/>
        </w:rPr>
        <w:t xml:space="preserve">Participants </w:t>
      </w:r>
    </w:p>
    <w:p w:rsidR="00A306E0" w:rsidRPr="00D17359" w:rsidP="00A306E0">
      <w:pPr>
        <w:spacing w:after="160" w:line="278" w:lineRule="auto"/>
        <w:jc w:val="both"/>
        <w:rPr>
          <w:rFonts w:ascii="Verdana" w:eastAsia="Aptos" w:hAnsi="Verdana"/>
          <w:kern w:val="2"/>
          <w:lang w:eastAsia="en-US"/>
        </w:rPr>
      </w:pPr>
      <w:r w:rsidRPr="00D17359">
        <w:rPr>
          <w:rFonts w:ascii="Verdana" w:eastAsia="Aptos" w:hAnsi="Verdana"/>
          <w:kern w:val="2"/>
          <w:lang w:eastAsia="en-US"/>
        </w:rPr>
        <w:t>Both VICH and ICH were set up by the governments of three aforementioned regions, and both have included industry representation through national trade associations from the start. Since their inception both VICH and ICH have evolved to include representatives of many other governments. In the case of VICH, 32 governments engage on a regular basis. The UK was represented by the European Commission and the European Medicines Agency prior to Brexit. After Brexit, the UK joined as a Standing Member. The UK government is represented by VMD.</w:t>
      </w:r>
    </w:p>
    <w:p w:rsidR="00A306E0" w:rsidRPr="00D17359" w:rsidP="00A306E0">
      <w:pPr>
        <w:spacing w:after="160" w:line="278" w:lineRule="auto"/>
        <w:jc w:val="both"/>
        <w:rPr>
          <w:rFonts w:ascii="Verdana" w:eastAsia="Aptos" w:hAnsi="Verdana"/>
          <w:color w:val="EE0000"/>
          <w:kern w:val="2"/>
          <w:lang w:eastAsia="en-US"/>
        </w:rPr>
      </w:pPr>
      <w:r w:rsidRPr="00D17359">
        <w:rPr>
          <w:rFonts w:ascii="Verdana" w:eastAsia="Aptos" w:hAnsi="Verdana"/>
          <w:kern w:val="2"/>
          <w:lang w:eastAsia="en-US"/>
        </w:rPr>
        <w:t xml:space="preserve">It should be noted that the guidelines created by VICH are applied widely around the world - </w:t>
      </w:r>
      <w:r w:rsidRPr="00D17359">
        <w:rPr>
          <w:rFonts w:ascii="Verdana" w:eastAsia="Aptos" w:hAnsi="Verdana"/>
          <w:kern w:val="2"/>
          <w:lang w:val="en-US" w:eastAsia="en-US"/>
        </w:rPr>
        <w:t>in the 32 countries and regions (EU27) involved in VICH, but also in countries who use VICH guidelines as foundation for their national approaches.</w:t>
      </w:r>
    </w:p>
    <w:p w:rsidR="00A306E0" w:rsidP="00A306E0">
      <w:pPr>
        <w:spacing w:after="160" w:line="278" w:lineRule="auto"/>
        <w:jc w:val="both"/>
        <w:rPr>
          <w:rFonts w:ascii="Verdana" w:eastAsia="Aptos" w:hAnsi="Verdana"/>
          <w:kern w:val="2"/>
          <w:lang w:eastAsia="en-US"/>
        </w:rPr>
      </w:pPr>
    </w:p>
    <w:p w:rsidR="007E578F" w:rsidRPr="00D17359" w:rsidP="00A306E0">
      <w:pPr>
        <w:spacing w:after="160" w:line="278" w:lineRule="auto"/>
        <w:jc w:val="both"/>
        <w:rPr>
          <w:rFonts w:ascii="Verdana" w:eastAsia="Aptos" w:hAnsi="Verdana"/>
          <w:kern w:val="2"/>
          <w:lang w:eastAsia="en-US"/>
        </w:rPr>
      </w:pPr>
    </w:p>
    <w:p w:rsidR="00A306E0" w:rsidRPr="00D17359" w:rsidP="00A306E0">
      <w:pPr>
        <w:spacing w:after="160" w:line="278" w:lineRule="auto"/>
        <w:jc w:val="both"/>
        <w:rPr>
          <w:rFonts w:ascii="Verdana" w:eastAsia="Aptos" w:hAnsi="Verdana"/>
          <w:b/>
          <w:bCs/>
          <w:kern w:val="2"/>
          <w:lang w:eastAsia="en-US"/>
        </w:rPr>
      </w:pPr>
      <w:r w:rsidRPr="00D17359">
        <w:rPr>
          <w:rFonts w:ascii="Verdana" w:eastAsia="Aptos" w:hAnsi="Verdana"/>
          <w:b/>
          <w:bCs/>
          <w:kern w:val="2"/>
          <w:lang w:eastAsia="en-US"/>
        </w:rPr>
        <w:t xml:space="preserve">Transparency </w:t>
      </w:r>
    </w:p>
    <w:p w:rsidR="00A306E0" w:rsidRPr="00D17359" w:rsidP="00A306E0">
      <w:pPr>
        <w:spacing w:after="160" w:line="278" w:lineRule="auto"/>
        <w:jc w:val="both"/>
        <w:rPr>
          <w:rFonts w:ascii="Verdana" w:eastAsia="Aptos" w:hAnsi="Verdana"/>
          <w:kern w:val="2"/>
          <w:lang w:eastAsia="en-US"/>
        </w:rPr>
      </w:pPr>
      <w:r w:rsidRPr="00D17359">
        <w:rPr>
          <w:rFonts w:ascii="Verdana" w:eastAsia="Aptos" w:hAnsi="Verdana"/>
          <w:kern w:val="2"/>
          <w:lang w:eastAsia="en-US"/>
        </w:rPr>
        <w:t xml:space="preserve">All written content related to VICH business is publicly available to all on its website, including meeting minutes. </w:t>
      </w:r>
      <w:r>
        <w:fldChar w:fldCharType="begin"/>
      </w:r>
      <w:r>
        <w:instrText xml:space="preserve"> HYPERLINK "https://vichsec.org/" </w:instrText>
      </w:r>
      <w:r>
        <w:fldChar w:fldCharType="separate"/>
      </w:r>
      <w:r w:rsidRPr="00D17359">
        <w:rPr>
          <w:rFonts w:ascii="Verdana" w:eastAsia="Aptos" w:hAnsi="Verdana"/>
          <w:color w:val="467886"/>
          <w:kern w:val="2"/>
          <w:u w:val="single"/>
          <w:lang w:eastAsia="en-US"/>
        </w:rPr>
        <w:t>https://vichsec.org/</w:t>
      </w:r>
      <w:r>
        <w:fldChar w:fldCharType="end"/>
      </w:r>
    </w:p>
    <w:p w:rsidR="00A306E0" w:rsidRPr="00D17359" w:rsidP="00A306E0">
      <w:pPr>
        <w:spacing w:after="160" w:line="278" w:lineRule="auto"/>
        <w:jc w:val="both"/>
        <w:rPr>
          <w:rFonts w:ascii="Verdana" w:eastAsia="Aptos" w:hAnsi="Verdana"/>
          <w:b/>
          <w:bCs/>
          <w:kern w:val="2"/>
          <w:lang w:eastAsia="en-US"/>
        </w:rPr>
      </w:pPr>
    </w:p>
    <w:p w:rsidR="00A306E0" w:rsidRPr="00D17359" w:rsidP="00A306E0">
      <w:pPr>
        <w:spacing w:after="160" w:line="278" w:lineRule="auto"/>
        <w:jc w:val="both"/>
        <w:rPr>
          <w:rFonts w:ascii="Verdana" w:eastAsia="Aptos" w:hAnsi="Verdana"/>
          <w:b/>
          <w:bCs/>
          <w:kern w:val="2"/>
          <w:lang w:eastAsia="en-US"/>
        </w:rPr>
      </w:pPr>
      <w:r w:rsidRPr="00D17359">
        <w:rPr>
          <w:rFonts w:ascii="Verdana" w:eastAsia="Aptos" w:hAnsi="Verdana"/>
          <w:b/>
          <w:bCs/>
          <w:kern w:val="2"/>
          <w:lang w:eastAsia="en-US"/>
        </w:rPr>
        <w:t xml:space="preserve">Recent discussions about parasite control products </w:t>
      </w:r>
    </w:p>
    <w:p w:rsidR="00A306E0" w:rsidRPr="00D17359" w:rsidP="00A306E0">
      <w:pPr>
        <w:spacing w:after="160" w:line="278" w:lineRule="auto"/>
        <w:jc w:val="both"/>
        <w:rPr>
          <w:rFonts w:ascii="Verdana" w:eastAsia="Aptos" w:hAnsi="Verdana"/>
          <w:lang w:eastAsia="en-US"/>
        </w:rPr>
      </w:pPr>
      <w:r w:rsidRPr="00D17359">
        <w:rPr>
          <w:rFonts w:ascii="Verdana" w:eastAsia="Aptos" w:hAnsi="Verdana"/>
          <w:kern w:val="2"/>
          <w:lang w:eastAsia="en-US"/>
        </w:rPr>
        <w:t xml:space="preserve">VICH Guideline 6 (Environmental Impact Assessment) has been a topic of discussion at recent VICH Steering Committee meetings. </w:t>
      </w:r>
      <w:r>
        <w:fldChar w:fldCharType="begin"/>
      </w:r>
      <w:r>
        <w:instrText xml:space="preserve"> HYPERLINK "https://eur05.safelinks.protection.outlook.com/?url=https%3A%2F%2Fvichsec.org%2Fwp-content%2Fuploads%2F2026%2F02%2F25063-Fin.pdf&amp;data=05%7C02%7Ccarel%40healthforanimals.org%7Cea18c9bdfce64f0d1afb08deccb0a24b%7C5587138f08554935be1acbecc61716af%7C0%7C0%7C639173256160327068%7CUnknown%7CTWFpbGZsb3d8eyJFbXB0eU1hcGkiOnRydWUsIlYiOiIwLjAuMDAwMCIsIlAiOiJXaW4zMiIsIkFOIjoiTWFpbCIsIldUIjoyfQ%3D%3D%7C0%7C%7C%7C&amp;sdata=PQREnNuz6onAyI1PHcH1Bur8CMGCduJjLf0Qjfv6kFc%3D&amp;reserved=0" </w:instrText>
      </w:r>
      <w:r>
        <w:fldChar w:fldCharType="separate"/>
      </w:r>
      <w:r w:rsidRPr="00D17359">
        <w:rPr>
          <w:rFonts w:ascii="Verdana" w:eastAsia="Aptos" w:hAnsi="Verdana"/>
          <w:color w:val="467886"/>
          <w:kern w:val="2"/>
          <w:u w:val="single"/>
          <w:lang w:eastAsia="en-US"/>
        </w:rPr>
        <w:t>Minutes</w:t>
      </w:r>
      <w:r>
        <w:fldChar w:fldCharType="end"/>
      </w:r>
      <w:r w:rsidRPr="00D17359">
        <w:rPr>
          <w:rFonts w:ascii="Verdana" w:eastAsia="Aptos" w:hAnsi="Verdana"/>
          <w:kern w:val="2"/>
          <w:lang w:eastAsia="en-US"/>
        </w:rPr>
        <w:t xml:space="preserve"> state that there is no consensus within the Steering Committee for updating this guideline as it relates to parasite control products.</w:t>
      </w:r>
      <w:r w:rsidRPr="00D17359">
        <w:rPr>
          <w:rFonts w:ascii="Verdana" w:eastAsia="Aptos" w:hAnsi="Verdana"/>
          <w:lang w:eastAsia="en-US"/>
        </w:rPr>
        <w:t xml:space="preserve"> </w:t>
      </w:r>
    </w:p>
    <w:p w:rsidR="00A306E0" w:rsidRPr="00D17359" w:rsidP="00A306E0">
      <w:pPr>
        <w:spacing w:after="160" w:line="278" w:lineRule="auto"/>
        <w:jc w:val="both"/>
        <w:rPr>
          <w:rFonts w:ascii="Verdana" w:eastAsia="Aptos" w:hAnsi="Verdana"/>
          <w:kern w:val="2"/>
          <w:lang w:eastAsia="en-US"/>
        </w:rPr>
      </w:pPr>
      <w:r w:rsidRPr="00D17359">
        <w:rPr>
          <w:rFonts w:ascii="Verdana" w:eastAsia="Aptos" w:hAnsi="Verdana"/>
          <w:kern w:val="2"/>
          <w:lang w:eastAsia="en-US"/>
        </w:rPr>
        <w:t xml:space="preserve">VICH Guideline 6 includes a provision often referred to as the ‘however clause’, which allows regulators to require a more in-depth environmental assessment where there are grounds (e.g. the characteristics of the compound being authorised) to believe that a companion animal product may present an environmental risk. </w:t>
      </w:r>
    </w:p>
    <w:p w:rsidR="00A306E0" w:rsidRPr="00D17359" w:rsidP="00A306E0">
      <w:pPr>
        <w:spacing w:after="160" w:line="278" w:lineRule="auto"/>
        <w:jc w:val="both"/>
        <w:rPr>
          <w:rFonts w:ascii="Verdana" w:eastAsia="Aptos" w:hAnsi="Verdana"/>
          <w:kern w:val="2"/>
          <w:lang w:eastAsia="en-US"/>
        </w:rPr>
      </w:pPr>
      <w:r w:rsidRPr="00D17359">
        <w:rPr>
          <w:rFonts w:ascii="Verdana" w:eastAsia="Aptos" w:hAnsi="Verdana"/>
          <w:kern w:val="2"/>
          <w:lang w:eastAsia="en-US"/>
        </w:rPr>
        <w:t xml:space="preserve">Most regulatory </w:t>
      </w:r>
      <w:r w:rsidRPr="00D17359">
        <w:rPr>
          <w:rFonts w:ascii="Verdana" w:eastAsia="Aptos" w:hAnsi="Verdana"/>
          <w:kern w:val="2"/>
          <w:lang w:eastAsia="en-US"/>
        </w:rPr>
        <w:t>bodies</w:t>
      </w:r>
      <w:r w:rsidRPr="00D17359">
        <w:rPr>
          <w:rFonts w:ascii="Verdana" w:eastAsia="Aptos" w:hAnsi="Verdana"/>
          <w:kern w:val="2"/>
          <w:lang w:eastAsia="en-US"/>
        </w:rPr>
        <w:t xml:space="preserve"> view VICH guidelines as a foundational reference rather than a strict endpoint. Several factors influence decisions about adopting new VICH guidelines, including differences in farming practices, animal breeds, disease burdens, and legislative or infrastructural needs. Flexibility is maintained, allowing deviations by countries if supported by scientifically sound justifications.</w:t>
      </w:r>
    </w:p>
    <w:p w:rsidR="00A306E0" w:rsidRPr="00D17359" w:rsidP="00A306E0">
      <w:pPr>
        <w:spacing w:after="160" w:line="278" w:lineRule="auto"/>
        <w:jc w:val="both"/>
        <w:rPr>
          <w:rFonts w:ascii="Verdana" w:eastAsia="Aptos" w:hAnsi="Verdana"/>
          <w:b/>
          <w:bCs/>
          <w:kern w:val="2"/>
          <w:lang w:eastAsia="en-US"/>
        </w:rPr>
      </w:pPr>
    </w:p>
    <w:p w:rsidR="00A306E0" w:rsidRPr="00D17359" w:rsidP="00A306E0">
      <w:pPr>
        <w:spacing w:after="160" w:line="278" w:lineRule="auto"/>
        <w:jc w:val="both"/>
        <w:rPr>
          <w:rFonts w:ascii="Verdana" w:eastAsia="Aptos" w:hAnsi="Verdana"/>
          <w:b/>
          <w:bCs/>
          <w:kern w:val="2"/>
          <w:lang w:eastAsia="en-US"/>
        </w:rPr>
      </w:pPr>
      <w:r w:rsidRPr="00D17359">
        <w:rPr>
          <w:rFonts w:ascii="Verdana" w:eastAsia="Aptos" w:hAnsi="Verdana"/>
          <w:b/>
          <w:bCs/>
          <w:kern w:val="2"/>
          <w:lang w:eastAsia="en-US"/>
        </w:rPr>
        <w:t xml:space="preserve">Addressing misconceptions </w:t>
      </w:r>
    </w:p>
    <w:p w:rsidR="00A306E0" w:rsidRPr="00D17359" w:rsidP="00A306E0">
      <w:pPr>
        <w:spacing w:after="160" w:line="278" w:lineRule="auto"/>
        <w:jc w:val="both"/>
        <w:rPr>
          <w:rFonts w:ascii="Verdana" w:eastAsia="Aptos" w:hAnsi="Verdana"/>
          <w:kern w:val="2"/>
          <w:lang w:eastAsia="en-US"/>
        </w:rPr>
      </w:pPr>
      <w:r w:rsidRPr="00D17359">
        <w:rPr>
          <w:rFonts w:ascii="Verdana" w:eastAsia="Aptos" w:hAnsi="Verdana"/>
          <w:kern w:val="2"/>
          <w:lang w:eastAsia="en-US"/>
        </w:rPr>
        <w:t>The following points may help clarify possible misunderstandings about VICH:</w:t>
      </w:r>
    </w:p>
    <w:p w:rsidR="00A306E0" w:rsidRPr="00D17359" w:rsidP="00A306E0">
      <w:pPr>
        <w:numPr>
          <w:ilvl w:val="0"/>
          <w:numId w:val="33"/>
        </w:numPr>
        <w:spacing w:after="160" w:line="278" w:lineRule="auto"/>
        <w:jc w:val="both"/>
        <w:rPr>
          <w:rFonts w:ascii="Verdana" w:eastAsia="Aptos" w:hAnsi="Verdana"/>
          <w:kern w:val="2"/>
          <w:lang w:eastAsia="en-US"/>
        </w:rPr>
      </w:pPr>
      <w:r w:rsidRPr="00D17359">
        <w:rPr>
          <w:rFonts w:ascii="Verdana" w:eastAsia="Aptos" w:hAnsi="Verdana"/>
          <w:kern w:val="2"/>
          <w:lang w:eastAsia="en-US"/>
        </w:rPr>
        <w:t>VICH does not discuss, assess or authorise individual veterinary medicines. Product authorisation and regulatory decisions remain the responsibility of national or regional regulators.</w:t>
      </w:r>
    </w:p>
    <w:p w:rsidR="00A306E0" w:rsidRPr="00D17359" w:rsidP="00A306E0">
      <w:pPr>
        <w:numPr>
          <w:ilvl w:val="0"/>
          <w:numId w:val="33"/>
        </w:numPr>
        <w:spacing w:after="160" w:line="278" w:lineRule="auto"/>
        <w:jc w:val="both"/>
        <w:rPr>
          <w:rFonts w:ascii="Verdana" w:eastAsia="Aptos" w:hAnsi="Verdana"/>
          <w:kern w:val="2"/>
          <w:lang w:eastAsia="en-US"/>
        </w:rPr>
      </w:pPr>
      <w:r w:rsidRPr="00D17359">
        <w:rPr>
          <w:rFonts w:ascii="Verdana" w:eastAsia="Aptos" w:hAnsi="Verdana"/>
          <w:kern w:val="2"/>
          <w:lang w:eastAsia="en-US"/>
        </w:rPr>
        <w:t>VICH does not set global food safety standards. Food safety standards are addressed through bodies such as Codex Alimentarius and the Joint FAO/WHO Expert Committee on Food Additives (JECFA), although VICH may develop technical data requirements relevant to veterinary medicines.</w:t>
      </w:r>
    </w:p>
    <w:p w:rsidR="00A306E0" w:rsidRPr="00D17359" w:rsidP="00A306E0">
      <w:pPr>
        <w:numPr>
          <w:ilvl w:val="0"/>
          <w:numId w:val="33"/>
        </w:numPr>
        <w:spacing w:after="160" w:line="278" w:lineRule="auto"/>
        <w:jc w:val="both"/>
        <w:rPr>
          <w:rFonts w:ascii="Verdana" w:eastAsia="Aptos" w:hAnsi="Verdana"/>
          <w:kern w:val="2"/>
          <w:lang w:eastAsia="en-US"/>
        </w:rPr>
      </w:pPr>
      <w:r w:rsidRPr="00D17359">
        <w:rPr>
          <w:rFonts w:ascii="Verdana" w:eastAsia="Aptos" w:hAnsi="Verdana"/>
          <w:kern w:val="2"/>
          <w:lang w:eastAsia="en-US"/>
        </w:rPr>
        <w:t>VICH guidelines do not override UK law. The UK’s veterinary medicines regulatory regime remains governed by UK legislation and implemented by the Veterinary Medicines Directorate.</w:t>
      </w:r>
    </w:p>
    <w:p w:rsidR="00A306E0" w:rsidRPr="00D17359" w:rsidP="00A306E0">
      <w:pPr>
        <w:numPr>
          <w:ilvl w:val="0"/>
          <w:numId w:val="33"/>
        </w:numPr>
        <w:spacing w:after="160" w:line="278" w:lineRule="auto"/>
        <w:rPr>
          <w:rFonts w:ascii="Verdana" w:eastAsia="Aptos" w:hAnsi="Verdana"/>
          <w:kern w:val="2"/>
          <w:lang w:eastAsia="en-US"/>
        </w:rPr>
      </w:pPr>
      <w:r w:rsidRPr="00D17359">
        <w:rPr>
          <w:rFonts w:ascii="Verdana" w:eastAsia="Aptos" w:hAnsi="Verdana"/>
          <w:kern w:val="2"/>
          <w:lang w:eastAsia="en-US"/>
        </w:rPr>
        <w:t>VICH has developed guidance relevant to environmental impact assessment, including Guideline 6 on Environmental impact assessment.</w:t>
      </w:r>
    </w:p>
    <w:p w:rsidR="00A306E0" w:rsidRPr="00D17359" w:rsidP="00A306E0">
      <w:pPr>
        <w:numPr>
          <w:ilvl w:val="0"/>
          <w:numId w:val="33"/>
        </w:numPr>
        <w:spacing w:after="160" w:line="278" w:lineRule="auto"/>
        <w:jc w:val="both"/>
        <w:rPr>
          <w:rFonts w:ascii="Verdana" w:eastAsia="Aptos" w:hAnsi="Verdana"/>
          <w:kern w:val="2"/>
          <w:lang w:eastAsia="en-US"/>
        </w:rPr>
      </w:pPr>
      <w:r w:rsidRPr="00D17359">
        <w:rPr>
          <w:rFonts w:ascii="Verdana" w:eastAsia="Aptos" w:hAnsi="Verdana"/>
          <w:kern w:val="2"/>
          <w:lang w:eastAsia="en-US"/>
        </w:rPr>
        <w:t xml:space="preserve">Industry participation in VICH contributes technical and scientific expertise to guideline development. </w:t>
      </w:r>
    </w:p>
    <w:p w:rsidR="00A306E0" w:rsidRPr="00D17359" w:rsidP="00A306E0">
      <w:pPr>
        <w:numPr>
          <w:ilvl w:val="0"/>
          <w:numId w:val="33"/>
        </w:numPr>
        <w:spacing w:after="160" w:line="278" w:lineRule="auto"/>
        <w:jc w:val="both"/>
        <w:rPr>
          <w:rFonts w:ascii="Verdana" w:eastAsia="Aptos" w:hAnsi="Verdana"/>
          <w:kern w:val="2"/>
          <w:lang w:eastAsia="en-US"/>
        </w:rPr>
      </w:pPr>
      <w:r w:rsidRPr="00D17359">
        <w:rPr>
          <w:rFonts w:ascii="Verdana" w:eastAsia="Aptos" w:hAnsi="Verdana"/>
          <w:kern w:val="2"/>
          <w:lang w:eastAsia="en-US"/>
        </w:rPr>
        <w:t>Neither the VICH, nor industry has the authority to approve products or make regulatory decisions, this remains the sole prerogative of independent, national regulatory authorities, such as the VMD.</w:t>
      </w:r>
    </w:p>
    <w:p w:rsidR="00DF2E8E" w:rsidRPr="00D17359" w:rsidP="00532EC6">
      <w:pPr>
        <w:rPr>
          <w:rFonts w:ascii="Verdana" w:hAnsi="Verdana"/>
        </w:rPr>
      </w:pPr>
    </w:p>
    <w:p w:rsidR="00A306E0" w:rsidRPr="00D17359" w:rsidP="00532EC6">
      <w:pPr>
        <w:rPr>
          <w:rFonts w:ascii="Verdana" w:hAnsi="Verdana"/>
        </w:rPr>
      </w:pPr>
      <w:r w:rsidRPr="00D17359">
        <w:rPr>
          <w:rFonts w:ascii="Verdana" w:hAnsi="Verdana"/>
        </w:rPr>
        <w:t>03/07/2026</w:t>
      </w:r>
    </w:p>
    <w:sectPr w:rsidSect="002A5353">
      <w:footerReference w:type="first" r:id="rId9"/>
      <w:pgSz w:w="11906" w:h="16838"/>
      <w:pgMar w:top="1440" w:right="991"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5353" w:rsidP="00A32B00">
    <w:pPr>
      <w:pStyle w:val="Footer"/>
    </w:pPr>
    <w:r>
      <w:rPr>
        <w:b/>
        <w:noProof/>
      </w:rPr>
      <w:pict>
        <v:shapetype id="_x0000_t202" coordsize="21600,21600" o:spt="202" path="m,l,21600r21600,l21600,xe">
          <v:stroke joinstyle="miter"/>
          <v:path gradientshapeok="t" o:connecttype="rect"/>
        </v:shapetype>
        <v:shape id="Text Box 13" o:spid="_x0000_s2049" type="#_x0000_t202" style="height:45pt;margin-left:157.95pt;margin-top:779.2pt;mso-height-percent:0;mso-height-relative:page;mso-width-percent:0;mso-width-relative:page;mso-wrap-distance-bottom:0;mso-wrap-distance-left:9pt;mso-wrap-distance-right:9pt;mso-wrap-distance-top:0;mso-wrap-style:square;position:absolute;v-text-anchor:top;visibility:visible;width:135pt;z-index:-251653120" filled="f" stroked="f">
          <v:textbox>
            <w:txbxContent>
              <w:p w:rsidR="002A5353" w:rsidP="002A5353">
                <w:pPr>
                  <w:rPr>
                    <w:rFonts w:ascii="Arial" w:hAnsi="Arial" w:cs="Arial"/>
                    <w:i/>
                    <w:sz w:val="16"/>
                    <w:szCs w:val="16"/>
                  </w:rPr>
                </w:pPr>
                <w:r>
                  <w:rPr>
                    <w:rFonts w:ascii="Arial" w:hAnsi="Arial" w:cs="Arial"/>
                    <w:i/>
                    <w:sz w:val="16"/>
                    <w:szCs w:val="16"/>
                  </w:rPr>
                  <w:t>A ‘one stop source’ for animal health information and advice</w:t>
                </w:r>
              </w:p>
              <w:p w:rsidR="002A5353" w:rsidRPr="000915A6" w:rsidP="002A5353">
                <w:pPr>
                  <w:rPr>
                    <w:rFonts w:ascii="Arial" w:hAnsi="Arial" w:cs="Arial"/>
                    <w:sz w:val="16"/>
                    <w:szCs w:val="16"/>
                  </w:rPr>
                </w:pPr>
                <w:r w:rsidRPr="000915A6">
                  <w:rPr>
                    <w:rFonts w:ascii="Arial" w:hAnsi="Arial" w:cs="Arial"/>
                    <w:sz w:val="16"/>
                    <w:szCs w:val="16"/>
                  </w:rPr>
                  <w:t>www.pethealthinfo.org.uk</w:t>
                </w:r>
              </w:p>
            </w:txbxContent>
          </v:textbox>
        </v:shape>
      </w:pict>
    </w:r>
    <w:r>
      <w:rPr>
        <w:noProof/>
      </w:rPr>
      <w:drawing>
        <wp:anchor distT="0" distB="0" distL="114300" distR="114300" simplePos="0" relativeHeight="251662336" behindDoc="0" locked="0" layoutInCell="1" allowOverlap="1">
          <wp:simplePos x="0" y="0"/>
          <wp:positionH relativeFrom="column">
            <wp:posOffset>2968625</wp:posOffset>
          </wp:positionH>
          <wp:positionV relativeFrom="paragraph">
            <wp:posOffset>5135880</wp:posOffset>
          </wp:positionV>
          <wp:extent cx="1619885" cy="414655"/>
          <wp:effectExtent l="0" t="0" r="0" b="4445"/>
          <wp:wrapNone/>
          <wp:docPr id="17" name="Picture 17" descr="PetHealth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tHealth hi-res"/>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619885" cy="414655"/>
                  </a:xfrm>
                  <a:prstGeom prst="rect">
                    <a:avLst/>
                  </a:prstGeom>
                  <a:noFill/>
                  <a:ln>
                    <a:noFill/>
                  </a:ln>
                </pic:spPr>
              </pic:pic>
            </a:graphicData>
          </a:graphic>
        </wp:anchor>
      </w:drawing>
    </w:r>
    <w:r>
      <w:rPr>
        <w:noProof/>
      </w:rPr>
      <w:pict>
        <v:shape id="Text Box 10" o:spid="_x0000_s2050" type="#_x0000_t202" style="height:45pt;margin-left:294.7pt;margin-top:398.4pt;mso-height-percent:0;mso-height-relative:page;mso-width-percent:0;mso-width-relative:page;mso-wrap-distance-bottom:0;mso-wrap-distance-left:9pt;mso-wrap-distance-right:9pt;mso-wrap-distance-top:0;mso-wrap-style:square;position:absolute;v-text-anchor:top;visibility:visible;width:135pt;z-index:-251655168" filled="f" stroked="f">
          <v:textbox>
            <w:txbxContent>
              <w:p w:rsidR="002A5353" w:rsidP="002A5353">
                <w:pPr>
                  <w:rPr>
                    <w:rFonts w:ascii="Arial" w:hAnsi="Arial" w:cs="Arial"/>
                    <w:i/>
                    <w:sz w:val="16"/>
                    <w:szCs w:val="16"/>
                  </w:rPr>
                </w:pPr>
                <w:r>
                  <w:rPr>
                    <w:rFonts w:ascii="Arial" w:hAnsi="Arial" w:cs="Arial"/>
                    <w:i/>
                    <w:sz w:val="16"/>
                    <w:szCs w:val="16"/>
                  </w:rPr>
                  <w:t>A ‘one stop source’ for animal health information and advice</w:t>
                </w:r>
              </w:p>
              <w:p w:rsidR="002A5353" w:rsidRPr="000915A6" w:rsidP="002A5353">
                <w:pPr>
                  <w:rPr>
                    <w:rFonts w:ascii="Arial" w:hAnsi="Arial" w:cs="Arial"/>
                    <w:sz w:val="16"/>
                    <w:szCs w:val="16"/>
                  </w:rPr>
                </w:pPr>
                <w:r w:rsidRPr="000915A6">
                  <w:rPr>
                    <w:rFonts w:ascii="Arial" w:hAnsi="Arial" w:cs="Arial"/>
                    <w:sz w:val="16"/>
                    <w:szCs w:val="16"/>
                  </w:rPr>
                  <w:t>www.pethealthinfo.org.uk</w:t>
                </w:r>
              </w:p>
            </w:txbxContent>
          </v:textbox>
        </v:shape>
      </w:pict>
    </w:r>
    <w:r>
      <w:rPr>
        <w:noProof/>
      </w:rPr>
      <w:drawing>
        <wp:anchor distT="0" distB="0" distL="114300" distR="114300" simplePos="0" relativeHeight="251660288" behindDoc="0" locked="0" layoutInCell="1" allowOverlap="1">
          <wp:simplePos x="0" y="0"/>
          <wp:positionH relativeFrom="column">
            <wp:posOffset>2096770</wp:posOffset>
          </wp:positionH>
          <wp:positionV relativeFrom="paragraph">
            <wp:posOffset>5059680</wp:posOffset>
          </wp:positionV>
          <wp:extent cx="1619885" cy="414655"/>
          <wp:effectExtent l="0" t="0" r="0" b="4445"/>
          <wp:wrapNone/>
          <wp:docPr id="19" name="Picture 19" descr="PetHealth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tHealth hi-res"/>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619885" cy="414655"/>
                  </a:xfrm>
                  <a:prstGeom prst="rect">
                    <a:avLst/>
                  </a:prstGeom>
                  <a:noFill/>
                  <a:ln>
                    <a:noFill/>
                  </a:ln>
                </pic:spPr>
              </pic:pic>
            </a:graphicData>
          </a:graphic>
        </wp:anchor>
      </w:drawing>
    </w:r>
    <w:r>
      <w:rPr>
        <w:noProof/>
      </w:rPr>
      <w:pict>
        <v:shape id="Text Box 7" o:spid="_x0000_s2051" type="#_x0000_t202" style="height:45pt;margin-left:294.7pt;margin-top:398.4pt;mso-height-percent:0;mso-height-relative:page;mso-width-percent:0;mso-width-relative:page;mso-wrap-distance-bottom:0;mso-wrap-distance-left:9pt;mso-wrap-distance-right:9pt;mso-wrap-distance-top:0;mso-wrap-style:square;position:absolute;v-text-anchor:top;visibility:visible;width:135pt;z-index:-251657216" filled="f" stroked="f">
          <v:textbox>
            <w:txbxContent>
              <w:p w:rsidR="002A5353" w:rsidP="002A5353">
                <w:pPr>
                  <w:rPr>
                    <w:rFonts w:ascii="Arial" w:hAnsi="Arial" w:cs="Arial"/>
                    <w:i/>
                    <w:sz w:val="16"/>
                    <w:szCs w:val="16"/>
                  </w:rPr>
                </w:pPr>
                <w:r>
                  <w:rPr>
                    <w:rFonts w:ascii="Arial" w:hAnsi="Arial" w:cs="Arial"/>
                    <w:i/>
                    <w:sz w:val="16"/>
                    <w:szCs w:val="16"/>
                  </w:rPr>
                  <w:t>A ‘one stop source’ for animal health information and advice</w:t>
                </w:r>
              </w:p>
              <w:p w:rsidR="002A5353" w:rsidRPr="000915A6" w:rsidP="002A5353">
                <w:pPr>
                  <w:rPr>
                    <w:rFonts w:ascii="Arial" w:hAnsi="Arial" w:cs="Arial"/>
                    <w:sz w:val="16"/>
                    <w:szCs w:val="16"/>
                  </w:rPr>
                </w:pPr>
                <w:r w:rsidRPr="000915A6">
                  <w:rPr>
                    <w:rFonts w:ascii="Arial" w:hAnsi="Arial" w:cs="Arial"/>
                    <w:sz w:val="16"/>
                    <w:szCs w:val="16"/>
                  </w:rPr>
                  <w:t>www.pethealthinfo.org.uk</w:t>
                </w:r>
              </w:p>
            </w:txbxContent>
          </v:textbox>
        </v:shape>
      </w:pict>
    </w:r>
    <w:r>
      <w:rPr>
        <w:noProof/>
      </w:rPr>
      <w:drawing>
        <wp:anchor distT="0" distB="0" distL="114300" distR="114300" simplePos="0" relativeHeight="251658240" behindDoc="0" locked="0" layoutInCell="1" allowOverlap="1">
          <wp:simplePos x="0" y="0"/>
          <wp:positionH relativeFrom="column">
            <wp:posOffset>2096770</wp:posOffset>
          </wp:positionH>
          <wp:positionV relativeFrom="paragraph">
            <wp:posOffset>5059680</wp:posOffset>
          </wp:positionV>
          <wp:extent cx="1619885" cy="414655"/>
          <wp:effectExtent l="0" t="0" r="0" b="4445"/>
          <wp:wrapNone/>
          <wp:docPr id="21" name="Picture 21" descr="PetHealth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Health hi-res"/>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619885" cy="414655"/>
                  </a:xfrm>
                  <a:prstGeom prst="rect">
                    <a:avLst/>
                  </a:prstGeom>
                  <a:noFill/>
                  <a:ln>
                    <a:noFill/>
                  </a:ln>
                </pic:spPr>
              </pic:pic>
            </a:graphicData>
          </a:graphic>
        </wp:anchor>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name w:val="WWNum1"/>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35B74C7"/>
    <w:multiLevelType w:val="multilevel"/>
    <w:tmpl w:val="8610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1B13D2"/>
    <w:multiLevelType w:val="hybridMultilevel"/>
    <w:tmpl w:val="137865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541E9E"/>
    <w:multiLevelType w:val="hybridMultilevel"/>
    <w:tmpl w:val="8284A3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5D33062"/>
    <w:multiLevelType w:val="hybridMultilevel"/>
    <w:tmpl w:val="DAA460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344AAE"/>
    <w:multiLevelType w:val="multilevel"/>
    <w:tmpl w:val="67CA4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AD1566"/>
    <w:multiLevelType w:val="hybridMultilevel"/>
    <w:tmpl w:val="524C91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C5F38F7"/>
    <w:multiLevelType w:val="hybridMultilevel"/>
    <w:tmpl w:val="2EB0A0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DDE2FF8"/>
    <w:multiLevelType w:val="multilevel"/>
    <w:tmpl w:val="A6E2B9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0ED704D0"/>
    <w:multiLevelType w:val="hybridMultilevel"/>
    <w:tmpl w:val="BEE2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4A77D7B"/>
    <w:multiLevelType w:val="multilevel"/>
    <w:tmpl w:val="4A10C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1070BC"/>
    <w:multiLevelType w:val="hybridMultilevel"/>
    <w:tmpl w:val="8F0064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1D6E3BD9"/>
    <w:multiLevelType w:val="hybridMultilevel"/>
    <w:tmpl w:val="7EB2F4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1F7628CD"/>
    <w:multiLevelType w:val="hybridMultilevel"/>
    <w:tmpl w:val="15362F28"/>
    <w:lvl w:ilvl="0">
      <w:start w:val="1"/>
      <w:numFmt w:val="bullet"/>
      <w:lvlText w:val=""/>
      <w:lvlJc w:val="left"/>
      <w:pPr>
        <w:ind w:left="1485" w:hanging="360"/>
      </w:pPr>
      <w:rPr>
        <w:rFonts w:ascii="Symbol" w:hAnsi="Symbol" w:hint="default"/>
      </w:rPr>
    </w:lvl>
    <w:lvl w:ilvl="1" w:tentative="1">
      <w:start w:val="1"/>
      <w:numFmt w:val="bullet"/>
      <w:lvlText w:val="o"/>
      <w:lvlJc w:val="left"/>
      <w:pPr>
        <w:ind w:left="2205" w:hanging="360"/>
      </w:pPr>
      <w:rPr>
        <w:rFonts w:ascii="Courier New" w:hAnsi="Courier New" w:cs="Courier New" w:hint="default"/>
      </w:rPr>
    </w:lvl>
    <w:lvl w:ilvl="2" w:tentative="1">
      <w:start w:val="1"/>
      <w:numFmt w:val="bullet"/>
      <w:lvlText w:val=""/>
      <w:lvlJc w:val="left"/>
      <w:pPr>
        <w:ind w:left="2925" w:hanging="360"/>
      </w:pPr>
      <w:rPr>
        <w:rFonts w:ascii="Wingdings" w:hAnsi="Wingdings" w:hint="default"/>
      </w:rPr>
    </w:lvl>
    <w:lvl w:ilvl="3" w:tentative="1">
      <w:start w:val="1"/>
      <w:numFmt w:val="bullet"/>
      <w:lvlText w:val=""/>
      <w:lvlJc w:val="left"/>
      <w:pPr>
        <w:ind w:left="3645" w:hanging="360"/>
      </w:pPr>
      <w:rPr>
        <w:rFonts w:ascii="Symbol" w:hAnsi="Symbol" w:hint="default"/>
      </w:rPr>
    </w:lvl>
    <w:lvl w:ilvl="4" w:tentative="1">
      <w:start w:val="1"/>
      <w:numFmt w:val="bullet"/>
      <w:lvlText w:val="o"/>
      <w:lvlJc w:val="left"/>
      <w:pPr>
        <w:ind w:left="4365" w:hanging="360"/>
      </w:pPr>
      <w:rPr>
        <w:rFonts w:ascii="Courier New" w:hAnsi="Courier New" w:cs="Courier New" w:hint="default"/>
      </w:rPr>
    </w:lvl>
    <w:lvl w:ilvl="5" w:tentative="1">
      <w:start w:val="1"/>
      <w:numFmt w:val="bullet"/>
      <w:lvlText w:val=""/>
      <w:lvlJc w:val="left"/>
      <w:pPr>
        <w:ind w:left="5085" w:hanging="360"/>
      </w:pPr>
      <w:rPr>
        <w:rFonts w:ascii="Wingdings" w:hAnsi="Wingdings" w:hint="default"/>
      </w:rPr>
    </w:lvl>
    <w:lvl w:ilvl="6" w:tentative="1">
      <w:start w:val="1"/>
      <w:numFmt w:val="bullet"/>
      <w:lvlText w:val=""/>
      <w:lvlJc w:val="left"/>
      <w:pPr>
        <w:ind w:left="5805" w:hanging="360"/>
      </w:pPr>
      <w:rPr>
        <w:rFonts w:ascii="Symbol" w:hAnsi="Symbol" w:hint="default"/>
      </w:rPr>
    </w:lvl>
    <w:lvl w:ilvl="7" w:tentative="1">
      <w:start w:val="1"/>
      <w:numFmt w:val="bullet"/>
      <w:lvlText w:val="o"/>
      <w:lvlJc w:val="left"/>
      <w:pPr>
        <w:ind w:left="6525" w:hanging="360"/>
      </w:pPr>
      <w:rPr>
        <w:rFonts w:ascii="Courier New" w:hAnsi="Courier New" w:cs="Courier New" w:hint="default"/>
      </w:rPr>
    </w:lvl>
    <w:lvl w:ilvl="8" w:tentative="1">
      <w:start w:val="1"/>
      <w:numFmt w:val="bullet"/>
      <w:lvlText w:val=""/>
      <w:lvlJc w:val="left"/>
      <w:pPr>
        <w:ind w:left="7245" w:hanging="360"/>
      </w:pPr>
      <w:rPr>
        <w:rFonts w:ascii="Wingdings" w:hAnsi="Wingdings" w:hint="default"/>
      </w:rPr>
    </w:lvl>
  </w:abstractNum>
  <w:abstractNum w:abstractNumId="14">
    <w:nsid w:val="1F8B5809"/>
    <w:multiLevelType w:val="hybridMultilevel"/>
    <w:tmpl w:val="67221F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0DA7A00"/>
    <w:multiLevelType w:val="multilevel"/>
    <w:tmpl w:val="3A52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8F2901"/>
    <w:multiLevelType w:val="hybridMultilevel"/>
    <w:tmpl w:val="10A260EA"/>
    <w:lvl w:ilvl="0">
      <w:start w:val="0"/>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26A408F1"/>
    <w:multiLevelType w:val="hybridMultilevel"/>
    <w:tmpl w:val="864ED5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AA52513"/>
    <w:multiLevelType w:val="multilevel"/>
    <w:tmpl w:val="2C96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DE59AC"/>
    <w:multiLevelType w:val="multilevel"/>
    <w:tmpl w:val="C4349A1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A4526F"/>
    <w:multiLevelType w:val="multilevel"/>
    <w:tmpl w:val="8B3E3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1693781"/>
    <w:multiLevelType w:val="multilevel"/>
    <w:tmpl w:val="30C2C9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nsid w:val="381D65F7"/>
    <w:multiLevelType w:val="hybridMultilevel"/>
    <w:tmpl w:val="DF9C0ED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39A06AC6"/>
    <w:multiLevelType w:val="hybridMultilevel"/>
    <w:tmpl w:val="DF66F0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CF260AC"/>
    <w:multiLevelType w:val="hybridMultilevel"/>
    <w:tmpl w:val="09542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00B283E"/>
    <w:multiLevelType w:val="hybridMultilevel"/>
    <w:tmpl w:val="1A161F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81C1654"/>
    <w:multiLevelType w:val="hybridMultilevel"/>
    <w:tmpl w:val="F5D45A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A3D457D"/>
    <w:multiLevelType w:val="hybridMultilevel"/>
    <w:tmpl w:val="18BE71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4BB63881"/>
    <w:multiLevelType w:val="multilevel"/>
    <w:tmpl w:val="ECDC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3D33DB"/>
    <w:multiLevelType w:val="hybridMultilevel"/>
    <w:tmpl w:val="46F800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EC947E4"/>
    <w:multiLevelType w:val="hybridMultilevel"/>
    <w:tmpl w:val="A4F8352E"/>
    <w:lvl w:ilvl="0">
      <w:start w:val="2012"/>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4F6514F9"/>
    <w:multiLevelType w:val="multilevel"/>
    <w:tmpl w:val="7DAC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387CBC"/>
    <w:multiLevelType w:val="hybridMultilevel"/>
    <w:tmpl w:val="FB6A9C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9E03280"/>
    <w:multiLevelType w:val="hybridMultilevel"/>
    <w:tmpl w:val="922E58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B4231F5"/>
    <w:multiLevelType w:val="multilevel"/>
    <w:tmpl w:val="76CCF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nsid w:val="5D303B6D"/>
    <w:multiLevelType w:val="hybridMultilevel"/>
    <w:tmpl w:val="F2228D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2005742"/>
    <w:multiLevelType w:val="hybridMultilevel"/>
    <w:tmpl w:val="868AEF8A"/>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66D95CCF"/>
    <w:multiLevelType w:val="hybridMultilevel"/>
    <w:tmpl w:val="CBD648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8526D13"/>
    <w:multiLevelType w:val="hybridMultilevel"/>
    <w:tmpl w:val="F5D45A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9A4753A"/>
    <w:multiLevelType w:val="hybridMultilevel"/>
    <w:tmpl w:val="EB8C16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B573C6E"/>
    <w:multiLevelType w:val="hybridMultilevel"/>
    <w:tmpl w:val="220207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A4A3529"/>
    <w:multiLevelType w:val="hybridMultilevel"/>
    <w:tmpl w:val="4A9491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lvlOverride w:ilvl="0">
      <w:lvl w:ilvl="0">
        <w:start w:val="0"/>
        <w:numFmt w:val="bullet"/>
        <w:lvlText w:val=""/>
        <w:lvlJc w:val="left"/>
        <w:pPr>
          <w:tabs>
            <w:tab w:val="num" w:pos="720"/>
          </w:tabs>
          <w:ind w:left="720" w:hanging="360"/>
        </w:pPr>
        <w:rPr>
          <w:rFonts w:ascii="Wingdings" w:hAnsi="Wingdings" w:hint="default"/>
          <w:sz w:val="20"/>
        </w:rPr>
      </w:lvl>
    </w:lvlOverride>
  </w:num>
  <w:num w:numId="2">
    <w:abstractNumId w:val="27"/>
  </w:num>
  <w:num w:numId="3">
    <w:abstractNumId w:val="22"/>
  </w:num>
  <w:num w:numId="4">
    <w:abstractNumId w:val="14"/>
  </w:num>
  <w:num w:numId="5">
    <w:abstractNumId w:val="13"/>
  </w:num>
  <w:num w:numId="6">
    <w:abstractNumId w:val="30"/>
  </w:num>
  <w:num w:numId="7">
    <w:abstractNumId w:val="37"/>
  </w:num>
  <w:num w:numId="8">
    <w:abstractNumId w:val="7"/>
  </w:num>
  <w:num w:numId="9">
    <w:abstractNumId w:val="23"/>
  </w:num>
  <w:num w:numId="10">
    <w:abstractNumId w:val="36"/>
  </w:num>
  <w:num w:numId="11">
    <w:abstractNumId w:val="40"/>
  </w:num>
  <w:num w:numId="12">
    <w:abstractNumId w:val="41"/>
  </w:num>
  <w:num w:numId="13">
    <w:abstractNumId w:val="35"/>
  </w:num>
  <w:num w:numId="14">
    <w:abstractNumId w:val="32"/>
  </w:num>
  <w:num w:numId="15">
    <w:abstractNumId w:val="17"/>
  </w:num>
  <w:num w:numId="16">
    <w:abstractNumId w:val="3"/>
  </w:num>
  <w:num w:numId="17">
    <w:abstractNumId w:val="2"/>
  </w:num>
  <w:num w:numId="18">
    <w:abstractNumId w:val="33"/>
  </w:num>
  <w:num w:numId="19">
    <w:abstractNumId w:val="6"/>
  </w:num>
  <w:num w:numId="20">
    <w:abstractNumId w:val="8"/>
  </w:num>
  <w:num w:numId="21">
    <w:abstractNumId w:val="12"/>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6"/>
  </w:num>
  <w:num w:numId="25">
    <w:abstractNumId w:val="16"/>
  </w:num>
  <w:num w:numId="26">
    <w:abstractNumId w:val="38"/>
  </w:num>
  <w:num w:numId="27">
    <w:abstractNumId w:val="25"/>
  </w:num>
  <w:num w:numId="28">
    <w:abstractNumId w:val="21"/>
  </w:num>
  <w:num w:numId="29">
    <w:abstractNumId w:val="34"/>
  </w:num>
  <w:num w:numId="30">
    <w:abstractNumId w:val="9"/>
  </w:num>
  <w:num w:numId="31">
    <w:abstractNumId w:val="4"/>
  </w:num>
  <w:num w:numId="32">
    <w:abstractNumId w:val="29"/>
  </w:num>
  <w:num w:numId="33">
    <w:abstractNumId w:val="20"/>
  </w:num>
  <w:num w:numId="34">
    <w:abstractNumId w:val="31"/>
  </w:num>
  <w:num w:numId="35">
    <w:abstractNumId w:val="19"/>
  </w:num>
  <w:num w:numId="36">
    <w:abstractNumId w:val="10"/>
  </w:num>
  <w:num w:numId="37">
    <w:abstractNumId w:val="18"/>
  </w:num>
  <w:num w:numId="38">
    <w:abstractNumId w:val="1"/>
  </w:num>
  <w:num w:numId="39">
    <w:abstractNumId w:val="15"/>
  </w:num>
  <w:num w:numId="40">
    <w:abstractNumId w:val="28"/>
  </w:num>
  <w:num w:numId="41">
    <w:abstractNumId w:val="11"/>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48F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FE71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51A7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318B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ory-bodylist-item">
    <w:name w:val="story-body__list-item"/>
    <w:basedOn w:val="Normal"/>
    <w:rsid w:val="00F35477"/>
    <w:pPr>
      <w:spacing w:before="100" w:beforeAutospacing="1" w:after="100" w:afterAutospacing="1"/>
    </w:pPr>
  </w:style>
  <w:style w:type="character" w:styleId="Hyperlink">
    <w:name w:val="Hyperlink"/>
    <w:basedOn w:val="DefaultParagraphFont"/>
    <w:uiPriority w:val="99"/>
    <w:unhideWhenUsed/>
    <w:rsid w:val="008C2F91"/>
    <w:rPr>
      <w:color w:val="0563C1" w:themeColor="hyperlink"/>
      <w:u w:val="single"/>
    </w:rPr>
  </w:style>
  <w:style w:type="character" w:customStyle="1" w:styleId="UnresolvedMention">
    <w:name w:val="Unresolved Mention"/>
    <w:basedOn w:val="DefaultParagraphFont"/>
    <w:uiPriority w:val="99"/>
    <w:semiHidden/>
    <w:unhideWhenUsed/>
    <w:rsid w:val="008C2F91"/>
    <w:rPr>
      <w:color w:val="605E5C"/>
      <w:shd w:val="clear" w:color="auto" w:fill="E1DFDD"/>
    </w:rPr>
  </w:style>
  <w:style w:type="paragraph" w:styleId="Header">
    <w:name w:val="header"/>
    <w:basedOn w:val="Normal"/>
    <w:link w:val="HeaderChar"/>
    <w:uiPriority w:val="99"/>
    <w:unhideWhenUsed/>
    <w:rsid w:val="00484092"/>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484092"/>
  </w:style>
  <w:style w:type="paragraph" w:styleId="Footer">
    <w:name w:val="footer"/>
    <w:basedOn w:val="Normal"/>
    <w:link w:val="FooterChar"/>
    <w:uiPriority w:val="99"/>
    <w:unhideWhenUsed/>
    <w:rsid w:val="00484092"/>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484092"/>
  </w:style>
  <w:style w:type="paragraph" w:styleId="NoSpacing">
    <w:name w:val="No Spacing"/>
    <w:uiPriority w:val="1"/>
    <w:qFormat/>
    <w:rsid w:val="00EF2CF1"/>
    <w:pPr>
      <w:spacing w:after="0" w:line="240" w:lineRule="auto"/>
    </w:pPr>
  </w:style>
  <w:style w:type="paragraph" w:styleId="ListParagraph">
    <w:name w:val="List Paragraph"/>
    <w:aliases w:val="Bullet 1,Bullet Points,Bullet Style,Colorful List - Accent 11,Dot pt,F5 List Paragraph,Indicator Text,L,List Paragraph Char Char Char,List Paragraph1,List Paragraph11,List Paragraph2,No Spacing1,Normal numbered,Numbered Para 1,OBC Bullet"/>
    <w:basedOn w:val="Normal"/>
    <w:link w:val="ListParagraphChar"/>
    <w:uiPriority w:val="34"/>
    <w:qFormat/>
    <w:rsid w:val="00B35B2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HeaderRow">
    <w:name w:val="Header Row"/>
    <w:basedOn w:val="Normal"/>
    <w:rsid w:val="00617E79"/>
    <w:pPr>
      <w:jc w:val="both"/>
    </w:pPr>
    <w:rPr>
      <w:rFonts w:eastAsiaTheme="minorHAnsi"/>
      <w:sz w:val="22"/>
      <w:szCs w:val="22"/>
    </w:rPr>
  </w:style>
  <w:style w:type="paragraph" w:styleId="BalloonText">
    <w:name w:val="Balloon Text"/>
    <w:basedOn w:val="Normal"/>
    <w:link w:val="BalloonTextChar"/>
    <w:uiPriority w:val="99"/>
    <w:semiHidden/>
    <w:unhideWhenUsed/>
    <w:rsid w:val="00A32B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B00"/>
    <w:rPr>
      <w:rFonts w:ascii="Segoe UI" w:eastAsia="Times New Roman" w:hAnsi="Segoe UI" w:cs="Segoe UI"/>
      <w:sz w:val="18"/>
      <w:szCs w:val="18"/>
      <w:lang w:eastAsia="en-GB"/>
    </w:r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List Paragraph2 Char,No Spacing1 Char,Numbered Para 1 Char"/>
    <w:basedOn w:val="DefaultParagraphFont"/>
    <w:link w:val="ListParagraph"/>
    <w:uiPriority w:val="34"/>
    <w:locked/>
    <w:rsid w:val="001B4C0F"/>
  </w:style>
  <w:style w:type="character" w:customStyle="1" w:styleId="Heading1Char">
    <w:name w:val="Heading 1 Char"/>
    <w:basedOn w:val="DefaultParagraphFont"/>
    <w:link w:val="Heading1"/>
    <w:uiPriority w:val="9"/>
    <w:rsid w:val="00FE71FD"/>
    <w:rPr>
      <w:rFonts w:asciiTheme="majorHAnsi" w:eastAsiaTheme="majorEastAsia" w:hAnsiTheme="majorHAnsi" w:cstheme="majorBidi"/>
      <w:color w:val="2F5496" w:themeColor="accent1" w:themeShade="BF"/>
      <w:sz w:val="32"/>
      <w:szCs w:val="32"/>
      <w:lang w:eastAsia="en-GB"/>
    </w:rPr>
  </w:style>
  <w:style w:type="paragraph" w:styleId="NormalWeb">
    <w:name w:val="Normal (Web)"/>
    <w:basedOn w:val="Normal"/>
    <w:uiPriority w:val="99"/>
    <w:unhideWhenUsed/>
    <w:rsid w:val="00C146CF"/>
    <w:pPr>
      <w:spacing w:before="100" w:beforeAutospacing="1" w:after="100" w:afterAutospacing="1"/>
    </w:pPr>
  </w:style>
  <w:style w:type="character" w:customStyle="1" w:styleId="Heading3Char">
    <w:name w:val="Heading 3 Char"/>
    <w:basedOn w:val="DefaultParagraphFont"/>
    <w:link w:val="Heading3"/>
    <w:uiPriority w:val="9"/>
    <w:semiHidden/>
    <w:rsid w:val="007318BD"/>
    <w:rPr>
      <w:rFonts w:asciiTheme="majorHAnsi" w:eastAsiaTheme="majorEastAsia" w:hAnsiTheme="majorHAnsi" w:cstheme="majorBidi"/>
      <w:color w:val="1F3763" w:themeColor="accent1" w:themeShade="7F"/>
      <w:sz w:val="24"/>
      <w:szCs w:val="24"/>
      <w:lang w:eastAsia="en-GB"/>
    </w:rPr>
  </w:style>
  <w:style w:type="character" w:customStyle="1" w:styleId="Heading2Char">
    <w:name w:val="Heading 2 Char"/>
    <w:basedOn w:val="DefaultParagraphFont"/>
    <w:link w:val="Heading2"/>
    <w:uiPriority w:val="9"/>
    <w:semiHidden/>
    <w:rsid w:val="00D51A70"/>
    <w:rPr>
      <w:rFonts w:asciiTheme="majorHAnsi" w:eastAsiaTheme="majorEastAsia" w:hAnsiTheme="majorHAnsi" w:cstheme="majorBidi"/>
      <w:color w:val="2F5496" w:themeColor="accent1" w:themeShade="BF"/>
      <w:sz w:val="26"/>
      <w:szCs w:val="26"/>
      <w:lang w:eastAsia="en-GB"/>
    </w:rPr>
  </w:style>
  <w:style w:type="character" w:styleId="CommentReference">
    <w:name w:val="annotation reference"/>
    <w:basedOn w:val="DefaultParagraphFont"/>
    <w:uiPriority w:val="99"/>
    <w:semiHidden/>
    <w:unhideWhenUsed/>
    <w:rsid w:val="00CB11BC"/>
    <w:rPr>
      <w:sz w:val="16"/>
      <w:szCs w:val="16"/>
    </w:rPr>
  </w:style>
  <w:style w:type="paragraph" w:styleId="CommentText">
    <w:name w:val="annotation text"/>
    <w:basedOn w:val="Normal"/>
    <w:link w:val="CommentTextChar"/>
    <w:uiPriority w:val="99"/>
    <w:unhideWhenUsed/>
    <w:rsid w:val="00CB11BC"/>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CB11BC"/>
    <w:rPr>
      <w:sz w:val="20"/>
      <w:szCs w:val="20"/>
    </w:rPr>
  </w:style>
  <w:style w:type="paragraph" w:customStyle="1" w:styleId="xxxmsonormal">
    <w:name w:val="x_xxmsonormal"/>
    <w:basedOn w:val="Normal"/>
    <w:rsid w:val="006172AE"/>
    <w:rPr>
      <w:rFonts w:ascii="Aptos" w:hAnsi="Aptos" w:eastAsiaTheme="minorHAnsi" w:cs="Aptos"/>
      <w:sz w:val="22"/>
      <w:szCs w:val="22"/>
    </w:rPr>
  </w:style>
  <w:style w:type="paragraph" w:customStyle="1" w:styleId="xxxmsolistparagraph">
    <w:name w:val="x_xxmsolistparagraph"/>
    <w:basedOn w:val="Normal"/>
    <w:rsid w:val="006172AE"/>
    <w:pPr>
      <w:ind w:left="720"/>
    </w:pPr>
    <w:rPr>
      <w:rFonts w:ascii="Aptos" w:hAnsi="Aptos" w:eastAsiaTheme="minorHAnsi" w:cs="Aptos"/>
      <w:sz w:val="22"/>
      <w:szCs w:val="22"/>
    </w:rPr>
  </w:style>
  <w:style w:type="paragraph" w:styleId="CommentSubject">
    <w:name w:val="annotation subject"/>
    <w:basedOn w:val="CommentText"/>
    <w:next w:val="CommentText"/>
    <w:link w:val="CommentSubjectChar"/>
    <w:uiPriority w:val="99"/>
    <w:semiHidden/>
    <w:unhideWhenUsed/>
    <w:rsid w:val="00A11BCF"/>
    <w:pPr>
      <w:spacing w:after="0"/>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A11BCF"/>
    <w:rPr>
      <w:rFonts w:ascii="Times New Roman" w:eastAsia="Times New Roman" w:hAnsi="Times New Roman" w:cs="Times New Roman"/>
      <w:b/>
      <w:bCs/>
      <w:sz w:val="20"/>
      <w:szCs w:val="20"/>
      <w:lang w:eastAsia="en-GB"/>
    </w:rPr>
  </w:style>
  <w:style w:type="paragraph" w:styleId="Revision">
    <w:name w:val="Revision"/>
    <w:hidden/>
    <w:uiPriority w:val="99"/>
    <w:semiHidden/>
    <w:rsid w:val="005D6C8C"/>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footer" Target="footer1.xml" /></Relationships>
</file>

<file path=word/_rels/foot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1E5FFACE87614FA77E458BC0BFED80" ma:contentTypeVersion="19" ma:contentTypeDescription="Create a new document." ma:contentTypeScope="" ma:versionID="b94a8a76133eca59f91672f9fa0626d8">
  <xsd:schema xmlns:xsd="http://www.w3.org/2001/XMLSchema" xmlns:xs="http://www.w3.org/2001/XMLSchema" xmlns:p="http://schemas.microsoft.com/office/2006/metadata/properties" xmlns:ns2="47d4cc85-ba66-4f3c-b602-6223e464c4d7" xmlns:ns3="2ee8df2b-c12e-4d59-9057-31611407b001" targetNamespace="http://schemas.microsoft.com/office/2006/metadata/properties" ma:root="true" ma:fieldsID="e16d66b37c9fc75200354d4e70748dfa" ns2:_="" ns3:_="">
    <xsd:import namespace="47d4cc85-ba66-4f3c-b602-6223e464c4d7"/>
    <xsd:import namespace="2ee8df2b-c12e-4d59-9057-31611407b0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d4cc85-ba66-4f3c-b602-6223e464c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b14834-992a-4cc6-81d6-d5a69c0f30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e8df2b-c12e-4d59-9057-31611407b0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8e39c17-b549-4333-9daf-969588691483}" ma:internalName="TaxCatchAll" ma:showField="CatchAllData" ma:web="2ee8df2b-c12e-4d59-9057-31611407b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7d4cc85-ba66-4f3c-b602-6223e464c4d7">
      <Terms xmlns="http://schemas.microsoft.com/office/infopath/2007/PartnerControls"/>
    </lcf76f155ced4ddcb4097134ff3c332f>
    <TaxCatchAll xmlns="2ee8df2b-c12e-4d59-9057-31611407b001" xsi:nil="true"/>
  </documentManagement>
</p:properties>
</file>

<file path=customXml/itemProps1.xml><?xml version="1.0" encoding="utf-8"?>
<ds:datastoreItem xmlns:ds="http://schemas.openxmlformats.org/officeDocument/2006/customXml" ds:itemID="{E907E4C8-9DC1-4251-B965-AC41B86E62B8}">
  <ds:schemaRefs>
    <ds:schemaRef ds:uri="http://schemas.openxmlformats.org/officeDocument/2006/bibliography"/>
  </ds:schemaRefs>
</ds:datastoreItem>
</file>

<file path=customXml/itemProps2.xml><?xml version="1.0" encoding="utf-8"?>
<ds:datastoreItem xmlns:ds="http://schemas.openxmlformats.org/officeDocument/2006/customXml" ds:itemID="{9083BB3A-F92A-4A57-ACF0-0D22B8F7338E}">
  <ds:schemaRefs>
    <ds:schemaRef ds:uri="http://schemas.microsoft.com/sharepoint/v3/contenttype/forms"/>
  </ds:schemaRefs>
</ds:datastoreItem>
</file>

<file path=customXml/itemProps3.xml><?xml version="1.0" encoding="utf-8"?>
<ds:datastoreItem xmlns:ds="http://schemas.openxmlformats.org/officeDocument/2006/customXml" ds:itemID="{0DD8BE27-B65C-4D46-A438-11DCFB53C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d4cc85-ba66-4f3c-b602-6223e464c4d7"/>
    <ds:schemaRef ds:uri="2ee8df2b-c12e-4d59-9057-31611407b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714B69-77C2-4B99-991B-CF09DE310318}">
  <ds:schemaRefs>
    <ds:schemaRef ds:uri="http://schemas.microsoft.com/office/2006/metadata/properties"/>
    <ds:schemaRef ds:uri="http://schemas.microsoft.com/office/infopath/2007/PartnerControls"/>
    <ds:schemaRef ds:uri="47d4cc85-ba66-4f3c-b602-6223e464c4d7"/>
    <ds:schemaRef ds:uri="2ee8df2b-c12e-4d59-9057-31611407b001"/>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PPM0045</dc:title>
  <cp:revision>0</cp:revision>
</cp:coreProperties>
</file>