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E7C4B" w:rsidRPr="000E5F52" w:rsidP="00DC6776">
      <w:pPr>
        <w:rPr>
          <w:rFonts w:ascii="Verdana" w:hAnsi="Verdana"/>
          <w:b/>
          <w:bCs/>
          <w:sz w:val="24"/>
          <w:szCs w:val="24"/>
          <w:u w:val="single"/>
        </w:rPr>
      </w:pPr>
      <w:r w:rsidRPr="000E5F52">
        <w:rPr>
          <w:rFonts w:ascii="Verdana" w:hAnsi="Verdana"/>
          <w:b/>
          <w:bCs/>
          <w:sz w:val="24"/>
          <w:szCs w:val="24"/>
          <w:u w:val="single"/>
        </w:rPr>
        <w:t>Written evidence from Dr Rosemary Perkins (PPM0044)</w:t>
      </w:r>
    </w:p>
    <w:p w:rsidR="00CE7C4B" w:rsidRPr="000E5F52" w:rsidP="00DC6776">
      <w:pPr>
        <w:rPr>
          <w:rFonts w:ascii="Verdana" w:hAnsi="Verdana"/>
          <w:b/>
          <w:bCs/>
          <w:sz w:val="24"/>
          <w:szCs w:val="24"/>
          <w:u w:val="single"/>
        </w:rPr>
      </w:pPr>
    </w:p>
    <w:p w:rsidR="00DC6776" w:rsidRPr="000E5F52" w:rsidP="00DC6776">
      <w:pPr>
        <w:rPr>
          <w:rFonts w:ascii="Verdana" w:hAnsi="Verdana"/>
          <w:sz w:val="24"/>
          <w:szCs w:val="24"/>
        </w:rPr>
      </w:pPr>
      <w:r w:rsidRPr="000E5F52">
        <w:rPr>
          <w:rFonts w:ascii="Verdana" w:hAnsi="Verdana"/>
          <w:b/>
          <w:bCs/>
          <w:sz w:val="24"/>
          <w:szCs w:val="24"/>
          <w:u w:val="single"/>
        </w:rPr>
        <w:t>Comments on</w:t>
      </w:r>
      <w:r w:rsidRPr="000E5F52">
        <w:rPr>
          <w:rFonts w:ascii="Verdana" w:hAnsi="Verdana"/>
          <w:b/>
          <w:bCs/>
          <w:sz w:val="24"/>
          <w:szCs w:val="24"/>
          <w:u w:val="single"/>
        </w:rPr>
        <w:t> Evidence Session 4</w:t>
      </w:r>
      <w:r w:rsidRPr="000E5F52">
        <w:rPr>
          <w:rFonts w:ascii="Verdana" w:hAnsi="Verdana"/>
          <w:sz w:val="24"/>
          <w:szCs w:val="24"/>
        </w:rPr>
        <w:t>  </w:t>
      </w:r>
    </w:p>
    <w:p w:rsidR="00DC6776" w:rsidRPr="000E5F52" w:rsidP="00DC6776">
      <w:pPr>
        <w:rPr>
          <w:rFonts w:ascii="Verdana" w:hAnsi="Verdana"/>
          <w:sz w:val="24"/>
          <w:szCs w:val="24"/>
        </w:rPr>
      </w:pPr>
      <w:r w:rsidRPr="000E5F52">
        <w:rPr>
          <w:rFonts w:ascii="Verdana" w:hAnsi="Verdana"/>
          <w:sz w:val="24"/>
          <w:szCs w:val="24"/>
        </w:rPr>
        <w:t>This note is submitted by Dr Rosemary Perkins in her personal capacity. It is intended solely to assist the Committee in ensuring the accuracy of the factual record and does not represent any institutional position of the undersigned.  </w:t>
      </w:r>
    </w:p>
    <w:p w:rsidR="00DC6776" w:rsidRPr="000E5F52" w:rsidP="00DC6776">
      <w:pPr>
        <w:rPr>
          <w:rFonts w:ascii="Verdana" w:hAnsi="Verdana"/>
          <w:sz w:val="24"/>
          <w:szCs w:val="24"/>
        </w:rPr>
      </w:pPr>
      <w:r w:rsidRPr="000E5F52">
        <w:rPr>
          <w:rFonts w:ascii="Verdana" w:hAnsi="Verdana"/>
          <w:sz w:val="24"/>
          <w:szCs w:val="24"/>
        </w:rPr>
        <w:t>Dr Rosemary Perkins PhD MRCVS, Visiting Fellow, Imperial College </w:t>
      </w:r>
      <w:r w:rsidRPr="000E5F52" w:rsidR="00E51592">
        <w:rPr>
          <w:rFonts w:ascii="Verdana" w:hAnsi="Verdana"/>
          <w:sz w:val="24"/>
          <w:szCs w:val="24"/>
        </w:rPr>
        <w:t>London</w:t>
      </w:r>
    </w:p>
    <w:p w:rsidR="00DC6776" w:rsidRPr="000E5F52" w:rsidP="00DC6776">
      <w:pPr>
        <w:rPr>
          <w:rFonts w:ascii="Verdana" w:hAnsi="Verdana"/>
          <w:sz w:val="24"/>
          <w:szCs w:val="24"/>
          <w:lang w:val="en-US"/>
        </w:rPr>
      </w:pPr>
      <w:r w:rsidRPr="000E5F52">
        <w:rPr>
          <w:rFonts w:ascii="Verdana" w:hAnsi="Verdana"/>
          <w:sz w:val="24"/>
          <w:szCs w:val="24"/>
        </w:rPr>
        <w:t>02/07/2026</w:t>
      </w:r>
      <w:r w:rsidRPr="000E5F52">
        <w:rPr>
          <w:rFonts w:ascii="Verdana" w:hAnsi="Verdana"/>
          <w:sz w:val="24"/>
          <w:szCs w:val="24"/>
          <w:lang w:val="en-US"/>
        </w:rPr>
        <w:t> </w:t>
      </w:r>
    </w:p>
    <w:p w:rsidR="00DC6776" w:rsidRPr="000E5F52" w:rsidP="00DC6776">
      <w:pPr>
        <w:rPr>
          <w:rFonts w:ascii="Verdana" w:hAnsi="Verdana"/>
          <w:sz w:val="24"/>
          <w:szCs w:val="24"/>
        </w:rPr>
      </w:pPr>
      <w:r w:rsidRPr="000E5F52">
        <w:rPr>
          <w:rFonts w:ascii="Verdana" w:hAnsi="Verdana"/>
          <w:sz w:val="24"/>
          <w:szCs w:val="24"/>
        </w:rPr>
        <w:t> </w:t>
      </w:r>
    </w:p>
    <w:p w:rsidR="00DC6776" w:rsidRPr="000E5F52" w:rsidP="00DC6776">
      <w:pPr>
        <w:numPr>
          <w:ilvl w:val="0"/>
          <w:numId w:val="1"/>
        </w:numPr>
        <w:tabs>
          <w:tab w:val="clear" w:pos="360"/>
          <w:tab w:val="num" w:pos="720"/>
        </w:tabs>
        <w:rPr>
          <w:rFonts w:ascii="Verdana" w:hAnsi="Verdana"/>
          <w:sz w:val="24"/>
          <w:szCs w:val="24"/>
        </w:rPr>
      </w:pPr>
      <w:r w:rsidRPr="000E5F52">
        <w:rPr>
          <w:rFonts w:ascii="Verdana" w:hAnsi="Verdana"/>
          <w:b/>
          <w:bCs/>
          <w:sz w:val="24"/>
          <w:szCs w:val="24"/>
        </w:rPr>
        <w:t>Evidence regarding the presence and impact of isooxazolines and newer chemicals on the environment</w:t>
      </w:r>
      <w:r w:rsidRPr="000E5F52">
        <w:rPr>
          <w:rFonts w:ascii="Verdana" w:hAnsi="Verdana"/>
          <w:sz w:val="24"/>
          <w:szCs w:val="24"/>
        </w:rPr>
        <w:t>  </w:t>
      </w:r>
    </w:p>
    <w:p w:rsidR="00DC6776" w:rsidRPr="000E5F52" w:rsidP="00DC6776">
      <w:pPr>
        <w:rPr>
          <w:rFonts w:ascii="Verdana" w:hAnsi="Verdana"/>
          <w:sz w:val="24"/>
          <w:szCs w:val="24"/>
        </w:rPr>
      </w:pPr>
      <w:r w:rsidRPr="000E5F52">
        <w:rPr>
          <w:rFonts w:ascii="Verdana" w:hAnsi="Verdana"/>
          <w:sz w:val="24"/>
          <w:szCs w:val="24"/>
        </w:rPr>
        <w:t xml:space="preserve">In response to a question from Lord Ashcombe (Q45) about the monitoring for chemicals apart from fipronil and imidacloprid, specifically isooxazolines, Dr </w:t>
      </w:r>
      <w:r w:rsidRPr="000E5F52">
        <w:rPr>
          <w:rFonts w:ascii="Verdana" w:hAnsi="Verdana"/>
          <w:sz w:val="24"/>
          <w:szCs w:val="24"/>
        </w:rPr>
        <w:t>Bradburne</w:t>
      </w:r>
      <w:r w:rsidRPr="000E5F52">
        <w:rPr>
          <w:rFonts w:ascii="Verdana" w:hAnsi="Verdana"/>
          <w:sz w:val="24"/>
          <w:szCs w:val="24"/>
        </w:rPr>
        <w:t xml:space="preserve"> mentions that the newer chemicals are being looked for in water samples, that numbers are much lower (than fipronil and imidacloprid) and notes that these chemicals “are very different chemicals that will partition differently in different aspects of the environment”. By way of additional context, it is worth noting that many of these newer chemicals are much less water soluble and therefore wouldn’t be expected to be found in high levels in water samples. As such, low levels of these chemicals in water samples may not necessarily mean low levels in the environment more widely as they could be present in sewage sludge, for example, and pose more of a threat to the terrestrial environment.   </w:t>
      </w:r>
    </w:p>
    <w:p w:rsidR="00DC6776" w:rsidRPr="000E5F52" w:rsidP="00DC6776">
      <w:pPr>
        <w:rPr>
          <w:rFonts w:ascii="Verdana" w:hAnsi="Verdana"/>
          <w:sz w:val="24"/>
          <w:szCs w:val="24"/>
        </w:rPr>
      </w:pPr>
      <w:r w:rsidRPr="000E5F52">
        <w:rPr>
          <w:rFonts w:ascii="Verdana" w:hAnsi="Verdana"/>
          <w:sz w:val="24"/>
          <w:szCs w:val="24"/>
        </w:rPr>
        <w:t>In response to a question from Lord Krebs (Q60) on whether the VMD’s consultation exercise is also looking at the possible effects of </w:t>
      </w:r>
      <w:r w:rsidRPr="000E5F52">
        <w:rPr>
          <w:rFonts w:ascii="Verdana" w:hAnsi="Verdana"/>
          <w:sz w:val="24"/>
          <w:szCs w:val="24"/>
        </w:rPr>
        <w:t>isoxazolines</w:t>
      </w:r>
      <w:r w:rsidRPr="000E5F52">
        <w:rPr>
          <w:rFonts w:ascii="Verdana" w:hAnsi="Verdana"/>
          <w:sz w:val="24"/>
          <w:szCs w:val="24"/>
        </w:rPr>
        <w:t> and the newer chemicals as well as imidacloprid and fipronil, the Baroness Hayman of </w:t>
      </w:r>
      <w:r w:rsidRPr="000E5F52">
        <w:rPr>
          <w:rFonts w:ascii="Verdana" w:hAnsi="Verdana"/>
          <w:sz w:val="24"/>
          <w:szCs w:val="24"/>
        </w:rPr>
        <w:t>Ullock</w:t>
      </w:r>
      <w:r w:rsidRPr="000E5F52">
        <w:rPr>
          <w:rFonts w:ascii="Verdana" w:hAnsi="Verdana"/>
          <w:sz w:val="24"/>
          <w:szCs w:val="24"/>
        </w:rPr>
        <w:t> states “In a nutshell, yes. We are looking at new products and their implications as well”. As a follow-up, Abi Seager mentions the collation of data from the consultation process allowing them to prioritise next steps related to the range of chemicals. The VMD consultation that closed on 11</w:t>
      </w:r>
      <w:r w:rsidRPr="000E5F52">
        <w:rPr>
          <w:rFonts w:ascii="Verdana" w:hAnsi="Verdana"/>
          <w:sz w:val="24"/>
          <w:szCs w:val="24"/>
          <w:vertAlign w:val="superscript"/>
        </w:rPr>
        <w:t>th</w:t>
      </w:r>
      <w:r w:rsidRPr="000E5F52">
        <w:rPr>
          <w:rFonts w:ascii="Verdana" w:hAnsi="Verdana"/>
          <w:sz w:val="24"/>
          <w:szCs w:val="24"/>
        </w:rPr>
        <w:t xml:space="preserve"> June covered just imidacloprid and fipronil with the relevant question worded as follows “Do you hold any published or non-public evidence relating to the effects of residues from veterinary medicines containing fipronil or imidacloprid on insects that live in water or other non-target species”. A clarification may be required that the VMD consultation, at least thus far, has not asked for data on the possible effects of isooxazolines. A separate data gathering process </w:t>
      </w:r>
      <w:r w:rsidRPr="000E5F52">
        <w:rPr>
          <w:rFonts w:ascii="Verdana" w:hAnsi="Verdana"/>
          <w:sz w:val="24"/>
          <w:szCs w:val="24"/>
        </w:rPr>
        <w:t>may indeed be necessary to capture the equivalent insights for </w:t>
      </w:r>
      <w:r w:rsidRPr="000E5F52">
        <w:rPr>
          <w:rFonts w:ascii="Verdana" w:hAnsi="Verdana"/>
          <w:sz w:val="24"/>
          <w:szCs w:val="24"/>
        </w:rPr>
        <w:t>isoxazolines</w:t>
      </w:r>
      <w:r w:rsidRPr="000E5F52">
        <w:rPr>
          <w:rFonts w:ascii="Verdana" w:hAnsi="Verdana"/>
          <w:sz w:val="24"/>
          <w:szCs w:val="24"/>
        </w:rPr>
        <w:t> and other chemicals in addition to imidacloprid and fipronil. Data could potentially also be drawn from written evidence received by the </w:t>
      </w:r>
      <w:r w:rsidRPr="000E5F52">
        <w:rPr>
          <w:rFonts w:ascii="Verdana" w:hAnsi="Verdana"/>
          <w:sz w:val="24"/>
          <w:szCs w:val="24"/>
        </w:rPr>
        <w:t>HoL</w:t>
      </w:r>
      <w:r w:rsidRPr="000E5F52">
        <w:rPr>
          <w:rFonts w:ascii="Verdana" w:hAnsi="Verdana"/>
          <w:sz w:val="24"/>
          <w:szCs w:val="24"/>
        </w:rPr>
        <w:t> inquiry. </w:t>
      </w:r>
    </w:p>
    <w:p w:rsidR="00DC6776" w:rsidRPr="000E5F52" w:rsidP="00DC6776">
      <w:pPr>
        <w:rPr>
          <w:rFonts w:ascii="Verdana" w:hAnsi="Verdana"/>
          <w:sz w:val="24"/>
          <w:szCs w:val="24"/>
        </w:rPr>
      </w:pPr>
      <w:r w:rsidRPr="000E5F52">
        <w:rPr>
          <w:rFonts w:ascii="Verdana" w:hAnsi="Verdana"/>
          <w:sz w:val="24"/>
          <w:szCs w:val="24"/>
        </w:rPr>
        <w:t> </w:t>
      </w:r>
    </w:p>
    <w:p w:rsidR="00DC6776" w:rsidRPr="000E5F52" w:rsidP="00DC6776">
      <w:pPr>
        <w:numPr>
          <w:ilvl w:val="0"/>
          <w:numId w:val="2"/>
        </w:numPr>
        <w:tabs>
          <w:tab w:val="clear" w:pos="360"/>
          <w:tab w:val="num" w:pos="720"/>
        </w:tabs>
        <w:rPr>
          <w:rFonts w:ascii="Verdana" w:hAnsi="Verdana"/>
          <w:sz w:val="24"/>
          <w:szCs w:val="24"/>
          <w:lang w:val="en-US"/>
        </w:rPr>
      </w:pPr>
      <w:r w:rsidRPr="000E5F52">
        <w:rPr>
          <w:rFonts w:ascii="Verdana" w:hAnsi="Verdana"/>
          <w:b/>
          <w:bCs/>
          <w:sz w:val="24"/>
          <w:szCs w:val="24"/>
        </w:rPr>
        <w:t>Human health risks</w:t>
      </w:r>
      <w:r w:rsidRPr="000E5F52">
        <w:rPr>
          <w:rFonts w:ascii="Verdana" w:hAnsi="Verdana"/>
          <w:sz w:val="24"/>
          <w:szCs w:val="24"/>
        </w:rPr>
        <w:t> </w:t>
      </w:r>
      <w:r w:rsidRPr="000E5F52">
        <w:rPr>
          <w:rFonts w:ascii="Verdana" w:hAnsi="Verdana"/>
          <w:sz w:val="24"/>
          <w:szCs w:val="24"/>
          <w:lang w:val="en-US"/>
        </w:rPr>
        <w:t> </w:t>
      </w:r>
    </w:p>
    <w:p w:rsidR="00DC6776" w:rsidRPr="000E5F52" w:rsidP="00DC6776">
      <w:pPr>
        <w:rPr>
          <w:rFonts w:ascii="Verdana" w:hAnsi="Verdana"/>
          <w:sz w:val="24"/>
          <w:szCs w:val="24"/>
        </w:rPr>
      </w:pPr>
      <w:r w:rsidRPr="000E5F52">
        <w:rPr>
          <w:rFonts w:ascii="Verdana" w:hAnsi="Verdana"/>
          <w:sz w:val="24"/>
          <w:szCs w:val="24"/>
        </w:rPr>
        <w:t>I note that the VMD’s response to The Chair's question regarding human safety assessments (Q49) did not address the specific concerns raised, particularly with regard to the limited and inconsistent user safety assessments conducted, particularly for spot-</w:t>
      </w:r>
      <w:r w:rsidRPr="000E5F52">
        <w:rPr>
          <w:rFonts w:ascii="Verdana" w:hAnsi="Verdana"/>
          <w:sz w:val="24"/>
          <w:szCs w:val="24"/>
        </w:rPr>
        <w:t>ons</w:t>
      </w:r>
      <w:r w:rsidRPr="000E5F52">
        <w:rPr>
          <w:rFonts w:ascii="Verdana" w:hAnsi="Verdana"/>
          <w:sz w:val="24"/>
          <w:szCs w:val="24"/>
        </w:rPr>
        <w:t> pre-2018.  </w:t>
      </w:r>
    </w:p>
    <w:p w:rsidR="00DC6776" w:rsidRPr="000E5F52" w:rsidP="00DC6776">
      <w:pPr>
        <w:rPr>
          <w:rFonts w:ascii="Verdana" w:hAnsi="Verdana"/>
          <w:sz w:val="24"/>
          <w:szCs w:val="24"/>
        </w:rPr>
      </w:pPr>
      <w:r w:rsidRPr="000E5F52">
        <w:rPr>
          <w:rFonts w:ascii="Verdana" w:hAnsi="Verdana"/>
          <w:sz w:val="24"/>
          <w:szCs w:val="24"/>
        </w:rPr>
        <w:t>In response to this question, it was stated that all veterinary medicines undergo a rigorous human safety assessment, and that this has historically also been the case. </w:t>
      </w:r>
    </w:p>
    <w:p w:rsidR="00DC6776" w:rsidRPr="000E5F52" w:rsidP="00DC6776">
      <w:pPr>
        <w:rPr>
          <w:rFonts w:ascii="Verdana" w:hAnsi="Verdana"/>
          <w:sz w:val="24"/>
          <w:szCs w:val="24"/>
          <w:lang w:val="en-US"/>
        </w:rPr>
      </w:pPr>
      <w:r w:rsidRPr="000E5F52">
        <w:rPr>
          <w:rFonts w:ascii="Verdana" w:hAnsi="Verdana"/>
          <w:sz w:val="24"/>
          <w:szCs w:val="24"/>
          <w:lang w:val="en-US"/>
        </w:rPr>
        <w:t> </w:t>
      </w:r>
    </w:p>
    <w:p w:rsidR="00DC6776" w:rsidRPr="000E5F52" w:rsidP="00DC6776">
      <w:pPr>
        <w:rPr>
          <w:rFonts w:ascii="Verdana" w:hAnsi="Verdana"/>
          <w:sz w:val="24"/>
          <w:szCs w:val="24"/>
        </w:rPr>
      </w:pPr>
      <w:r w:rsidRPr="000E5F52">
        <w:rPr>
          <w:rFonts w:ascii="Verdana" w:hAnsi="Verdana"/>
          <w:sz w:val="24"/>
          <w:szCs w:val="24"/>
        </w:rPr>
        <w:t>This assertion is questionable. For example, at least one user safety assessment for a widely used imidacloprid-containing spot-on product approved pre-2018 does not appear to adequately address chronic exposure or long-term health risks, despite these having been identified in the scientific </w:t>
      </w:r>
      <w:r>
        <w:fldChar w:fldCharType="begin"/>
      </w:r>
      <w:r>
        <w:instrText xml:space="preserve"> HYPERLINK "https://pubs.rsc.org/em/article-abstract/22/6/1315/644533/A-critical-review-on-the-potential-impacts-of?redirectedFrom=fulltext&amp;silentauthchecked=true" \t "_blank" </w:instrText>
      </w:r>
      <w:r>
        <w:fldChar w:fldCharType="separate"/>
      </w:r>
      <w:r w:rsidRPr="000E5F52">
        <w:rPr>
          <w:rStyle w:val="Hyperlink"/>
          <w:rFonts w:ascii="Verdana" w:hAnsi="Verdana"/>
          <w:sz w:val="24"/>
          <w:szCs w:val="24"/>
        </w:rPr>
        <w:t>literature</w:t>
      </w:r>
      <w:r>
        <w:fldChar w:fldCharType="end"/>
      </w:r>
      <w:r w:rsidRPr="000E5F52">
        <w:rPr>
          <w:rFonts w:ascii="Verdana" w:hAnsi="Verdana"/>
          <w:sz w:val="24"/>
          <w:szCs w:val="24"/>
        </w:rPr>
        <w:t> as a significant concern, and prolonged human exposure to imidacloprid in spot-</w:t>
      </w:r>
      <w:r w:rsidRPr="000E5F52">
        <w:rPr>
          <w:rFonts w:ascii="Verdana" w:hAnsi="Verdana"/>
          <w:sz w:val="24"/>
          <w:szCs w:val="24"/>
        </w:rPr>
        <w:t>ons</w:t>
      </w:r>
      <w:r w:rsidRPr="000E5F52">
        <w:rPr>
          <w:rFonts w:ascii="Verdana" w:hAnsi="Verdana"/>
          <w:sz w:val="24"/>
          <w:szCs w:val="24"/>
        </w:rPr>
        <w:t> having been demonstrated in the home. The relevant Committee for Veterinary Medicinal Products (CVMP) public assessment is publicly available </w:t>
      </w:r>
      <w:r>
        <w:fldChar w:fldCharType="begin"/>
      </w:r>
      <w:r>
        <w:instrText xml:space="preserve"> HYPERLINK "https://medicines.health.europa.eu/veterinary/en/600000001079" \t "_blank" </w:instrText>
      </w:r>
      <w:r>
        <w:fldChar w:fldCharType="separate"/>
      </w:r>
      <w:r w:rsidRPr="000E5F52">
        <w:rPr>
          <w:rStyle w:val="Hyperlink"/>
          <w:rFonts w:ascii="Verdana" w:hAnsi="Verdana"/>
          <w:sz w:val="24"/>
          <w:szCs w:val="24"/>
        </w:rPr>
        <w:t>here</w:t>
      </w:r>
      <w:r>
        <w:fldChar w:fldCharType="end"/>
      </w:r>
      <w:r w:rsidRPr="000E5F52">
        <w:rPr>
          <w:rFonts w:ascii="Verdana" w:hAnsi="Verdana"/>
          <w:sz w:val="24"/>
          <w:szCs w:val="24"/>
        </w:rPr>
        <w:t> (bottom of the webpage) and is referenced for the Committee’s convenience.  </w:t>
      </w:r>
    </w:p>
    <w:p w:rsidR="00DC6776" w:rsidRPr="000E5F52" w:rsidP="00DC6776">
      <w:pPr>
        <w:rPr>
          <w:rFonts w:ascii="Verdana" w:hAnsi="Verdana"/>
          <w:sz w:val="24"/>
          <w:szCs w:val="24"/>
        </w:rPr>
      </w:pPr>
      <w:r w:rsidRPr="000E5F52">
        <w:rPr>
          <w:rFonts w:ascii="Verdana" w:hAnsi="Verdana"/>
          <w:sz w:val="24"/>
          <w:szCs w:val="24"/>
        </w:rPr>
        <w:t>This suggests that clarification may be needed regarding the statement on the rigour of human safety assessments - alternatively, the Committee may wish to request that the regulator consider making available the underlying data on user safety for spot-on approvals, in order to allow independent verification of the rigour of those assessments. </w:t>
      </w:r>
    </w:p>
    <w:p w:rsidR="00DC6776" w:rsidRPr="000E5F52" w:rsidP="00DC6776">
      <w:pPr>
        <w:rPr>
          <w:rFonts w:ascii="Verdana" w:hAnsi="Verdana"/>
          <w:sz w:val="24"/>
          <w:szCs w:val="24"/>
        </w:rPr>
      </w:pPr>
      <w:r w:rsidRPr="000E5F52">
        <w:rPr>
          <w:rFonts w:ascii="Verdana" w:hAnsi="Verdana"/>
          <w:sz w:val="24"/>
          <w:szCs w:val="24"/>
        </w:rPr>
        <w:t>  </w:t>
      </w:r>
    </w:p>
    <w:p w:rsidR="00DC6776" w:rsidRPr="000E5F52" w:rsidP="00DC6776">
      <w:pPr>
        <w:numPr>
          <w:ilvl w:val="0"/>
          <w:numId w:val="3"/>
        </w:numPr>
        <w:tabs>
          <w:tab w:val="clear" w:pos="360"/>
          <w:tab w:val="num" w:pos="720"/>
        </w:tabs>
        <w:rPr>
          <w:rFonts w:ascii="Verdana" w:hAnsi="Verdana"/>
          <w:sz w:val="24"/>
          <w:szCs w:val="24"/>
        </w:rPr>
      </w:pPr>
      <w:r w:rsidRPr="000E5F52">
        <w:rPr>
          <w:rFonts w:ascii="Verdana" w:hAnsi="Verdana"/>
          <w:b/>
          <w:bCs/>
          <w:sz w:val="24"/>
          <w:szCs w:val="24"/>
        </w:rPr>
        <w:t>Phase II assessments</w:t>
      </w:r>
      <w:r w:rsidRPr="000E5F52">
        <w:rPr>
          <w:rFonts w:ascii="Verdana" w:hAnsi="Verdana"/>
          <w:sz w:val="24"/>
          <w:szCs w:val="24"/>
        </w:rPr>
        <w:t>  </w:t>
      </w:r>
    </w:p>
    <w:p w:rsidR="00DC6776" w:rsidRPr="000E5F52" w:rsidP="00DC6776">
      <w:pPr>
        <w:rPr>
          <w:rFonts w:ascii="Verdana" w:hAnsi="Verdana"/>
          <w:sz w:val="24"/>
          <w:szCs w:val="24"/>
        </w:rPr>
      </w:pPr>
      <w:r w:rsidRPr="000E5F52">
        <w:rPr>
          <w:rFonts w:ascii="Verdana" w:hAnsi="Verdana"/>
          <w:sz w:val="24"/>
          <w:szCs w:val="24"/>
        </w:rPr>
        <w:t>Lord Krebs (Q51) asked whether, if Phase II assessments are implemented, the VMD will commit to examining a wide range of invertebrate species rather than relying on a single species. </w:t>
      </w:r>
    </w:p>
    <w:p w:rsidR="00DC6776" w:rsidRPr="000E5F52" w:rsidP="00DC6776">
      <w:pPr>
        <w:rPr>
          <w:rFonts w:ascii="Verdana" w:hAnsi="Verdana"/>
          <w:sz w:val="24"/>
          <w:szCs w:val="24"/>
        </w:rPr>
      </w:pPr>
      <w:r w:rsidRPr="000E5F52">
        <w:rPr>
          <w:rFonts w:ascii="Verdana" w:hAnsi="Verdana"/>
          <w:sz w:val="24"/>
          <w:szCs w:val="24"/>
        </w:rPr>
        <w:t>The following response is given by the Francine Fernandez:  </w:t>
      </w:r>
    </w:p>
    <w:p w:rsidR="00DC6776" w:rsidRPr="000E5F52" w:rsidP="00DC6776">
      <w:pPr>
        <w:rPr>
          <w:rFonts w:ascii="Verdana" w:hAnsi="Verdana"/>
          <w:sz w:val="24"/>
          <w:szCs w:val="24"/>
        </w:rPr>
      </w:pPr>
      <w:r w:rsidRPr="000E5F52">
        <w:rPr>
          <w:rFonts w:ascii="Verdana" w:hAnsi="Verdana"/>
          <w:i/>
          <w:iCs/>
          <w:sz w:val="24"/>
          <w:szCs w:val="24"/>
        </w:rPr>
        <w:t xml:space="preserve">It is very interesting when you do environmental risk assessment. You usually start with Daphnia magna and, if a risk is highlighted, you have to do higher-tier testing, which generally considers more subtle toxicities, longer-term exposures, et cetera. You find that, if a product is truly toxic, </w:t>
      </w:r>
      <w:r w:rsidRPr="000E5F52">
        <w:rPr>
          <w:rFonts w:ascii="Verdana" w:hAnsi="Verdana"/>
          <w:i/>
          <w:iCs/>
          <w:sz w:val="24"/>
          <w:szCs w:val="24"/>
        </w:rPr>
        <w:t>this pattern continues as you progress through the tiers. Yes, we look at a range of species. By the time you get to tier C, you are looking at species sensitivity distributions, which look at a whole range of invertebrates. You then do stats to find a suitably protective predicted no-effect concentration.</w:t>
      </w:r>
      <w:r w:rsidRPr="000E5F52">
        <w:rPr>
          <w:rFonts w:ascii="Verdana" w:hAnsi="Verdana"/>
          <w:sz w:val="24"/>
          <w:szCs w:val="24"/>
        </w:rPr>
        <w:t>  </w:t>
      </w:r>
    </w:p>
    <w:p w:rsidR="00DC6776" w:rsidRPr="000E5F52" w:rsidP="00DC6776">
      <w:pPr>
        <w:rPr>
          <w:rFonts w:ascii="Verdana" w:hAnsi="Verdana"/>
          <w:sz w:val="24"/>
          <w:szCs w:val="24"/>
        </w:rPr>
      </w:pPr>
      <w:r w:rsidRPr="000E5F52">
        <w:rPr>
          <w:rFonts w:ascii="Verdana" w:hAnsi="Verdana"/>
          <w:i/>
          <w:iCs/>
          <w:sz w:val="24"/>
          <w:szCs w:val="24"/>
        </w:rPr>
        <w:t>Lord Krebs: I am not sure whether that is a yes or a no.</w:t>
      </w:r>
      <w:r w:rsidRPr="000E5F52">
        <w:rPr>
          <w:rFonts w:ascii="Verdana" w:hAnsi="Verdana"/>
          <w:sz w:val="24"/>
          <w:szCs w:val="24"/>
        </w:rPr>
        <w:t>  </w:t>
      </w:r>
    </w:p>
    <w:p w:rsidR="00DC6776" w:rsidRPr="000E5F52" w:rsidP="00DC6776">
      <w:pPr>
        <w:rPr>
          <w:rFonts w:ascii="Verdana" w:hAnsi="Verdana"/>
          <w:sz w:val="24"/>
          <w:szCs w:val="24"/>
        </w:rPr>
      </w:pPr>
      <w:r w:rsidRPr="000E5F52">
        <w:rPr>
          <w:rFonts w:ascii="Verdana" w:hAnsi="Verdana"/>
          <w:i/>
          <w:iCs/>
          <w:sz w:val="24"/>
          <w:szCs w:val="24"/>
        </w:rPr>
        <w:t>Francine Fernandez: It is a yes.</w:t>
      </w:r>
      <w:r w:rsidRPr="000E5F52">
        <w:rPr>
          <w:rFonts w:ascii="Verdana" w:hAnsi="Verdana"/>
          <w:sz w:val="24"/>
          <w:szCs w:val="24"/>
          <w:lang w:val="en-US"/>
        </w:rPr>
        <w:t> </w:t>
      </w:r>
      <w:r w:rsidRPr="000E5F52">
        <w:rPr>
          <w:rFonts w:ascii="Verdana" w:hAnsi="Verdana"/>
          <w:sz w:val="24"/>
          <w:szCs w:val="24"/>
        </w:rPr>
        <w:t> </w:t>
      </w:r>
    </w:p>
    <w:p w:rsidR="00DC6776" w:rsidRPr="000E5F52" w:rsidP="00DC6776">
      <w:pPr>
        <w:rPr>
          <w:rFonts w:ascii="Verdana" w:hAnsi="Verdana"/>
          <w:sz w:val="24"/>
          <w:szCs w:val="24"/>
        </w:rPr>
      </w:pPr>
      <w:r w:rsidRPr="000E5F52">
        <w:rPr>
          <w:rFonts w:ascii="Verdana" w:hAnsi="Verdana"/>
          <w:sz w:val="24"/>
          <w:szCs w:val="24"/>
        </w:rPr>
        <w:t>This response does not, in fact, indicate that Phase II assessments routinely include a range of species, as appears to be suggested here. Rather, it confirms that testing </w:t>
      </w:r>
      <w:r w:rsidRPr="000E5F52">
        <w:rPr>
          <w:rFonts w:ascii="Verdana" w:hAnsi="Verdana"/>
          <w:i/>
          <w:iCs/>
          <w:sz w:val="24"/>
          <w:szCs w:val="24"/>
        </w:rPr>
        <w:t>starts</w:t>
      </w:r>
      <w:r w:rsidRPr="000E5F52">
        <w:rPr>
          <w:rFonts w:ascii="Verdana" w:hAnsi="Verdana"/>
          <w:sz w:val="24"/>
          <w:szCs w:val="24"/>
        </w:rPr>
        <w:t> with a single species - such as </w:t>
      </w:r>
      <w:r w:rsidRPr="000E5F52">
        <w:rPr>
          <w:rFonts w:ascii="Verdana" w:hAnsi="Verdana"/>
          <w:i/>
          <w:iCs/>
          <w:sz w:val="24"/>
          <w:szCs w:val="24"/>
        </w:rPr>
        <w:t>Daphnia magna</w:t>
      </w:r>
      <w:r w:rsidRPr="000E5F52">
        <w:rPr>
          <w:rFonts w:ascii="Verdana" w:hAnsi="Verdana"/>
          <w:sz w:val="24"/>
          <w:szCs w:val="24"/>
        </w:rPr>
        <w:t> - which may be highly insensitive to the chemical under review. Only if this single species indicates a risk does the assessment progress to higher tiers involving a broader range of taxa. If the initial single-species test does not flag a risk, the assessment stops there and the product is deemed safe for the environment on that basis alone.  </w:t>
      </w:r>
    </w:p>
    <w:p w:rsidR="00DC6776" w:rsidRPr="000E5F52" w:rsidP="00DC6776">
      <w:pPr>
        <w:rPr>
          <w:rFonts w:ascii="Verdana" w:hAnsi="Verdana"/>
          <w:sz w:val="24"/>
          <w:szCs w:val="24"/>
        </w:rPr>
      </w:pPr>
      <w:r w:rsidRPr="000E5F52">
        <w:rPr>
          <w:rFonts w:ascii="Verdana" w:hAnsi="Verdana"/>
          <w:sz w:val="24"/>
          <w:szCs w:val="24"/>
        </w:rPr>
        <w:t>By way of illustration, the published CVMP assessment for at least one </w:t>
      </w:r>
      <w:r w:rsidRPr="000E5F52">
        <w:rPr>
          <w:rFonts w:ascii="Verdana" w:hAnsi="Verdana"/>
          <w:sz w:val="24"/>
          <w:szCs w:val="24"/>
        </w:rPr>
        <w:t>isoxazoline</w:t>
      </w:r>
      <w:r w:rsidRPr="000E5F52">
        <w:rPr>
          <w:rFonts w:ascii="Verdana" w:hAnsi="Verdana"/>
          <w:sz w:val="24"/>
          <w:szCs w:val="24"/>
        </w:rPr>
        <w:t>-based </w:t>
      </w:r>
      <w:r w:rsidRPr="000E5F52">
        <w:rPr>
          <w:rFonts w:ascii="Verdana" w:hAnsi="Verdana"/>
          <w:sz w:val="24"/>
          <w:szCs w:val="24"/>
        </w:rPr>
        <w:t>ectoparasiticide</w:t>
      </w:r>
      <w:r w:rsidRPr="000E5F52">
        <w:rPr>
          <w:rFonts w:ascii="Verdana" w:hAnsi="Verdana"/>
          <w:sz w:val="24"/>
          <w:szCs w:val="24"/>
        </w:rPr>
        <w:t> licensed for use in poultry containing fluralaner raises questions about the robustness of the Phase II methodology. Because fluralaner is excreted in faeces, a Phase II risk assessment was required for soil organisms. Toxicity was assessed using a single collembolan springtail species (for which no detail on toxicity data is provided in the publicly available assessment), and the exposure calculation assumed - based on metabolism data cited within the assessment but not independently published or publicly available for verification- that only 36% of the orally administered dose is excreted in faeces (it is worth noting that in cats and dogs approximately 90% of orally administered fluralaner is excreted unchanged in the faeces). </w:t>
      </w:r>
    </w:p>
    <w:p w:rsidR="00DC6776" w:rsidRPr="000E5F52" w:rsidP="00DC6776">
      <w:pPr>
        <w:rPr>
          <w:rFonts w:ascii="Verdana" w:hAnsi="Verdana"/>
          <w:sz w:val="24"/>
          <w:szCs w:val="24"/>
        </w:rPr>
      </w:pPr>
      <w:r w:rsidRPr="000E5F52">
        <w:rPr>
          <w:rFonts w:ascii="Verdana" w:hAnsi="Verdana"/>
          <w:sz w:val="24"/>
          <w:szCs w:val="24"/>
        </w:rPr>
        <w:t> </w:t>
      </w:r>
    </w:p>
    <w:p w:rsidR="00FD225C" w:rsidRPr="000E5F52" w:rsidP="00FD225C">
      <w:pPr>
        <w:rPr>
          <w:rFonts w:ascii="Verdana" w:hAnsi="Verdana"/>
          <w:sz w:val="24"/>
          <w:szCs w:val="24"/>
        </w:rPr>
      </w:pPr>
      <w:r w:rsidRPr="000E5F52">
        <w:rPr>
          <w:rFonts w:ascii="Verdana" w:hAnsi="Verdana"/>
          <w:sz w:val="24"/>
          <w:szCs w:val="24"/>
        </w:rPr>
        <w:t xml:space="preserve">This is difficult to reconcile with the same CVMP assessment report’s own pharmacokinetics section, which states that 60% of the administered fluralaner dose is recovered from excreta. Had the latter figure been used in the environmental risk assessment, a recalculation using the higher excretion figure cited in the same CVMP report's pharmacokinetics section may result in a risk quotient exceeding 1, particularly for laying hens - indicating an environmental risk. Instead, the report concluded that available data did not indicate a risk to soil organisms, and the product was authorised on that basis. The Committee may wish to request that the regulator consider clarifying which figure is appropriate and provide the underlying data to support the assumption used. The relevant Committee for Veterinary Medicinal Products (CVMP) </w:t>
      </w:r>
      <w:r w:rsidRPr="000E5F52">
        <w:rPr>
          <w:rFonts w:ascii="Verdana" w:hAnsi="Verdana"/>
          <w:sz w:val="24"/>
          <w:szCs w:val="24"/>
        </w:rPr>
        <w:t>public assessment is publicly available </w:t>
      </w:r>
      <w:r>
        <w:fldChar w:fldCharType="begin"/>
      </w:r>
      <w:r>
        <w:instrText xml:space="preserve"> HYPERLINK "https://medicines.health.europa.eu/veterinary/en/600000000062" \t "_blank" </w:instrText>
      </w:r>
      <w:r>
        <w:fldChar w:fldCharType="separate"/>
      </w:r>
      <w:r w:rsidRPr="000E5F52">
        <w:rPr>
          <w:rStyle w:val="Hyperlink"/>
          <w:rFonts w:ascii="Verdana" w:hAnsi="Verdana"/>
          <w:sz w:val="24"/>
          <w:szCs w:val="24"/>
        </w:rPr>
        <w:t>here</w:t>
      </w:r>
      <w:r>
        <w:fldChar w:fldCharType="end"/>
      </w:r>
      <w:r w:rsidRPr="000E5F52">
        <w:rPr>
          <w:rFonts w:ascii="Verdana" w:hAnsi="Verdana"/>
          <w:sz w:val="24"/>
          <w:szCs w:val="24"/>
        </w:rPr>
        <w:t> (bottom of the webpage) and is referenced for the Committee’s convenience. </w:t>
      </w:r>
    </w:p>
    <w:p w:rsidR="00DC6776" w:rsidRPr="000E5F52" w:rsidP="00DC6776">
      <w:pPr>
        <w:rPr>
          <w:rFonts w:ascii="Verdana" w:hAnsi="Verdana"/>
          <w:sz w:val="24"/>
          <w:szCs w:val="24"/>
        </w:rPr>
      </w:pPr>
      <w:r w:rsidRPr="000E5F52">
        <w:rPr>
          <w:rFonts w:ascii="Verdana" w:hAnsi="Verdana"/>
          <w:sz w:val="24"/>
          <w:szCs w:val="24"/>
        </w:rPr>
        <w:t> </w:t>
      </w:r>
      <w:r w:rsidRPr="000E5F52">
        <w:rPr>
          <w:rFonts w:ascii="Verdana" w:hAnsi="Verdana"/>
          <w:sz w:val="24"/>
          <w:szCs w:val="24"/>
        </w:rPr>
        <w:t>Oral fluralaner is now used at scale to treat poultry red mite infestations in pullets, breeders, and layer hens across the UK, and a substantial proportion of manure from treated birds is subsequently spread on UK farmland.  </w:t>
      </w:r>
    </w:p>
    <w:p w:rsidR="00DC6776" w:rsidRPr="000E5F52" w:rsidP="00DC6776">
      <w:pPr>
        <w:rPr>
          <w:rFonts w:ascii="Verdana" w:hAnsi="Verdana"/>
          <w:sz w:val="24"/>
          <w:szCs w:val="24"/>
        </w:rPr>
      </w:pPr>
      <w:r w:rsidRPr="000E5F52">
        <w:rPr>
          <w:rFonts w:ascii="Verdana" w:hAnsi="Verdana"/>
          <w:sz w:val="24"/>
          <w:szCs w:val="24"/>
        </w:rPr>
        <w:t>It is also noteworthy</w:t>
      </w:r>
      <w:r w:rsidRPr="000E5F52">
        <w:rPr>
          <w:rFonts w:ascii="Verdana" w:hAnsi="Verdana"/>
          <w:sz w:val="24"/>
          <w:szCs w:val="24"/>
        </w:rPr>
        <w:t xml:space="preserve"> that fluralaner is administered to chickens via drinking water, yet no assessment appears to have been made of the environmental risk posed by discarding remaining drinking water - despite this likely representing a substantial proportion of the purchased product.   </w:t>
      </w:r>
    </w:p>
    <w:p w:rsidR="007F3FCE" w:rsidRPr="000E5F52" w:rsidP="00DC6776">
      <w:pPr>
        <w:rPr>
          <w:rFonts w:ascii="Verdana" w:hAnsi="Verdana"/>
          <w:sz w:val="24"/>
          <w:szCs w:val="24"/>
        </w:rPr>
      </w:pPr>
      <w:r w:rsidRPr="000E5F52">
        <w:rPr>
          <w:rFonts w:ascii="Verdana" w:hAnsi="Verdana"/>
          <w:sz w:val="24"/>
          <w:szCs w:val="24"/>
        </w:rPr>
        <w:t>This example suggests that questions regarding assessment rigour may extend to Phase II standards as well. The Committee may wish to consider whether independent scientific review of regulatory risk assessments for veterinary medicinal products would be beneficial. </w:t>
      </w:r>
    </w:p>
    <w:p w:rsidR="00DC6776" w:rsidRPr="000E5F52" w:rsidP="00DC6776">
      <w:pPr>
        <w:rPr>
          <w:rFonts w:ascii="Verdana" w:hAnsi="Verdana"/>
          <w:sz w:val="24"/>
          <w:szCs w:val="24"/>
        </w:rPr>
      </w:pPr>
      <w:r w:rsidRPr="000E5F52">
        <w:rPr>
          <w:rFonts w:ascii="Verdana" w:hAnsi="Verdana"/>
          <w:sz w:val="24"/>
          <w:szCs w:val="24"/>
        </w:rPr>
        <w:t>  </w:t>
      </w:r>
    </w:p>
    <w:p w:rsidR="00DC6776" w:rsidRPr="000E5F52" w:rsidP="00DC6776">
      <w:pPr>
        <w:numPr>
          <w:ilvl w:val="0"/>
          <w:numId w:val="4"/>
        </w:numPr>
        <w:tabs>
          <w:tab w:val="clear" w:pos="360"/>
          <w:tab w:val="num" w:pos="720"/>
        </w:tabs>
        <w:rPr>
          <w:rFonts w:ascii="Verdana" w:hAnsi="Verdana"/>
          <w:sz w:val="24"/>
          <w:szCs w:val="24"/>
        </w:rPr>
      </w:pPr>
      <w:r w:rsidRPr="000E5F52">
        <w:rPr>
          <w:rFonts w:ascii="Verdana" w:hAnsi="Verdana"/>
          <w:b/>
          <w:bCs/>
          <w:sz w:val="24"/>
          <w:szCs w:val="24"/>
        </w:rPr>
        <w:t>The Veterinary Products Committee</w:t>
      </w:r>
      <w:r w:rsidRPr="000E5F52">
        <w:rPr>
          <w:rFonts w:ascii="Verdana" w:hAnsi="Verdana"/>
          <w:sz w:val="24"/>
          <w:szCs w:val="24"/>
        </w:rPr>
        <w:t>  </w:t>
      </w:r>
    </w:p>
    <w:p w:rsidR="00DC6776" w:rsidRPr="000E5F52" w:rsidP="00DC6776">
      <w:pPr>
        <w:rPr>
          <w:rFonts w:ascii="Verdana" w:hAnsi="Verdana"/>
          <w:sz w:val="24"/>
          <w:szCs w:val="24"/>
        </w:rPr>
      </w:pPr>
      <w:r w:rsidRPr="000E5F52">
        <w:rPr>
          <w:rFonts w:ascii="Verdana" w:hAnsi="Verdana"/>
          <w:sz w:val="24"/>
          <w:szCs w:val="24"/>
        </w:rPr>
        <w:t>In response to a question (Q57) from Lord Krebs regarding the independence of the Veterinary Products Committee (VPC), Abi Seager states that no industry representatives sit on the VPC.   </w:t>
      </w:r>
    </w:p>
    <w:p w:rsidR="00DC6776" w:rsidRPr="000E5F52" w:rsidP="00DC6776">
      <w:pPr>
        <w:rPr>
          <w:rFonts w:ascii="Verdana" w:hAnsi="Verdana"/>
          <w:sz w:val="24"/>
          <w:szCs w:val="24"/>
        </w:rPr>
      </w:pPr>
      <w:r w:rsidRPr="000E5F52">
        <w:rPr>
          <w:rFonts w:ascii="Verdana" w:hAnsi="Verdana"/>
          <w:sz w:val="24"/>
          <w:szCs w:val="24"/>
        </w:rPr>
        <w:t>However, the declarations of </w:t>
      </w:r>
      <w:r>
        <w:fldChar w:fldCharType="begin"/>
      </w:r>
      <w:r>
        <w:instrText xml:space="preserve"> HYPERLINK "https://www.gov.uk/government/organisations/veterinary-products-committee/about/membership" \t "_blank" </w:instrText>
      </w:r>
      <w:r>
        <w:fldChar w:fldCharType="separate"/>
      </w:r>
      <w:r w:rsidRPr="000E5F52">
        <w:rPr>
          <w:rStyle w:val="Hyperlink"/>
          <w:rFonts w:ascii="Verdana" w:hAnsi="Verdana"/>
          <w:sz w:val="24"/>
          <w:szCs w:val="24"/>
        </w:rPr>
        <w:t>current VPC members</w:t>
      </w:r>
      <w:r>
        <w:fldChar w:fldCharType="end"/>
      </w:r>
      <w:r w:rsidRPr="000E5F52">
        <w:rPr>
          <w:rFonts w:ascii="Verdana" w:hAnsi="Verdana"/>
          <w:sz w:val="24"/>
          <w:szCs w:val="24"/>
        </w:rPr>
        <w:t> show that at least one member is an employee of the veterinary pharmaceutical industry, which may give rise to questions about the characterisation of VPC membership provided in evidence. </w:t>
      </w:r>
      <w:r w:rsidRPr="000E5F52" w:rsidR="005E4E14">
        <w:rPr>
          <w:rFonts w:ascii="Verdana" w:hAnsi="Verdana"/>
          <w:sz w:val="24"/>
          <w:szCs w:val="24"/>
        </w:rPr>
        <w:t>C</w:t>
      </w:r>
      <w:r w:rsidRPr="000E5F52">
        <w:rPr>
          <w:rFonts w:ascii="Verdana" w:hAnsi="Verdana"/>
          <w:sz w:val="24"/>
          <w:szCs w:val="24"/>
        </w:rPr>
        <w:t>larification from the VMD on how ‘industry representative’ is defined for these purposes</w:t>
      </w:r>
      <w:r w:rsidRPr="000E5F52" w:rsidR="005E4E14">
        <w:rPr>
          <w:rFonts w:ascii="Verdana" w:hAnsi="Verdana"/>
          <w:sz w:val="24"/>
          <w:szCs w:val="24"/>
        </w:rPr>
        <w:t xml:space="preserve"> would be welcomed</w:t>
      </w:r>
      <w:r w:rsidRPr="000E5F52">
        <w:rPr>
          <w:rFonts w:ascii="Verdana" w:hAnsi="Verdana"/>
          <w:sz w:val="24"/>
          <w:szCs w:val="24"/>
        </w:rPr>
        <w:t>. </w:t>
      </w:r>
      <w:r w:rsidRPr="000E5F52" w:rsidR="005E4E14">
        <w:rPr>
          <w:rFonts w:ascii="Verdana" w:hAnsi="Verdana"/>
          <w:sz w:val="24"/>
          <w:szCs w:val="24"/>
        </w:rPr>
        <w:t xml:space="preserve">It is further </w:t>
      </w:r>
      <w:r w:rsidRPr="000E5F52">
        <w:rPr>
          <w:rFonts w:ascii="Verdana" w:hAnsi="Verdana"/>
          <w:sz w:val="24"/>
          <w:szCs w:val="24"/>
        </w:rPr>
        <w:t xml:space="preserve">note </w:t>
      </w:r>
      <w:r w:rsidRPr="000E5F52" w:rsidR="005E4E14">
        <w:rPr>
          <w:rFonts w:ascii="Verdana" w:hAnsi="Verdana"/>
          <w:sz w:val="24"/>
          <w:szCs w:val="24"/>
        </w:rPr>
        <w:t>d</w:t>
      </w:r>
      <w:r w:rsidRPr="000E5F52">
        <w:rPr>
          <w:rFonts w:ascii="Verdana" w:hAnsi="Verdana"/>
          <w:sz w:val="24"/>
          <w:szCs w:val="24"/>
        </w:rPr>
        <w:t>that</w:t>
      </w:r>
      <w:r w:rsidRPr="000E5F52">
        <w:rPr>
          <w:rFonts w:ascii="Verdana" w:hAnsi="Verdana"/>
          <w:sz w:val="24"/>
          <w:szCs w:val="24"/>
        </w:rPr>
        <w:t xml:space="preserve"> several other members of the VPC have </w:t>
      </w:r>
      <w:r>
        <w:fldChar w:fldCharType="begin"/>
      </w:r>
      <w:r>
        <w:instrText xml:space="preserve"> HYPERLINK "https://assets.publishing.service.gov.uk/media/695fa07747867b8e14f764f0/VPC_Members_biographies_and_specialisms_Jan_2026.pdf" \t "_blank" </w:instrText>
      </w:r>
      <w:r>
        <w:fldChar w:fldCharType="separate"/>
      </w:r>
      <w:r w:rsidRPr="000E5F52">
        <w:rPr>
          <w:rStyle w:val="Hyperlink"/>
          <w:rFonts w:ascii="Verdana" w:hAnsi="Verdana"/>
          <w:sz w:val="24"/>
          <w:szCs w:val="24"/>
        </w:rPr>
        <w:t>declared consultancy interests</w:t>
      </w:r>
      <w:r>
        <w:fldChar w:fldCharType="end"/>
      </w:r>
      <w:r w:rsidRPr="000E5F52">
        <w:rPr>
          <w:rFonts w:ascii="Verdana" w:hAnsi="Verdana"/>
          <w:sz w:val="24"/>
          <w:szCs w:val="24"/>
        </w:rPr>
        <w:t> with the pharmaceutical industry.   </w:t>
      </w:r>
    </w:p>
    <w:p w:rsidR="00DC6776" w:rsidRPr="000E5F52" w:rsidP="00DC6776">
      <w:pPr>
        <w:rPr>
          <w:rFonts w:ascii="Verdana" w:hAnsi="Verdana"/>
          <w:sz w:val="24"/>
          <w:szCs w:val="24"/>
        </w:rPr>
      </w:pPr>
      <w:r w:rsidRPr="000E5F52">
        <w:rPr>
          <w:rFonts w:ascii="Verdana" w:hAnsi="Verdana"/>
          <w:sz w:val="24"/>
          <w:szCs w:val="24"/>
        </w:rPr>
        <w:t> </w:t>
      </w:r>
    </w:p>
    <w:p w:rsidR="00A80C73" w:rsidRPr="000E5F52">
      <w:pPr>
        <w:rPr>
          <w:rFonts w:ascii="Verdana" w:hAnsi="Verdana"/>
          <w:sz w:val="24"/>
          <w:szCs w:val="24"/>
        </w:rPr>
      </w:pPr>
      <w:r w:rsidRPr="000E5F52">
        <w:rPr>
          <w:rFonts w:ascii="Verdana" w:hAnsi="Verdana"/>
          <w:sz w:val="24"/>
          <w:szCs w:val="24"/>
        </w:rPr>
        <w:t>03/07/2026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9EB567F"/>
    <w:multiLevelType w:val="multilevel"/>
    <w:tmpl w:val="39FA7574"/>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539E1CBD"/>
    <w:multiLevelType w:val="multilevel"/>
    <w:tmpl w:val="49CA33E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71FF0548"/>
    <w:multiLevelType w:val="multilevel"/>
    <w:tmpl w:val="8D603E58"/>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7F8724A1"/>
    <w:multiLevelType w:val="multilevel"/>
    <w:tmpl w:val="FFE6B4E8"/>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oNotTrackMoves/>
  <w:defaultTabStop w:val="720"/>
  <w:characterSpacingControl w:val="doNotCompress"/>
  <w:compa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DC67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67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67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67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67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67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7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7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7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7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67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67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67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67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67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7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7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776"/>
    <w:rPr>
      <w:rFonts w:eastAsiaTheme="majorEastAsia" w:cstheme="majorBidi"/>
      <w:color w:val="272727" w:themeColor="text1" w:themeTint="D8"/>
    </w:rPr>
  </w:style>
  <w:style w:type="paragraph" w:styleId="Title">
    <w:name w:val="Title"/>
    <w:basedOn w:val="Normal"/>
    <w:next w:val="Normal"/>
    <w:link w:val="TitleChar"/>
    <w:uiPriority w:val="10"/>
    <w:qFormat/>
    <w:rsid w:val="00DC67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7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7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7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776"/>
    <w:pPr>
      <w:spacing w:before="160"/>
      <w:jc w:val="center"/>
    </w:pPr>
    <w:rPr>
      <w:i/>
      <w:iCs/>
      <w:color w:val="404040" w:themeColor="text1" w:themeTint="BF"/>
    </w:rPr>
  </w:style>
  <w:style w:type="character" w:customStyle="1" w:styleId="QuoteChar">
    <w:name w:val="Quote Char"/>
    <w:basedOn w:val="DefaultParagraphFont"/>
    <w:link w:val="Quote"/>
    <w:uiPriority w:val="29"/>
    <w:rsid w:val="00DC6776"/>
    <w:rPr>
      <w:i/>
      <w:iCs/>
      <w:color w:val="404040" w:themeColor="text1" w:themeTint="BF"/>
    </w:rPr>
  </w:style>
  <w:style w:type="paragraph" w:styleId="ListParagraph">
    <w:name w:val="List Paragraph"/>
    <w:basedOn w:val="Normal"/>
    <w:uiPriority w:val="34"/>
    <w:qFormat/>
    <w:rsid w:val="00DC6776"/>
    <w:pPr>
      <w:ind w:left="720"/>
      <w:contextualSpacing/>
    </w:pPr>
  </w:style>
  <w:style w:type="character" w:styleId="IntenseEmphasis">
    <w:name w:val="Intense Emphasis"/>
    <w:basedOn w:val="DefaultParagraphFont"/>
    <w:uiPriority w:val="21"/>
    <w:qFormat/>
    <w:rsid w:val="00DC6776"/>
    <w:rPr>
      <w:i/>
      <w:iCs/>
      <w:color w:val="2F5496" w:themeColor="accent1" w:themeShade="BF"/>
    </w:rPr>
  </w:style>
  <w:style w:type="paragraph" w:styleId="IntenseQuote">
    <w:name w:val="Intense Quote"/>
    <w:basedOn w:val="Normal"/>
    <w:next w:val="Normal"/>
    <w:link w:val="IntenseQuoteChar"/>
    <w:uiPriority w:val="30"/>
    <w:qFormat/>
    <w:rsid w:val="00DC67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6776"/>
    <w:rPr>
      <w:i/>
      <w:iCs/>
      <w:color w:val="2F5496" w:themeColor="accent1" w:themeShade="BF"/>
    </w:rPr>
  </w:style>
  <w:style w:type="character" w:styleId="IntenseReference">
    <w:name w:val="Intense Reference"/>
    <w:basedOn w:val="DefaultParagraphFont"/>
    <w:uiPriority w:val="32"/>
    <w:qFormat/>
    <w:rsid w:val="00DC6776"/>
    <w:rPr>
      <w:b/>
      <w:bCs/>
      <w:smallCaps/>
      <w:color w:val="2F5496" w:themeColor="accent1" w:themeShade="BF"/>
      <w:spacing w:val="5"/>
    </w:rPr>
  </w:style>
  <w:style w:type="character" w:styleId="Hyperlink">
    <w:name w:val="Hyperlink"/>
    <w:basedOn w:val="DefaultParagraphFont"/>
    <w:uiPriority w:val="99"/>
    <w:unhideWhenUsed/>
    <w:rsid w:val="00DC6776"/>
    <w:rPr>
      <w:color w:val="0563C1" w:themeColor="hyperlink"/>
      <w:u w:val="single"/>
    </w:rPr>
  </w:style>
  <w:style w:type="character" w:customStyle="1" w:styleId="UnresolvedMention">
    <w:name w:val="Unresolved Mention"/>
    <w:basedOn w:val="DefaultParagraphFont"/>
    <w:uiPriority w:val="99"/>
    <w:semiHidden/>
    <w:unhideWhenUsed/>
    <w:rsid w:val="00DC6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PPM0044</dc:title>
  <cp:revision>0</cp:revision>
</cp:coreProperties>
</file>