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5C92">
      <w:pPr>
        <w:spacing w:after="240"/>
        <w:jc w:val="center"/>
      </w:pPr>
      <w:r>
        <w:rPr>
          <w:b/>
          <w:bCs/>
        </w:rPr>
        <w:t xml:space="preserve">Written Evidence </w:t>
      </w:r>
      <w:r w:rsidR="00A55441">
        <w:rPr>
          <w:b/>
          <w:bCs/>
        </w:rPr>
        <w:t xml:space="preserve">by </w:t>
      </w:r>
      <w:r w:rsidRPr="00A55441" w:rsidR="00A55441">
        <w:rPr>
          <w:b/>
          <w:bCs/>
        </w:rPr>
        <w:t>Cassandra Foundation</w:t>
      </w:r>
      <w:r w:rsidR="00A55441">
        <w:rPr>
          <w:b/>
          <w:bCs/>
        </w:rPr>
        <w:t xml:space="preserve"> (ECA0008)</w:t>
      </w:r>
    </w:p>
    <w:p w:rsidR="00925C92">
      <w:pPr>
        <w:spacing w:after="60"/>
      </w:pPr>
      <w:r>
        <w:rPr>
          <w:b/>
          <w:bCs/>
        </w:rPr>
        <w:t>Written Evidence Submitted to:</w:t>
      </w:r>
    </w:p>
    <w:p w:rsidR="00925C92">
      <w:pPr>
        <w:spacing w:after="60"/>
      </w:pPr>
      <w:r>
        <w:t>House of Commons Education Committee</w:t>
      </w:r>
    </w:p>
    <w:p w:rsidR="00925C92">
      <w:pPr>
        <w:spacing w:after="60"/>
      </w:pPr>
      <w:r>
        <w:t>Inquiry: 'Every Child Achieving and Thriving' White Paper</w:t>
      </w:r>
    </w:p>
    <w:p w:rsidR="00925C92">
      <w:pPr>
        <w:spacing w:after="60"/>
      </w:pPr>
      <w:r>
        <w:t>Submitted by: Elham Nourzai, Founder, Cassandra Foundation</w:t>
      </w:r>
    </w:p>
    <w:p w:rsidR="00925C92">
      <w:pPr>
        <w:spacing w:after="60"/>
      </w:pPr>
      <w:r>
        <w:t>Contact: nourzai@cassandrafoundation.com</w:t>
      </w:r>
    </w:p>
    <w:p w:rsidR="00925C92">
      <w:pPr>
        <w:spacing w:after="240"/>
      </w:pPr>
      <w:r>
        <w:t>Date: July 2026</w:t>
      </w:r>
    </w:p>
    <w:p w:rsidR="00925C92">
      <w:pPr>
        <w:spacing w:after="120"/>
      </w:pPr>
      <w:r>
        <w:rPr>
          <w:b/>
          <w:bCs/>
        </w:rPr>
        <w:t>Summary of Key Points</w:t>
      </w:r>
    </w:p>
    <w:p w:rsidR="00925C92">
      <w:pPr>
        <w:pStyle w:val="ListParagraph"/>
        <w:numPr>
          <w:ilvl w:val="0"/>
          <w:numId w:val="2"/>
        </w:numPr>
        <w:spacing w:after="100"/>
      </w:pPr>
      <w:r>
        <w:t>The labour market that pupils will enter is changing faster than the school system that prepares them for it. AI adoption is compressing the supply of routine entry-level work, which raises the stakes of the White Paper’s ambition to reduce the number of young people not in education, employment or training (NEET).</w:t>
      </w:r>
    </w:p>
    <w:p w:rsidR="00925C92">
      <w:pPr>
        <w:pStyle w:val="ListParagraph"/>
        <w:numPr>
          <w:ilvl w:val="0"/>
          <w:numId w:val="2"/>
        </w:numPr>
        <w:spacing w:after="100"/>
      </w:pPr>
      <w:r>
        <w:t>The definition of essential skills used in curriculum reform should be forward looking. It should weight skills that complement AI (judgment, interpersonal work, practical and technical trades, and the ability to direct and evaluate AI tools) rather than skills that compete with it.</w:t>
      </w:r>
    </w:p>
    <w:p w:rsidR="00925C92">
      <w:pPr>
        <w:pStyle w:val="ListParagraph"/>
        <w:numPr>
          <w:ilvl w:val="0"/>
          <w:numId w:val="2"/>
        </w:numPr>
        <w:spacing w:after="100"/>
      </w:pPr>
      <w:r>
        <w:t>The commitment to equip teachers and support staff to use digital technology and AI is welcome but underspecified. It should become a defined national entitlement to structured professional development, backed by evaluation standards for the AI tools schools are asked to adopt.</w:t>
      </w:r>
    </w:p>
    <w:p w:rsidR="00925C92">
      <w:pPr>
        <w:pStyle w:val="ListParagraph"/>
        <w:numPr>
          <w:ilvl w:val="0"/>
          <w:numId w:val="2"/>
        </w:numPr>
        <w:spacing w:after="100"/>
      </w:pPr>
      <w:r>
        <w:t xml:space="preserve">Accountability reform should track destinations and NEET outcomes alongside attainment, so that schools are recognised for preparing pupils for the labour market they will </w:t>
      </w:r>
      <w:r>
        <w:t>actually face</w:t>
      </w:r>
      <w:r>
        <w:t>.</w:t>
      </w:r>
    </w:p>
    <w:p w:rsidR="00925C92">
      <w:pPr>
        <w:spacing w:before="240" w:after="160"/>
      </w:pPr>
      <w:r>
        <w:rPr>
          <w:b/>
          <w:bCs/>
          <w:sz w:val="24"/>
          <w:szCs w:val="24"/>
        </w:rPr>
        <w:t>1. Introduction</w:t>
      </w:r>
    </w:p>
    <w:p w:rsidR="00925C92">
      <w:pPr>
        <w:pStyle w:val="ListParagraph"/>
        <w:numPr>
          <w:ilvl w:val="0"/>
          <w:numId w:val="3"/>
        </w:numPr>
        <w:spacing w:after="160"/>
      </w:pPr>
      <w:r>
        <w:t>Cassandra Foundation is an independent AI policy research organisation. Our research examines the macroeconomic and labour market consequences of artificial intelligence and autonomous systems. Our flagship research paper, The Great Deflation (DOI: 10.5281/zenodo.19133521), analyses how advanced AI may lower the cost of goods and services while displacing labour faster than price benefits reach households. Written evidence from our research programme has been published by the Education Committee (AIE0016) a</w:t>
      </w:r>
      <w:r>
        <w:t>nd the Environmental Audit Committee (DCU0009).</w:t>
      </w:r>
    </w:p>
    <w:p w:rsidR="00925C92">
      <w:pPr>
        <w:pStyle w:val="ListParagraph"/>
        <w:numPr>
          <w:ilvl w:val="0"/>
          <w:numId w:val="3"/>
        </w:numPr>
        <w:spacing w:after="160"/>
      </w:pPr>
      <w:r>
        <w:t>This submission responds to two areas of the terms of reference: the integration of essential skills into the curriculum to raise attainment and reduce NEET numbers (Raising attainment), and how teachers and support staff are being equipped to use digital technology and AI (Workforce reforms). It does not address every point in the call for evidence.</w:t>
      </w:r>
    </w:p>
    <w:p w:rsidR="00925C92">
      <w:pPr>
        <w:spacing w:before="240" w:after="160"/>
      </w:pPr>
      <w:r>
        <w:rPr>
          <w:b/>
          <w:bCs/>
          <w:sz w:val="24"/>
          <w:szCs w:val="24"/>
        </w:rPr>
        <w:t>2. Essential skills, attainment and the NEET risk</w:t>
      </w:r>
    </w:p>
    <w:p w:rsidR="00925C92">
      <w:pPr>
        <w:pStyle w:val="ListParagraph"/>
        <w:numPr>
          <w:ilvl w:val="0"/>
          <w:numId w:val="3"/>
        </w:numPr>
        <w:spacing w:after="160"/>
      </w:pPr>
      <w:r>
        <w:t>The White Paper’s attainment and NEET ambitions will be judged against a labour market in transition. Employers are adopting AI systems that perform a growing share of routine cognitive tasks. The tasks most affected are concentrated in the entry-level roles that school leavers have traditionally used to enter work: administrative support, basic analysis, customer service and junior professional roles.</w:t>
      </w:r>
    </w:p>
    <w:p w:rsidR="00925C92">
      <w:pPr>
        <w:pStyle w:val="ListParagraph"/>
        <w:numPr>
          <w:ilvl w:val="0"/>
          <w:numId w:val="3"/>
        </w:numPr>
        <w:spacing w:after="160"/>
      </w:pPr>
      <w:r>
        <w:t xml:space="preserve">Our research argues that the gains from AI adoption arrive unevenly over time. Cost savings and productivity improvements accrue to firms first, while lower prices for households follow later. Labour displacement sits in the gap between the two. Young </w:t>
      </w:r>
      <w:r>
        <w:t>people entering the labour market during that gap face the sharpest risk, because they compete for a shrinking pool of routine work without an employment record to fall back on.</w:t>
      </w:r>
    </w:p>
    <w:p w:rsidR="00925C92">
      <w:pPr>
        <w:pStyle w:val="ListParagraph"/>
        <w:numPr>
          <w:ilvl w:val="0"/>
          <w:numId w:val="3"/>
        </w:numPr>
        <w:spacing w:after="160"/>
      </w:pPr>
      <w:r>
        <w:t>This has a direct implication for how essential skills are defined in the curriculum. A skills list drawn from today’s job descriptions will be partly obsolete before today’s Year 7 pupils sit their GCSEs. The Department should instead weight skills by their expected complementarity with AI: the capacity to define problems and evaluate AI-produced work, interpersonal and care skills, practical and technical trades, and the numeracy and literacy foundations on which all of these depend.</w:t>
      </w:r>
    </w:p>
    <w:p w:rsidR="00925C92">
      <w:pPr>
        <w:pStyle w:val="ListParagraph"/>
        <w:numPr>
          <w:ilvl w:val="0"/>
          <w:numId w:val="3"/>
        </w:numPr>
        <w:spacing w:after="160"/>
      </w:pPr>
      <w:r>
        <w:t>Integrating these skills into the curriculum is also an attainment measure, not a competing priority. Pupils disengage when they cannot see a route from school to secure work. A curriculum that visibly prepares pupils for the labour market they will enter supports both attendance and attainment, particularly for disadvantaged pupils whose local labour markets are most exposed to automation.</w:t>
      </w:r>
    </w:p>
    <w:p w:rsidR="00925C92">
      <w:pPr>
        <w:pStyle w:val="ListParagraph"/>
        <w:numPr>
          <w:ilvl w:val="0"/>
          <w:numId w:val="3"/>
        </w:numPr>
        <w:spacing w:after="160"/>
      </w:pPr>
      <w:r>
        <w:t>We therefore support the proposal to integrate essential skills more effectively into the curriculum, and recommend that the Department publish the analysis of labour market change on which its chosen skills framework rests, and update it on a fixed cycle.</w:t>
      </w:r>
    </w:p>
    <w:p w:rsidR="00925C92">
      <w:pPr>
        <w:spacing w:before="240" w:after="160"/>
      </w:pPr>
      <w:r>
        <w:rPr>
          <w:b/>
          <w:bCs/>
          <w:sz w:val="24"/>
          <w:szCs w:val="24"/>
        </w:rPr>
        <w:t>3. Equipping teachers and support staff for digital technology and AI</w:t>
      </w:r>
    </w:p>
    <w:p w:rsidR="00925C92">
      <w:pPr>
        <w:pStyle w:val="ListParagraph"/>
        <w:numPr>
          <w:ilvl w:val="0"/>
          <w:numId w:val="3"/>
        </w:numPr>
        <w:spacing w:after="160"/>
      </w:pPr>
      <w:r>
        <w:t>The terms of reference ask how teachers and support staff are being equipped to develop the skills and confidence to use digital technology and AI appropriately and effectively. In our assessment the answer today is: unevenly, and largely through unstructured individual experimentation.</w:t>
      </w:r>
    </w:p>
    <w:p w:rsidR="00925C92">
      <w:pPr>
        <w:pStyle w:val="ListParagraph"/>
        <w:numPr>
          <w:ilvl w:val="0"/>
          <w:numId w:val="3"/>
        </w:numPr>
        <w:spacing w:after="160"/>
      </w:pPr>
      <w:r>
        <w:t>Teachers are already using general-purpose AI tools for lesson planning, marking support and administrative work. This is happening ahead of any settled national framework for quality, data protection or pedagogy. The result is a wide spread between schools and trusts: some have clear policies and training, many have neither.</w:t>
      </w:r>
    </w:p>
    <w:p w:rsidR="00925C92">
      <w:pPr>
        <w:pStyle w:val="ListParagraph"/>
        <w:numPr>
          <w:ilvl w:val="0"/>
          <w:numId w:val="3"/>
        </w:numPr>
        <w:spacing w:after="160"/>
      </w:pPr>
      <w:r>
        <w:t>Unstructured adoption carries two risks. First, workload relief that AI could provide is not reaching the teachers who need it most, which undermines the White Paper’s retention objectives. Second, pupils in different schools are receiving very different levels of exposure to well-used educational technology, which widens rather than narrows disadvantage gaps.</w:t>
      </w:r>
    </w:p>
    <w:p w:rsidR="00925C92">
      <w:pPr>
        <w:pStyle w:val="ListParagraph"/>
        <w:numPr>
          <w:ilvl w:val="0"/>
          <w:numId w:val="3"/>
        </w:numPr>
        <w:spacing w:after="160"/>
      </w:pPr>
      <w:r>
        <w:t>Equipping the workforce should therefore be treated as a defined entitlement rather than an aspiration. Every teacher and relevant member of support staff should have access to structured, funded professional development on the appropriate use of AI tools, with time to complete it counted within directed time.</w:t>
      </w:r>
    </w:p>
    <w:p w:rsidR="00925C92">
      <w:pPr>
        <w:pStyle w:val="ListParagraph"/>
        <w:numPr>
          <w:ilvl w:val="0"/>
          <w:numId w:val="3"/>
        </w:numPr>
        <w:spacing w:after="160"/>
      </w:pPr>
      <w:r>
        <w:t>The entitlement should be matched by standards on the tools themselves. Schools and trusts should not each have to evaluate AI products from first principles. A national evaluation framework covering evidence of effectiveness, data protection and safeguarding would let school leaders adopt with confidence and would concentrate the market on products that meet the bar.</w:t>
      </w:r>
    </w:p>
    <w:p w:rsidR="00925C92">
      <w:pPr>
        <w:spacing w:before="240" w:after="160"/>
      </w:pPr>
      <w:r>
        <w:rPr>
          <w:b/>
          <w:bCs/>
          <w:sz w:val="24"/>
          <w:szCs w:val="24"/>
        </w:rPr>
        <w:t>4. Recommendations</w:t>
      </w:r>
    </w:p>
    <w:p w:rsidR="00925C92">
      <w:pPr>
        <w:pStyle w:val="ListParagraph"/>
        <w:numPr>
          <w:ilvl w:val="0"/>
          <w:numId w:val="3"/>
        </w:numPr>
        <w:spacing w:after="160"/>
      </w:pPr>
      <w:r>
        <w:t>Define essential skills in the curriculum by reference to expected complementarity with AI, publish the underlying labour market analysis, and refresh it on a fixed cycle.</w:t>
      </w:r>
    </w:p>
    <w:p w:rsidR="00925C92">
      <w:pPr>
        <w:pStyle w:val="ListParagraph"/>
        <w:numPr>
          <w:ilvl w:val="0"/>
          <w:numId w:val="3"/>
        </w:numPr>
        <w:spacing w:after="160"/>
      </w:pPr>
      <w:r>
        <w:t>Include destinations and NEET outcomes alongside attainment in the reformed accountability measures, so schools are recognised for labour market preparation.</w:t>
      </w:r>
    </w:p>
    <w:p w:rsidR="00925C92">
      <w:pPr>
        <w:pStyle w:val="ListParagraph"/>
        <w:numPr>
          <w:ilvl w:val="0"/>
          <w:numId w:val="3"/>
        </w:numPr>
        <w:spacing w:after="160"/>
      </w:pPr>
      <w:r>
        <w:t>Establish a national professional development entitlement on digital technology and AI for teachers and support staff, funded and counted within directed time, with take-up reported.</w:t>
      </w:r>
    </w:p>
    <w:p w:rsidR="00925C92">
      <w:pPr>
        <w:pStyle w:val="ListParagraph"/>
        <w:numPr>
          <w:ilvl w:val="0"/>
          <w:numId w:val="3"/>
        </w:numPr>
        <w:spacing w:after="160"/>
      </w:pPr>
      <w:r>
        <w:t>Publish a national evaluation framework for AI and EdTech products used in schools, covering effectiveness, data protection and safeguarding, so that individual schools and trusts do not carry the assessment burden alone.</w:t>
      </w:r>
    </w:p>
    <w:p w:rsidR="00A55441" w:rsidP="00A55441">
      <w:pPr>
        <w:spacing w:after="160"/>
        <w:rPr>
          <w:i/>
          <w:iCs/>
        </w:rPr>
      </w:pPr>
    </w:p>
    <w:p w:rsidR="00A55441" w:rsidRPr="00A55441" w:rsidP="00A55441">
      <w:pPr>
        <w:spacing w:after="160"/>
        <w:rPr>
          <w:i/>
          <w:iCs/>
        </w:rPr>
      </w:pPr>
      <w:r w:rsidRPr="00A55441">
        <w:rPr>
          <w:i/>
          <w:iCs/>
        </w:rPr>
        <w:t>August 2026</w:t>
      </w:r>
    </w:p>
    <w:sectPr>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1">
    <w:nsid w:val="00000002"/>
    <w:multiLevelType w:val="hybridMultilevel"/>
    <w:tmpl w:val="00000000"/>
    <w:lvl w:ilvl="0">
      <w:start w:val="1"/>
      <w:numFmt w:val="bullet"/>
      <w:lvlText w:val="•"/>
      <w:lvlJc w:val="left"/>
      <w:pPr>
        <w:ind w:left="720" w:hanging="360"/>
      </w:p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00000003"/>
    <w:multiLevelType w:val="hybridMultilevel"/>
    <w:tmpl w:val="00000000"/>
    <w:lvl w:ilvl="0">
      <w:start w:val="1"/>
      <w:numFmt w:val="decimal"/>
      <w:lvlText w:val="%1."/>
      <w:lvlJc w:val="left"/>
      <w:pPr>
        <w:ind w:left="460" w:hanging="460"/>
      </w:p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Heading11">
    <w:name w:val="Heading 11"/>
    <w:qFormat/>
    <w:rPr>
      <w:color w:val="2E74B5"/>
      <w:sz w:val="32"/>
      <w:szCs w:val="32"/>
    </w:rPr>
  </w:style>
  <w:style w:type="paragraph" w:customStyle="1" w:styleId="Heading21">
    <w:name w:val="Heading 21"/>
    <w:qFormat/>
    <w:rPr>
      <w:color w:val="2E74B5"/>
      <w:sz w:val="26"/>
      <w:szCs w:val="26"/>
    </w:rPr>
  </w:style>
  <w:style w:type="paragraph" w:customStyle="1" w:styleId="Heading31">
    <w:name w:val="Heading 31"/>
    <w:qFormat/>
    <w:rPr>
      <w:color w:val="1F4D78"/>
      <w:sz w:val="24"/>
      <w:szCs w:val="24"/>
    </w:rPr>
  </w:style>
  <w:style w:type="paragraph" w:customStyle="1" w:styleId="Heading41">
    <w:name w:val="Heading 41"/>
    <w:qFormat/>
    <w:rPr>
      <w:i/>
      <w:iCs/>
      <w:color w:val="2E74B5"/>
    </w:rPr>
  </w:style>
  <w:style w:type="paragraph" w:customStyle="1" w:styleId="Heading51">
    <w:name w:val="Heading 51"/>
    <w:qFormat/>
    <w:rPr>
      <w:color w:val="2E74B5"/>
    </w:rPr>
  </w:style>
  <w:style w:type="paragraph" w:customStyle="1" w:styleId="Heading61">
    <w:name w:val="Heading 61"/>
    <w:qFormat/>
    <w:rPr>
      <w:color w:val="1F4D78"/>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ECA0008</dc:title>
  <cp:revision>0</cp:revision>
</cp:coreProperties>
</file>