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2691D" w:rsidRPr="00C261CE" w:rsidP="0002691D">
      <w:pPr>
        <w:spacing w:after="120"/>
        <w:rPr>
          <w:rFonts w:ascii="Verdana" w:hAnsi="Verdana" w:cs="Arial"/>
          <w:b/>
          <w:bCs/>
          <w:sz w:val="28"/>
          <w:szCs w:val="28"/>
          <w:lang w:val="en-US"/>
        </w:rPr>
      </w:pPr>
      <w:r>
        <w:rPr>
          <w:rFonts w:ascii="Verdana" w:hAnsi="Verdana" w:cs="Arial"/>
          <w:b/>
          <w:bCs/>
          <w:sz w:val="28"/>
          <w:szCs w:val="28"/>
          <w:lang w:val="en-US"/>
        </w:rPr>
        <w:t>C</w:t>
      </w:r>
      <w:r w:rsidRPr="0002691D">
        <w:rPr>
          <w:rFonts w:ascii="Verdana" w:hAnsi="Verdana" w:cs="Arial"/>
          <w:b/>
          <w:bCs/>
          <w:sz w:val="28"/>
          <w:szCs w:val="28"/>
          <w:lang w:val="en-US"/>
        </w:rPr>
        <w:t>itizens Advice Stockton</w:t>
      </w:r>
      <w:r w:rsidR="00167792">
        <w:rPr>
          <w:rFonts w:ascii="Verdana" w:hAnsi="Verdana" w:cs="Arial"/>
          <w:b/>
          <w:bCs/>
          <w:sz w:val="28"/>
          <w:szCs w:val="28"/>
          <w:lang w:val="en-US"/>
        </w:rPr>
        <w:t xml:space="preserve"> </w:t>
      </w:r>
      <w:r w:rsidRPr="00C261CE">
        <w:rPr>
          <w:rFonts w:ascii="Verdana" w:hAnsi="Verdana"/>
          <w:b/>
          <w:bCs/>
          <w:sz w:val="28"/>
          <w:szCs w:val="28"/>
          <w:lang w:val="en-US"/>
        </w:rPr>
        <w:t>–</w:t>
      </w:r>
      <w:r>
        <w:rPr>
          <w:rFonts w:ascii="Verdana" w:hAnsi="Verdana" w:cs="Arial"/>
          <w:b/>
          <w:bCs/>
          <w:sz w:val="28"/>
          <w:szCs w:val="28"/>
          <w:lang w:val="en-US"/>
        </w:rPr>
        <w:t xml:space="preserve"> </w:t>
      </w:r>
      <w:r w:rsidRPr="00C261CE">
        <w:rPr>
          <w:rFonts w:ascii="Verdana" w:hAnsi="Verdana" w:cs="Arial"/>
          <w:b/>
          <w:bCs/>
          <w:sz w:val="28"/>
          <w:szCs w:val="28"/>
          <w:lang w:val="en-US"/>
        </w:rPr>
        <w:t>Written Evidence (NUM007</w:t>
      </w:r>
      <w:r>
        <w:rPr>
          <w:rFonts w:ascii="Verdana" w:hAnsi="Verdana" w:cs="Arial"/>
          <w:b/>
          <w:bCs/>
          <w:sz w:val="28"/>
          <w:szCs w:val="28"/>
          <w:lang w:val="en-US"/>
        </w:rPr>
        <w:t>2</w:t>
      </w:r>
      <w:r w:rsidRPr="00C261CE">
        <w:rPr>
          <w:rFonts w:ascii="Verdana" w:hAnsi="Verdana" w:cs="Arial"/>
          <w:b/>
          <w:bCs/>
          <w:sz w:val="28"/>
          <w:szCs w:val="28"/>
          <w:lang w:val="en-US"/>
        </w:rPr>
        <w:t>)</w:t>
      </w:r>
    </w:p>
    <w:p w:rsidR="00D10B0C" w:rsidP="00D51DBC">
      <w:pPr>
        <w:pStyle w:val="NoSpacing"/>
        <w:rPr>
          <w:rFonts w:ascii="Verdana" w:hAnsi="Verdana"/>
          <w:b/>
          <w:bCs/>
          <w:lang w:val="en-US"/>
        </w:rPr>
      </w:pPr>
    </w:p>
    <w:p w:rsidR="005D4972" w:rsidRPr="0002691D" w:rsidP="00D51DBC">
      <w:pPr>
        <w:pStyle w:val="NoSpacing"/>
        <w:rPr>
          <w:rFonts w:ascii="Verdana" w:hAnsi="Verdana"/>
          <w:b/>
          <w:bCs/>
          <w:lang w:val="en-US"/>
        </w:rPr>
      </w:pPr>
    </w:p>
    <w:p w:rsidR="00A6679D" w:rsidRPr="00D10B0C" w:rsidP="00D51DBC">
      <w:pPr>
        <w:pStyle w:val="NoSpacing"/>
        <w:rPr>
          <w:rFonts w:ascii="Verdana" w:hAnsi="Verdana"/>
          <w:b/>
          <w:bCs/>
        </w:rPr>
      </w:pPr>
      <w:r w:rsidRPr="00D10B0C">
        <w:rPr>
          <w:rFonts w:ascii="Verdana" w:hAnsi="Verdana"/>
          <w:b/>
          <w:bCs/>
        </w:rPr>
        <w:t xml:space="preserve">1. </w:t>
      </w:r>
      <w:r w:rsidRPr="00D10B0C" w:rsidR="62DF8BD5">
        <w:rPr>
          <w:rFonts w:ascii="Verdana" w:hAnsi="Verdana"/>
          <w:b/>
          <w:bCs/>
        </w:rPr>
        <w:t xml:space="preserve">To what extent is low numeracy a factor in the problems on which your clients are seeking advice? </w:t>
      </w:r>
    </w:p>
    <w:p w:rsidR="0024727D" w:rsidRPr="00D10B0C" w:rsidP="190E691C">
      <w:pPr>
        <w:rPr>
          <w:rFonts w:ascii="Verdana" w:hAnsi="Verdana"/>
          <w:b/>
          <w:bCs/>
        </w:rPr>
      </w:pPr>
      <w:r w:rsidRPr="00D10B0C">
        <w:rPr>
          <w:rFonts w:ascii="Verdana" w:hAnsi="Verdana"/>
          <w:b/>
          <w:bCs/>
        </w:rPr>
        <w:t xml:space="preserve">In what ways does it interact with the other factors that your clients face? </w:t>
      </w:r>
    </w:p>
    <w:p w:rsidR="004A2D9B" w:rsidRPr="00D10B0C" w:rsidP="190E691C">
      <w:pPr>
        <w:rPr>
          <w:rFonts w:ascii="Verdana" w:hAnsi="Verdana"/>
          <w:b/>
          <w:bCs/>
        </w:rPr>
      </w:pPr>
      <w:r w:rsidRPr="00D10B0C">
        <w:rPr>
          <w:rFonts w:ascii="Verdana" w:hAnsi="Verdana"/>
          <w:b/>
          <w:bCs/>
        </w:rPr>
        <w:t>Has this changed during the years you have been working in the advice sector?</w:t>
      </w:r>
    </w:p>
    <w:p w:rsidR="004A2D9B" w:rsidRPr="00D10B0C" w:rsidP="190E691C">
      <w:pPr>
        <w:rPr>
          <w:rFonts w:ascii="Verdana" w:hAnsi="Verdana"/>
          <w:color w:val="4EA72E" w:themeColor="accent6"/>
        </w:rPr>
      </w:pPr>
      <w:r w:rsidRPr="00D10B0C">
        <w:rPr>
          <w:rFonts w:ascii="Verdana" w:hAnsi="Verdana"/>
        </w:rPr>
        <w:t xml:space="preserve">Low numeracy is a significant and consistent underlying factor in the problems faced by clients at Stockton Citizens Advice, though it rarely presents as the primary issue. Instead, it sits beneath multiple presenting problems such as debt, benefits, and energy affordability. Our service supported over 65,000 enquiries in 2025–26 and recorded around 59,000 detailed advice issues, with the most common areas being benefits, debt, housing, and energy. These are all areas where understanding calculations, entitlements, or repayment structures is essential. </w:t>
      </w:r>
    </w:p>
    <w:p w:rsidR="40158442" w:rsidRPr="00D10B0C" w:rsidP="190E691C">
      <w:pPr>
        <w:spacing w:line="300" w:lineRule="auto"/>
        <w:rPr>
          <w:rFonts w:ascii="Verdana" w:hAnsi="Verdana" w:eastAsiaTheme="minorEastAsia"/>
        </w:rPr>
      </w:pPr>
      <w:r w:rsidRPr="00D10B0C">
        <w:rPr>
          <w:rFonts w:ascii="Verdana" w:hAnsi="Verdana" w:eastAsiaTheme="minorEastAsia"/>
        </w:rPr>
        <w:t>This is reinforced by findings from a client self-assessment survey undertaken last week for this evidence submission. During debt advice appointments 10 clients were surveyed,</w:t>
      </w:r>
      <w:r w:rsidRPr="00D10B0C" w:rsidR="4BA32246">
        <w:rPr>
          <w:rFonts w:ascii="Verdana" w:hAnsi="Verdana" w:eastAsiaTheme="minorEastAsia"/>
        </w:rPr>
        <w:t xml:space="preserve"> with the following questions asked:</w:t>
      </w:r>
    </w:p>
    <w:p w:rsidR="4BA32246" w:rsidRPr="00D10B0C" w:rsidP="190E691C">
      <w:pPr>
        <w:spacing w:line="300" w:lineRule="auto"/>
        <w:rPr>
          <w:rFonts w:ascii="Verdana" w:hAnsi="Verdana" w:eastAsiaTheme="minorEastAsia"/>
        </w:rPr>
      </w:pPr>
      <w:r w:rsidRPr="00D10B0C">
        <w:rPr>
          <w:rFonts w:ascii="Verdana" w:hAnsi="Verdana" w:eastAsiaTheme="minorEastAsia"/>
        </w:rPr>
        <w:t>- On a scale of 0 – 10, how confident do you feel about your literacy skills?</w:t>
      </w:r>
    </w:p>
    <w:p w:rsidR="4BA32246" w:rsidRPr="00D10B0C" w:rsidP="190E691C">
      <w:pPr>
        <w:rPr>
          <w:rFonts w:ascii="Verdana" w:hAnsi="Verdana" w:eastAsiaTheme="minorEastAsia"/>
        </w:rPr>
      </w:pPr>
      <w:r w:rsidRPr="00D10B0C">
        <w:rPr>
          <w:rFonts w:ascii="Verdana" w:hAnsi="Verdana" w:eastAsiaTheme="minorEastAsia"/>
        </w:rPr>
        <w:t>- On a scale of 0 – 10, how confident do you feel about your numerical skills?</w:t>
      </w:r>
    </w:p>
    <w:p w:rsidR="4BA32246" w:rsidRPr="00D10B0C" w:rsidP="190E691C">
      <w:pPr>
        <w:spacing w:line="300" w:lineRule="auto"/>
        <w:rPr>
          <w:rFonts w:ascii="Verdana" w:hAnsi="Verdana" w:eastAsiaTheme="minorEastAsia"/>
        </w:rPr>
      </w:pPr>
      <w:r w:rsidRPr="00D10B0C">
        <w:rPr>
          <w:rFonts w:ascii="Verdana" w:hAnsi="Verdana" w:eastAsiaTheme="minorEastAsia"/>
        </w:rPr>
        <w:t>- On a scale of 0 – 10, how confident do you feel about your budgeting skills?</w:t>
      </w:r>
    </w:p>
    <w:p w:rsidR="2F9E80A3" w:rsidRPr="00D10B0C" w:rsidP="190E691C">
      <w:pPr>
        <w:spacing w:line="300" w:lineRule="auto"/>
        <w:rPr>
          <w:rFonts w:ascii="Verdana" w:hAnsi="Verdana" w:eastAsiaTheme="minorEastAsia"/>
        </w:rPr>
      </w:pPr>
      <w:r w:rsidRPr="00D10B0C">
        <w:rPr>
          <w:rFonts w:ascii="Verdana" w:hAnsi="Verdana" w:eastAsiaTheme="minorEastAsia"/>
        </w:rPr>
        <w:t>Over 70% of our c</w:t>
      </w:r>
      <w:r w:rsidRPr="00D10B0C" w:rsidR="1D2667CC">
        <w:rPr>
          <w:rFonts w:ascii="Verdana" w:hAnsi="Verdana" w:eastAsiaTheme="minorEastAsia"/>
        </w:rPr>
        <w:t>lients</w:t>
      </w:r>
      <w:r w:rsidRPr="00D10B0C" w:rsidR="40158442">
        <w:rPr>
          <w:rFonts w:ascii="Verdana" w:hAnsi="Verdana" w:eastAsiaTheme="minorEastAsia"/>
        </w:rPr>
        <w:t xml:space="preserve"> reported low confidence across core foundational skills, including numeracy</w:t>
      </w:r>
      <w:r w:rsidRPr="00D10B0C" w:rsidR="14410C22">
        <w:rPr>
          <w:rFonts w:ascii="Verdana" w:hAnsi="Verdana" w:eastAsiaTheme="minorEastAsia"/>
        </w:rPr>
        <w:t xml:space="preserve"> </w:t>
      </w:r>
      <w:r w:rsidRPr="00D10B0C" w:rsidR="40158442">
        <w:rPr>
          <w:rFonts w:ascii="Verdana" w:hAnsi="Verdana" w:eastAsiaTheme="minorEastAsia"/>
        </w:rPr>
        <w:t xml:space="preserve">and budgeting. On a scale of 1-10, </w:t>
      </w:r>
      <w:r w:rsidRPr="00D10B0C" w:rsidR="7FFFA1DE">
        <w:rPr>
          <w:rFonts w:ascii="Verdana" w:hAnsi="Verdana" w:eastAsiaTheme="minorEastAsia"/>
        </w:rPr>
        <w:t xml:space="preserve">a majority of clients </w:t>
      </w:r>
      <w:r w:rsidRPr="00D10B0C" w:rsidR="40158442">
        <w:rPr>
          <w:rFonts w:ascii="Verdana" w:hAnsi="Verdana" w:eastAsiaTheme="minorEastAsia"/>
        </w:rPr>
        <w:t>fell within the 0</w:t>
      </w:r>
      <w:r w:rsidRPr="00D10B0C" w:rsidR="218C2F15">
        <w:rPr>
          <w:rFonts w:ascii="Verdana" w:hAnsi="Verdana" w:eastAsiaTheme="minorEastAsia"/>
        </w:rPr>
        <w:t xml:space="preserve"> - 5</w:t>
      </w:r>
      <w:r w:rsidRPr="00D10B0C" w:rsidR="40158442">
        <w:rPr>
          <w:rFonts w:ascii="Verdana" w:hAnsi="Verdana" w:eastAsiaTheme="minorEastAsia"/>
        </w:rPr>
        <w:t xml:space="preserve"> range</w:t>
      </w:r>
      <w:r w:rsidRPr="00D10B0C" w:rsidR="40C79A5F">
        <w:rPr>
          <w:rFonts w:ascii="Verdana" w:hAnsi="Verdana" w:eastAsiaTheme="minorEastAsia"/>
        </w:rPr>
        <w:t xml:space="preserve"> across all three questions</w:t>
      </w:r>
      <w:r w:rsidRPr="00D10B0C" w:rsidR="40158442">
        <w:rPr>
          <w:rFonts w:ascii="Verdana" w:hAnsi="Verdana" w:eastAsiaTheme="minorEastAsia"/>
        </w:rPr>
        <w:t>. Budgeting confidence was consistently the lowest, underscoring the practical challenges clients face in managing day-to-day finances.</w:t>
      </w:r>
    </w:p>
    <w:p w:rsidR="004A2D9B" w:rsidRPr="00D10B0C" w:rsidP="190E691C">
      <w:pPr>
        <w:rPr>
          <w:rFonts w:ascii="Verdana" w:hAnsi="Verdana"/>
          <w:color w:val="4EA72E" w:themeColor="accent6"/>
        </w:rPr>
      </w:pPr>
      <w:r w:rsidRPr="00D10B0C">
        <w:rPr>
          <w:rFonts w:ascii="Verdana" w:hAnsi="Verdana"/>
        </w:rPr>
        <w:t>Many clients struggle to interpret key financial information such as benefit awards, deductions, debt balances, interest rates,</w:t>
      </w:r>
      <w:r w:rsidRPr="00D10B0C" w:rsidR="36845CEE">
        <w:rPr>
          <w:rFonts w:ascii="Verdana" w:hAnsi="Verdana"/>
        </w:rPr>
        <w:t xml:space="preserve"> taxes</w:t>
      </w:r>
      <w:r w:rsidRPr="00D10B0C">
        <w:rPr>
          <w:rFonts w:ascii="Verdana" w:hAnsi="Verdana"/>
        </w:rPr>
        <w:t xml:space="preserve"> and utility </w:t>
      </w:r>
      <w:r w:rsidRPr="00D10B0C" w:rsidR="36845CEE">
        <w:rPr>
          <w:rFonts w:ascii="Verdana" w:hAnsi="Verdana"/>
        </w:rPr>
        <w:t>bills</w:t>
      </w:r>
      <w:r w:rsidRPr="00D10B0C">
        <w:rPr>
          <w:rFonts w:ascii="Verdana" w:hAnsi="Verdana"/>
        </w:rPr>
        <w:t xml:space="preserve">. For example, clients frequently miscalculate repayment affordability, leading to unsustainable arrangements and recurring debt. Similarly, </w:t>
      </w:r>
      <w:r w:rsidRPr="00D10B0C">
        <w:rPr>
          <w:rFonts w:ascii="Verdana" w:hAnsi="Verdana"/>
        </w:rPr>
        <w:t xml:space="preserve">confusion around benefit calculations, particularly Universal Credit deductions or </w:t>
      </w:r>
      <w:r w:rsidRPr="00D10B0C" w:rsidR="4504AFE3">
        <w:rPr>
          <w:rFonts w:ascii="Verdana" w:hAnsi="Verdana"/>
        </w:rPr>
        <w:t>differing</w:t>
      </w:r>
      <w:r w:rsidRPr="00D10B0C">
        <w:rPr>
          <w:rFonts w:ascii="Verdana" w:hAnsi="Verdana"/>
        </w:rPr>
        <w:t xml:space="preserve"> payments</w:t>
      </w:r>
      <w:r w:rsidRPr="00D10B0C" w:rsidR="4504AFE3">
        <w:rPr>
          <w:rFonts w:ascii="Verdana" w:hAnsi="Verdana"/>
        </w:rPr>
        <w:t xml:space="preserve"> when migrating from legacy benefits</w:t>
      </w:r>
      <w:r w:rsidRPr="00D10B0C">
        <w:rPr>
          <w:rFonts w:ascii="Verdana" w:hAnsi="Verdana"/>
        </w:rPr>
        <w:t>, can result in budgeting instability and increased arrears.</w:t>
      </w:r>
    </w:p>
    <w:p w:rsidR="004A2D9B" w:rsidRPr="00D10B0C" w:rsidP="190E691C">
      <w:pPr>
        <w:rPr>
          <w:rFonts w:ascii="Verdana" w:hAnsi="Verdana"/>
          <w:color w:val="4EA72E" w:themeColor="accent6"/>
        </w:rPr>
      </w:pPr>
      <w:r w:rsidRPr="00D10B0C">
        <w:rPr>
          <w:rFonts w:ascii="Verdana" w:hAnsi="Verdana"/>
        </w:rPr>
        <w:t>Low numeracy also interacts strongly with other vulnerabilities. A high proportion of our clients have additional disadvantage: 72% have a disability or long-term health condition, and over half are on very low incomes. This means numeracy challenges are often compounded by mental ill health, cognitive load, stress, or digital exclusion. In practice, this creates a cycle where clients cannot fully engage with systems designed around numerical reasoning</w:t>
      </w:r>
      <w:r w:rsidRPr="00D10B0C" w:rsidR="1FA8B257">
        <w:rPr>
          <w:rFonts w:ascii="Verdana" w:hAnsi="Verdana"/>
        </w:rPr>
        <w:t xml:space="preserve">, </w:t>
      </w:r>
      <w:r w:rsidRPr="00D10B0C">
        <w:rPr>
          <w:rFonts w:ascii="Verdana" w:hAnsi="Verdana"/>
        </w:rPr>
        <w:t xml:space="preserve">such as online budgeting tools, repayment plans, or </w:t>
      </w:r>
      <w:r w:rsidRPr="00D10B0C" w:rsidR="1FA8B257">
        <w:rPr>
          <w:rFonts w:ascii="Verdana" w:hAnsi="Verdana"/>
        </w:rPr>
        <w:t xml:space="preserve">abstract </w:t>
      </w:r>
      <w:r w:rsidRPr="00D10B0C">
        <w:rPr>
          <w:rFonts w:ascii="Verdana" w:hAnsi="Verdana"/>
        </w:rPr>
        <w:t xml:space="preserve">financial assessments. </w:t>
      </w:r>
    </w:p>
    <w:p w:rsidR="004A2D9B" w:rsidRPr="00D10B0C" w:rsidP="190E691C">
      <w:pPr>
        <w:rPr>
          <w:rFonts w:ascii="Verdana" w:hAnsi="Verdana"/>
          <w:color w:val="4EA72E" w:themeColor="accent6"/>
        </w:rPr>
      </w:pPr>
      <w:r w:rsidRPr="00D10B0C">
        <w:rPr>
          <w:rFonts w:ascii="Verdana" w:hAnsi="Verdana"/>
        </w:rPr>
        <w:t xml:space="preserve">We also observe that numeracy challenges contribute to delayed help-seeking behaviour. Clients often present later in crisis because they have struggled to track income versus expenditure or recognise early warning signs such as cumulative arrears or escalating interest. Many clients approach us only once problems have become urgent, often with multiple overlapping issues, averaging four to five problems per client. </w:t>
      </w:r>
    </w:p>
    <w:p w:rsidR="004A2D9B" w:rsidRPr="00D10B0C" w:rsidP="190E691C">
      <w:pPr>
        <w:rPr>
          <w:rFonts w:ascii="Verdana" w:hAnsi="Verdana"/>
          <w:color w:val="4EA72E" w:themeColor="accent6"/>
        </w:rPr>
      </w:pPr>
      <w:r w:rsidRPr="00D10B0C">
        <w:rPr>
          <w:rFonts w:ascii="Verdana" w:hAnsi="Verdana"/>
        </w:rPr>
        <w:t>Over time, this issue has become more pronounced. Increasing complexity in essential services</w:t>
      </w:r>
      <w:r w:rsidRPr="00D10B0C" w:rsidR="72A5F207">
        <w:rPr>
          <w:rFonts w:ascii="Verdana" w:hAnsi="Verdana"/>
        </w:rPr>
        <w:t xml:space="preserve">; </w:t>
      </w:r>
      <w:r w:rsidRPr="00D10B0C">
        <w:rPr>
          <w:rFonts w:ascii="Verdana" w:hAnsi="Verdana"/>
        </w:rPr>
        <w:t xml:space="preserve">such as energy </w:t>
      </w:r>
      <w:r w:rsidRPr="00D10B0C" w:rsidR="72A5F207">
        <w:rPr>
          <w:rFonts w:ascii="Verdana" w:hAnsi="Verdana"/>
        </w:rPr>
        <w:t>bills</w:t>
      </w:r>
      <w:r w:rsidRPr="00D10B0C">
        <w:rPr>
          <w:rFonts w:ascii="Verdana" w:hAnsi="Verdana"/>
        </w:rPr>
        <w:t xml:space="preserve">, welfare systems, and </w:t>
      </w:r>
      <w:r w:rsidRPr="00D10B0C" w:rsidR="72A5F207">
        <w:rPr>
          <w:rFonts w:ascii="Verdana" w:hAnsi="Verdana"/>
        </w:rPr>
        <w:t xml:space="preserve">the availability of </w:t>
      </w:r>
      <w:r w:rsidRPr="00D10B0C">
        <w:rPr>
          <w:rFonts w:ascii="Verdana" w:hAnsi="Verdana"/>
        </w:rPr>
        <w:t>credit products</w:t>
      </w:r>
      <w:r w:rsidRPr="00D10B0C" w:rsidR="72A5F207">
        <w:rPr>
          <w:rFonts w:ascii="Verdana" w:hAnsi="Verdana"/>
        </w:rPr>
        <w:t xml:space="preserve">, </w:t>
      </w:r>
      <w:r w:rsidRPr="00D10B0C">
        <w:rPr>
          <w:rFonts w:ascii="Verdana" w:hAnsi="Verdana"/>
        </w:rPr>
        <w:t>has increased the numerical demands placed on individuals. Rising living costs have also reduced financial resilience, meaning even small miscalculations can quickly escalate into crisis.</w:t>
      </w:r>
    </w:p>
    <w:p w:rsidR="00F032F5" w:rsidRPr="00D10B0C" w:rsidP="190E691C">
      <w:pPr>
        <w:rPr>
          <w:rFonts w:ascii="Verdana" w:hAnsi="Verdana"/>
          <w:color w:val="4EA72E" w:themeColor="accent6"/>
        </w:rPr>
      </w:pPr>
      <w:r w:rsidRPr="00D10B0C">
        <w:rPr>
          <w:rFonts w:ascii="Verdana" w:hAnsi="Verdana"/>
        </w:rPr>
        <w:t>Overall, low numeracy is not an isolated barrier but a persistent and embedded factor that both contributes to and exacerbates financial difficulty. It significantly affects clients’ ability to manage money, navigate systems, and make informed decisions, particularly when combined with wider socio-economic disadvantage.</w:t>
      </w:r>
    </w:p>
    <w:p w:rsidR="000F0AA1"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000F0AA1" w:rsidRPr="00D10B0C" w:rsidP="190E691C">
      <w:pPr>
        <w:rPr>
          <w:rFonts w:ascii="Verdana" w:hAnsi="Verdana"/>
          <w:b/>
          <w:bCs/>
        </w:rPr>
      </w:pPr>
      <w:r w:rsidRPr="00D10B0C">
        <w:rPr>
          <w:rFonts w:ascii="Verdana" w:hAnsi="Verdana"/>
          <w:b/>
          <w:bCs/>
        </w:rPr>
        <w:t xml:space="preserve">2. </w:t>
      </w:r>
      <w:r w:rsidRPr="00D10B0C" w:rsidR="5EF13308">
        <w:rPr>
          <w:rFonts w:ascii="Verdana" w:hAnsi="Verdana"/>
          <w:b/>
          <w:bCs/>
        </w:rPr>
        <w:t xml:space="preserve">What impact do low numeracy skills have on the way you offer and communicate advice, support and information to those seeking information or in financial difficulty? </w:t>
      </w:r>
    </w:p>
    <w:p w:rsidR="000F0AA1" w:rsidRPr="00D10B0C" w:rsidP="190E691C">
      <w:pPr>
        <w:rPr>
          <w:rFonts w:ascii="Verdana" w:hAnsi="Verdana"/>
          <w:b/>
          <w:bCs/>
        </w:rPr>
      </w:pPr>
      <w:r w:rsidRPr="00D10B0C">
        <w:rPr>
          <w:rFonts w:ascii="Verdana" w:hAnsi="Verdana"/>
          <w:b/>
          <w:bCs/>
        </w:rPr>
        <w:t>Can you describe how you adapt that advice to different clients?</w:t>
      </w:r>
    </w:p>
    <w:p w:rsidR="004A2D9B" w:rsidRPr="00D10B0C" w:rsidP="190E691C">
      <w:pPr>
        <w:rPr>
          <w:rFonts w:ascii="Verdana" w:hAnsi="Verdana"/>
        </w:rPr>
      </w:pPr>
      <w:r w:rsidRPr="00D10B0C">
        <w:rPr>
          <w:rFonts w:ascii="Verdana" w:hAnsi="Verdana"/>
        </w:rPr>
        <w:t>Low numeracy significantly shapes how we design and deliver advice at Stockton Citizens Advice. Our approach is built on the recognition that many clients struggle to understand complex financial or numerical information, particularly when they are already under stress or in crisis.</w:t>
      </w:r>
    </w:p>
    <w:p w:rsidR="004A2D9B" w:rsidRPr="00D10B0C" w:rsidP="190E691C">
      <w:pPr>
        <w:rPr>
          <w:rFonts w:ascii="Verdana" w:hAnsi="Verdana"/>
        </w:rPr>
      </w:pPr>
      <w:r w:rsidRPr="00D10B0C">
        <w:rPr>
          <w:rFonts w:ascii="Verdana" w:hAnsi="Verdana"/>
        </w:rPr>
        <w:t>In practice, this means that advisers rarely present information in abstract or technical terms. Instead, we adapt communication to make it accessible, practical, and directly relevant to the client’s circumstances. For example, when discussing debt repayment options, advisers will break down figures into clear, manageable amounts</w:t>
      </w:r>
      <w:r w:rsidRPr="00D10B0C" w:rsidR="08195696">
        <w:rPr>
          <w:rFonts w:ascii="Verdana" w:hAnsi="Verdana"/>
        </w:rPr>
        <w:t xml:space="preserve">, </w:t>
      </w:r>
      <w:r w:rsidRPr="00D10B0C">
        <w:rPr>
          <w:rFonts w:ascii="Verdana" w:hAnsi="Verdana"/>
        </w:rPr>
        <w:t xml:space="preserve">often translating monthly totals into weekly or daily budgets. </w:t>
      </w:r>
      <w:r w:rsidRPr="00D10B0C" w:rsidR="79D1FB5D">
        <w:rPr>
          <w:rFonts w:ascii="Verdana" w:hAnsi="Verdana"/>
        </w:rPr>
        <w:t>This approach helps clients connect financial information to their everyday lives. Our budgeting tool provides a clear, itemised breakdown of their expenses, enabling them to better understand where their money is being spent and identify opportunities to manage their finances more effectively.</w:t>
      </w:r>
    </w:p>
    <w:p w:rsidR="004A2D9B" w:rsidRPr="00D10B0C" w:rsidP="190E691C">
      <w:pPr>
        <w:rPr>
          <w:rFonts w:ascii="Verdana" w:hAnsi="Verdana"/>
        </w:rPr>
      </w:pPr>
      <w:r w:rsidRPr="00D10B0C">
        <w:rPr>
          <w:rFonts w:ascii="Verdana" w:hAnsi="Verdana"/>
        </w:rPr>
        <w:t>We also prioritise verbal explanation supported by simple written summaries. Rather than relying on standard financial documents, we interpret information for clients</w:t>
      </w:r>
      <w:r w:rsidRPr="00D10B0C" w:rsidR="6A0BD10D">
        <w:rPr>
          <w:rFonts w:ascii="Verdana" w:hAnsi="Verdana"/>
        </w:rPr>
        <w:t xml:space="preserve">, </w:t>
      </w:r>
      <w:r w:rsidRPr="00D10B0C">
        <w:rPr>
          <w:rFonts w:ascii="Verdana" w:hAnsi="Verdana"/>
        </w:rPr>
        <w:t xml:space="preserve">for example, explaining benefit entitlements, debt balances, or energy costs in plain language. This is particularly important given that many clients have multiple pressures, </w:t>
      </w:r>
      <w:r w:rsidRPr="00D10B0C">
        <w:rPr>
          <w:rFonts w:ascii="Verdana" w:hAnsi="Verdana"/>
        </w:rPr>
        <w:t>including health conditions or low income, which can limit their capacity to process complex information.</w:t>
      </w:r>
    </w:p>
    <w:p w:rsidR="004A2D9B" w:rsidRPr="00D10B0C" w:rsidP="190E691C">
      <w:pPr>
        <w:rPr>
          <w:rFonts w:ascii="Verdana" w:hAnsi="Verdana"/>
        </w:rPr>
      </w:pPr>
      <w:r w:rsidRPr="00D10B0C">
        <w:rPr>
          <w:rFonts w:ascii="Verdana" w:hAnsi="Verdana"/>
        </w:rPr>
        <w:t xml:space="preserve">Our service increasingly uses visual and practical tools during advice sessions. Budgeting conversations are often structured step-by-step, with advisers working collaboratively with clients to map income and expenditure. </w:t>
      </w:r>
      <w:r w:rsidRPr="00D10B0C" w:rsidR="233B2028">
        <w:rPr>
          <w:rFonts w:ascii="Verdana" w:hAnsi="Verdana"/>
        </w:rPr>
        <w:t>It is not</w:t>
      </w:r>
      <w:r w:rsidRPr="00D10B0C">
        <w:rPr>
          <w:rFonts w:ascii="Verdana" w:hAnsi="Verdana"/>
        </w:rPr>
        <w:t xml:space="preserve"> about </w:t>
      </w:r>
      <w:r w:rsidRPr="00D10B0C" w:rsidR="37F2DEB2">
        <w:rPr>
          <w:rFonts w:ascii="Verdana" w:hAnsi="Verdana"/>
        </w:rPr>
        <w:t xml:space="preserve">just </w:t>
      </w:r>
      <w:r w:rsidRPr="00D10B0C">
        <w:rPr>
          <w:rFonts w:ascii="Verdana" w:hAnsi="Verdana"/>
        </w:rPr>
        <w:t xml:space="preserve">providing information, but </w:t>
      </w:r>
      <w:r w:rsidRPr="00D10B0C" w:rsidR="78A58551">
        <w:rPr>
          <w:rFonts w:ascii="Verdana" w:hAnsi="Verdana"/>
        </w:rPr>
        <w:t xml:space="preserve">also about </w:t>
      </w:r>
      <w:r w:rsidRPr="00D10B0C">
        <w:rPr>
          <w:rFonts w:ascii="Verdana" w:hAnsi="Verdana"/>
        </w:rPr>
        <w:t>building understanding gradually. Clients are encouraged to see how small changes</w:t>
      </w:r>
      <w:r w:rsidRPr="00D10B0C" w:rsidR="3FFA604E">
        <w:rPr>
          <w:rFonts w:ascii="Verdana" w:hAnsi="Verdana"/>
        </w:rPr>
        <w:t xml:space="preserve">, </w:t>
      </w:r>
      <w:r w:rsidRPr="00D10B0C">
        <w:rPr>
          <w:rFonts w:ascii="Verdana" w:hAnsi="Verdana"/>
        </w:rPr>
        <w:t>such as adjusting direct debits or accessing additional entitlements</w:t>
      </w:r>
      <w:r w:rsidRPr="00D10B0C" w:rsidR="3FFA604E">
        <w:rPr>
          <w:rFonts w:ascii="Verdana" w:hAnsi="Verdana"/>
        </w:rPr>
        <w:t xml:space="preserve">, </w:t>
      </w:r>
      <w:r w:rsidRPr="00D10B0C">
        <w:rPr>
          <w:rFonts w:ascii="Verdana" w:hAnsi="Verdana"/>
        </w:rPr>
        <w:t>affect their overall financial position.</w:t>
      </w:r>
    </w:p>
    <w:p w:rsidR="004A2D9B" w:rsidRPr="00D10B0C" w:rsidP="190E691C">
      <w:pPr>
        <w:rPr>
          <w:rFonts w:ascii="Verdana" w:hAnsi="Verdana"/>
        </w:rPr>
      </w:pPr>
      <w:r w:rsidRPr="00D10B0C">
        <w:rPr>
          <w:rFonts w:ascii="Verdana" w:hAnsi="Verdana"/>
        </w:rPr>
        <w:t xml:space="preserve">Adaptation also depends on the individual. For some clients, particularly those with long-term conditions or confidence barriers, advice is delivered over multiple interactions rather than </w:t>
      </w:r>
      <w:r w:rsidRPr="00D10B0C" w:rsidR="5240081B">
        <w:rPr>
          <w:rFonts w:ascii="Verdana" w:hAnsi="Verdana"/>
        </w:rPr>
        <w:t xml:space="preserve">a </w:t>
      </w:r>
      <w:r w:rsidRPr="00D10B0C">
        <w:rPr>
          <w:rFonts w:ascii="Verdana" w:hAnsi="Verdana"/>
        </w:rPr>
        <w:t xml:space="preserve">single session. This aligns with our holistic model, </w:t>
      </w:r>
      <w:r w:rsidRPr="00D10B0C" w:rsidR="32ED21BD">
        <w:rPr>
          <w:rFonts w:ascii="Verdana" w:hAnsi="Verdana"/>
        </w:rPr>
        <w:t xml:space="preserve">where </w:t>
      </w:r>
      <w:r w:rsidRPr="00D10B0C">
        <w:rPr>
          <w:rFonts w:ascii="Verdana" w:hAnsi="Verdana"/>
        </w:rPr>
        <w:t xml:space="preserve">we support clients until they are more stable and confident, </w:t>
      </w:r>
      <w:r w:rsidRPr="00D10B0C" w:rsidR="32ED21BD">
        <w:rPr>
          <w:rFonts w:ascii="Verdana" w:hAnsi="Verdana"/>
        </w:rPr>
        <w:t>instead of</w:t>
      </w:r>
      <w:r w:rsidRPr="00D10B0C">
        <w:rPr>
          <w:rFonts w:ascii="Verdana" w:hAnsi="Verdana"/>
        </w:rPr>
        <w:t xml:space="preserve"> providing one-off intervention. </w:t>
      </w:r>
    </w:p>
    <w:p w:rsidR="004A2D9B" w:rsidRPr="00D10B0C" w:rsidP="190E691C">
      <w:pPr>
        <w:rPr>
          <w:rFonts w:ascii="Verdana" w:hAnsi="Verdana"/>
        </w:rPr>
      </w:pPr>
      <w:r w:rsidRPr="00D10B0C">
        <w:rPr>
          <w:rFonts w:ascii="Verdana" w:hAnsi="Verdana"/>
        </w:rPr>
        <w:t>Our</w:t>
      </w:r>
      <w:r w:rsidRPr="00D10B0C" w:rsidR="72B94375">
        <w:rPr>
          <w:rFonts w:ascii="Verdana" w:hAnsi="Verdana"/>
        </w:rPr>
        <w:t xml:space="preserve"> case study of Joanna</w:t>
      </w:r>
      <w:r w:rsidRPr="00D10B0C">
        <w:rPr>
          <w:rFonts w:ascii="Verdana" w:hAnsi="Verdana"/>
        </w:rPr>
        <w:t xml:space="preserve">, which we have attached, </w:t>
      </w:r>
      <w:r w:rsidRPr="00D10B0C" w:rsidR="72B94375">
        <w:rPr>
          <w:rFonts w:ascii="Verdana" w:hAnsi="Verdana"/>
        </w:rPr>
        <w:t xml:space="preserve">illustrates this approach. She was struggling with rising energy costs and avoiding heating due to affordability concerns. Through tailored support, we helped her secure additional income and provided practical, easy-to-understand energy advice that translated into real savings. This demonstrates how adapting communication and advice to individual understanding levels can improve outcomes. </w:t>
      </w:r>
    </w:p>
    <w:p w:rsidR="004A2D9B" w:rsidRPr="00D10B0C" w:rsidP="190E691C">
      <w:pPr>
        <w:rPr>
          <w:rFonts w:ascii="Verdana" w:hAnsi="Verdana"/>
        </w:rPr>
      </w:pPr>
      <w:r w:rsidRPr="00D10B0C">
        <w:rPr>
          <w:rFonts w:ascii="Verdana" w:hAnsi="Verdana"/>
        </w:rPr>
        <w:t>Ultimately, low numeracy requires us to go beyond simply giving advice. It requires translation, simplification, repetition, and reassurance. This approach is essential in helping people regain control</w:t>
      </w:r>
      <w:r w:rsidRPr="00D10B0C" w:rsidR="46651561">
        <w:rPr>
          <w:rFonts w:ascii="Verdana" w:hAnsi="Verdana"/>
        </w:rPr>
        <w:t xml:space="preserve"> so that they can </w:t>
      </w:r>
      <w:r w:rsidRPr="00D10B0C">
        <w:rPr>
          <w:rFonts w:ascii="Verdana" w:hAnsi="Verdana"/>
        </w:rPr>
        <w:t xml:space="preserve">build </w:t>
      </w:r>
      <w:r w:rsidRPr="00D10B0C" w:rsidR="1E2F436D">
        <w:rPr>
          <w:rFonts w:ascii="Verdana" w:hAnsi="Verdana"/>
        </w:rPr>
        <w:t>a stronger financial future.</w:t>
      </w:r>
    </w:p>
    <w:p w:rsidR="004A4F9D"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004A4F9D" w:rsidRPr="00D10B0C" w:rsidP="190E691C">
      <w:pPr>
        <w:rPr>
          <w:rFonts w:ascii="Verdana" w:hAnsi="Verdana"/>
          <w:b/>
          <w:bCs/>
        </w:rPr>
      </w:pPr>
      <w:r w:rsidRPr="00D10B0C">
        <w:rPr>
          <w:rFonts w:ascii="Verdana" w:hAnsi="Verdana"/>
          <w:b/>
          <w:bCs/>
        </w:rPr>
        <w:t xml:space="preserve">3. </w:t>
      </w:r>
      <w:r w:rsidRPr="00D10B0C" w:rsidR="6D5BE7EE">
        <w:rPr>
          <w:rFonts w:ascii="Verdana" w:hAnsi="Verdana"/>
          <w:b/>
          <w:bCs/>
        </w:rPr>
        <w:t xml:space="preserve">What are the key barriers to people gaining financial literacy and improving their financial wellbeing? </w:t>
      </w:r>
    </w:p>
    <w:p w:rsidR="004A2D9B" w:rsidRPr="00D10B0C" w:rsidP="190E691C">
      <w:pPr>
        <w:rPr>
          <w:rFonts w:ascii="Verdana" w:hAnsi="Verdana"/>
          <w:b/>
          <w:bCs/>
        </w:rPr>
      </w:pPr>
      <w:r w:rsidRPr="00D10B0C">
        <w:rPr>
          <w:rFonts w:ascii="Verdana" w:hAnsi="Verdana"/>
          <w:b/>
          <w:bCs/>
        </w:rPr>
        <w:t>What support in terms of maths, numeracy or financial education, might have helped people avoid the problem that they face?</w:t>
      </w:r>
    </w:p>
    <w:p w:rsidR="004A2D9B" w:rsidRPr="00D10B0C" w:rsidP="190E691C">
      <w:pPr>
        <w:rPr>
          <w:rFonts w:ascii="Verdana" w:hAnsi="Verdana"/>
        </w:rPr>
      </w:pPr>
      <w:r w:rsidRPr="00D10B0C">
        <w:rPr>
          <w:rFonts w:ascii="Verdana" w:hAnsi="Verdana"/>
        </w:rPr>
        <w:t>There are a number of systemic and individual barriers that prevent people from gaining financial literacy and improving their financial wellbeing, many of which are consistently present within the client group supported by Stockton Citizens Advice.</w:t>
      </w:r>
    </w:p>
    <w:p w:rsidR="004A2D9B" w:rsidRPr="00D10B0C" w:rsidP="190E691C">
      <w:pPr>
        <w:rPr>
          <w:rFonts w:ascii="Verdana" w:hAnsi="Verdana"/>
        </w:rPr>
      </w:pPr>
      <w:r w:rsidRPr="00D10B0C">
        <w:rPr>
          <w:rFonts w:ascii="Verdana" w:hAnsi="Verdana"/>
        </w:rPr>
        <w:t xml:space="preserve">Firstly, poverty and low income are the most significant barriers. Over half of our clients live on very low incomes (under £1,300 per month in 2025–26), meaning that their financial decisions are constrained by necessity rather than informed choice. In these circumstances, financial literacy becomes secondary to immediate survival. Clients often describe prioritising essential costs such as food, rent, and energy, leaving little opportunity to develop longer-term planning skills. </w:t>
      </w:r>
    </w:p>
    <w:p w:rsidR="004A2D9B" w:rsidRPr="00D10B0C" w:rsidP="190E691C">
      <w:pPr>
        <w:rPr>
          <w:rFonts w:ascii="Verdana" w:hAnsi="Verdana"/>
        </w:rPr>
      </w:pPr>
      <w:r w:rsidRPr="00D10B0C">
        <w:rPr>
          <w:rFonts w:ascii="Verdana" w:hAnsi="Verdana"/>
        </w:rPr>
        <w:t xml:space="preserve">Secondly, complexity within financial systems acts as a major barrier. Welfare benefits, energy </w:t>
      </w:r>
      <w:r w:rsidRPr="00D10B0C" w:rsidR="060388C0">
        <w:rPr>
          <w:rFonts w:ascii="Verdana" w:hAnsi="Verdana"/>
        </w:rPr>
        <w:t>bills</w:t>
      </w:r>
      <w:r w:rsidRPr="00D10B0C">
        <w:rPr>
          <w:rFonts w:ascii="Verdana" w:hAnsi="Verdana"/>
        </w:rPr>
        <w:t xml:space="preserve">, and credit agreements are increasingly difficult to understand, even for individuals with strong numeracy skills. For clients with low numeracy or limited confidence, this complexity can exclude them from engaging effectively with systems that are essential. </w:t>
      </w:r>
      <w:r w:rsidRPr="00D10B0C">
        <w:rPr>
          <w:rFonts w:ascii="Verdana" w:hAnsi="Verdana"/>
        </w:rPr>
        <w:t>As a result, many people are unable to identify entitlements or recognise risks within financial products.</w:t>
      </w:r>
    </w:p>
    <w:p w:rsidR="004A2D9B" w:rsidRPr="00D10B0C" w:rsidP="190E691C">
      <w:pPr>
        <w:rPr>
          <w:rFonts w:ascii="Verdana" w:hAnsi="Verdana"/>
        </w:rPr>
      </w:pPr>
      <w:r w:rsidRPr="00D10B0C">
        <w:rPr>
          <w:rFonts w:ascii="Verdana" w:hAnsi="Verdana"/>
        </w:rPr>
        <w:t>Thirdly, there is a lack of accessible, practical financial education for adults. While financial education exists in some formal settings, it is rarely available at the point when individuals need it most</w:t>
      </w:r>
      <w:r w:rsidRPr="00D10B0C" w:rsidR="79F14C06">
        <w:rPr>
          <w:rFonts w:ascii="Verdana" w:hAnsi="Verdana"/>
        </w:rPr>
        <w:t xml:space="preserve"> </w:t>
      </w:r>
      <w:r w:rsidRPr="00D10B0C">
        <w:rPr>
          <w:rFonts w:ascii="Verdana" w:hAnsi="Verdana"/>
        </w:rPr>
        <w:t>during periods of financial stress or transition. Our experience shows that many clients have not previously been exposed to basic budgeting skills, understanding interest rates, or identifying affordable repayment levels. Our survey reinforce</w:t>
      </w:r>
      <w:r w:rsidRPr="00D10B0C" w:rsidR="7C68D784">
        <w:rPr>
          <w:rFonts w:ascii="Verdana" w:hAnsi="Verdana"/>
        </w:rPr>
        <w:t>s</w:t>
      </w:r>
      <w:r w:rsidRPr="00D10B0C">
        <w:rPr>
          <w:rFonts w:ascii="Verdana" w:hAnsi="Verdana"/>
        </w:rPr>
        <w:t xml:space="preserve"> this, with early indications suggesting low self-reported confidence in financial and budgeting skills across our client base.</w:t>
      </w:r>
    </w:p>
    <w:p w:rsidR="004A2D9B" w:rsidRPr="00D10B0C" w:rsidP="190E691C">
      <w:pPr>
        <w:rPr>
          <w:rFonts w:ascii="Verdana" w:hAnsi="Verdana"/>
        </w:rPr>
      </w:pPr>
      <w:r w:rsidRPr="00D10B0C">
        <w:rPr>
          <w:rFonts w:ascii="Verdana" w:hAnsi="Verdana"/>
        </w:rPr>
        <w:t>Digital exclusion is another key barrier. Many financial tools, including budgeting apps and online comparison services, require both digital and numerical confidence. However, a significant proportion of our clients face challenges in accessing or using digital platforms, limiting their ability to benefit from these resources.</w:t>
      </w:r>
    </w:p>
    <w:p w:rsidR="004A2D9B" w:rsidRPr="00D10B0C" w:rsidP="190E691C">
      <w:pPr>
        <w:rPr>
          <w:rFonts w:ascii="Verdana" w:hAnsi="Verdana"/>
        </w:rPr>
      </w:pPr>
      <w:r w:rsidRPr="00D10B0C">
        <w:rPr>
          <w:rFonts w:ascii="Verdana" w:hAnsi="Verdana"/>
        </w:rPr>
        <w:t>Earlier intervention through accessible financial education could have prevented many of the problems clients now face. For example, practical support in understanding income variability, managing bills, and recognising early warning signs of debt could help individuals seek support earlier. Embedding financial education within community settings</w:t>
      </w:r>
      <w:r w:rsidRPr="00D10B0C" w:rsidR="4BA39462">
        <w:rPr>
          <w:rFonts w:ascii="Verdana" w:hAnsi="Verdana"/>
        </w:rPr>
        <w:t xml:space="preserve">, </w:t>
      </w:r>
      <w:r w:rsidRPr="00D10B0C">
        <w:rPr>
          <w:rFonts w:ascii="Verdana" w:hAnsi="Verdana"/>
        </w:rPr>
        <w:t>such as schools, workplaces, and local services</w:t>
      </w:r>
      <w:r w:rsidRPr="00D10B0C" w:rsidR="13852461">
        <w:rPr>
          <w:rFonts w:ascii="Verdana" w:hAnsi="Verdana"/>
        </w:rPr>
        <w:t xml:space="preserve"> </w:t>
      </w:r>
      <w:r w:rsidRPr="00D10B0C">
        <w:rPr>
          <w:rFonts w:ascii="Verdana" w:hAnsi="Verdana"/>
        </w:rPr>
        <w:t>would also improve reach.</w:t>
      </w:r>
    </w:p>
    <w:p w:rsidR="004A2D9B" w:rsidRPr="00D10B0C" w:rsidP="190E691C">
      <w:pPr>
        <w:rPr>
          <w:rFonts w:ascii="Verdana" w:hAnsi="Verdana"/>
        </w:rPr>
      </w:pPr>
      <w:r w:rsidRPr="00D10B0C">
        <w:rPr>
          <w:rFonts w:ascii="Verdana" w:hAnsi="Verdana"/>
        </w:rPr>
        <w:t>Ultimately, improving financial literacy requires a shift from reactive to preventative support. This includes simplifying financial systems, embedding education earlier in life, and ensuring that support is accessible, practical, and tailored to real</w:t>
      </w:r>
      <w:r w:rsidRPr="00D10B0C" w:rsidR="07BD3172">
        <w:rPr>
          <w:rFonts w:ascii="Verdana" w:hAnsi="Verdana"/>
        </w:rPr>
        <w:t xml:space="preserve"> </w:t>
      </w:r>
      <w:r w:rsidRPr="00D10B0C">
        <w:rPr>
          <w:rFonts w:ascii="Verdana" w:hAnsi="Verdana"/>
        </w:rPr>
        <w:t>life circumstances rather than theoretical knowledge.</w:t>
      </w:r>
    </w:p>
    <w:p w:rsidR="004A2D9B"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000332AD" w:rsidRPr="00D10B0C" w:rsidP="190E691C">
      <w:pPr>
        <w:rPr>
          <w:rFonts w:ascii="Verdana" w:hAnsi="Verdana"/>
          <w:b/>
          <w:bCs/>
        </w:rPr>
      </w:pPr>
      <w:r w:rsidRPr="00D10B0C">
        <w:rPr>
          <w:rFonts w:ascii="Verdana" w:hAnsi="Verdana"/>
          <w:b/>
          <w:bCs/>
        </w:rPr>
        <w:t xml:space="preserve">4. </w:t>
      </w:r>
      <w:r w:rsidRPr="00D10B0C" w:rsidR="17D5C798">
        <w:rPr>
          <w:rFonts w:ascii="Verdana" w:hAnsi="Verdana"/>
          <w:b/>
          <w:bCs/>
        </w:rPr>
        <w:t xml:space="preserve">Do you believe there is sufficient information available to help support people during financial difficulty or seeking information on budgeting and financial management? What are the most accessible and effective mechanisms? </w:t>
      </w:r>
    </w:p>
    <w:p w:rsidR="000332AD" w:rsidRPr="00D10B0C" w:rsidP="190E691C">
      <w:pPr>
        <w:rPr>
          <w:rFonts w:ascii="Verdana" w:hAnsi="Verdana"/>
          <w:b/>
          <w:bCs/>
        </w:rPr>
      </w:pPr>
      <w:r w:rsidRPr="00D10B0C">
        <w:rPr>
          <w:rFonts w:ascii="Verdana" w:hAnsi="Verdana"/>
          <w:b/>
          <w:bCs/>
        </w:rPr>
        <w:t xml:space="preserve">What is the role of online advice or tools such as budgeting and savings apps? </w:t>
      </w:r>
    </w:p>
    <w:p w:rsidR="004A2D9B" w:rsidRPr="00D10B0C" w:rsidP="190E691C">
      <w:pPr>
        <w:rPr>
          <w:rFonts w:ascii="Verdana" w:hAnsi="Verdana"/>
          <w:b/>
          <w:bCs/>
        </w:rPr>
      </w:pPr>
      <w:r w:rsidRPr="00D10B0C">
        <w:rPr>
          <w:rFonts w:ascii="Verdana" w:hAnsi="Verdana"/>
          <w:b/>
          <w:bCs/>
        </w:rPr>
        <w:t>What needs to happen to equip people with the skills they need ahead of getting into debt or financial difficulty?</w:t>
      </w:r>
    </w:p>
    <w:p w:rsidR="004A2D9B" w:rsidRPr="00D10B0C" w:rsidP="190E691C">
      <w:pPr>
        <w:rPr>
          <w:rFonts w:ascii="Verdana" w:hAnsi="Verdana"/>
        </w:rPr>
      </w:pPr>
      <w:r w:rsidRPr="00D10B0C">
        <w:rPr>
          <w:rFonts w:ascii="Verdana" w:hAnsi="Verdana"/>
        </w:rPr>
        <w:t>There is a significant volume of information available to support people experiencing financial difficulty; however, our experience suggests that the issue is not a lack of information, but a lack of accessible, usable, and trusted information.</w:t>
      </w:r>
    </w:p>
    <w:p w:rsidR="004A2D9B" w:rsidRPr="00D10B0C" w:rsidP="190E691C">
      <w:pPr>
        <w:rPr>
          <w:rFonts w:ascii="Verdana" w:hAnsi="Verdana"/>
        </w:rPr>
      </w:pPr>
      <w:r w:rsidRPr="00D10B0C">
        <w:rPr>
          <w:rFonts w:ascii="Verdana" w:hAnsi="Verdana"/>
        </w:rPr>
        <w:t xml:space="preserve">Many clients are aware that support exists but struggle to identify what is relevant to their situation or how to apply it. This is particularly true in areas such as benefits, debt solutions, and energy support schemes, </w:t>
      </w:r>
      <w:r w:rsidRPr="00D10B0C">
        <w:rPr>
          <w:rFonts w:ascii="Verdana" w:hAnsi="Verdana"/>
        </w:rPr>
        <w:t>where eligibility criteria and application processes can be complex. The scale of demand in our service</w:t>
      </w:r>
      <w:r w:rsidRPr="00D10B0C" w:rsidR="0A2E8A41">
        <w:rPr>
          <w:rFonts w:ascii="Verdana" w:hAnsi="Verdana"/>
        </w:rPr>
        <w:t xml:space="preserve"> </w:t>
      </w:r>
      <w:r w:rsidRPr="00D10B0C">
        <w:rPr>
          <w:rFonts w:ascii="Verdana" w:hAnsi="Verdana"/>
        </w:rPr>
        <w:t>over 65,000 enquiries in 2025–26</w:t>
      </w:r>
      <w:r w:rsidRPr="00D10B0C" w:rsidR="7DD78892">
        <w:rPr>
          <w:rFonts w:ascii="Verdana" w:hAnsi="Verdana"/>
        </w:rPr>
        <w:t xml:space="preserve">, </w:t>
      </w:r>
      <w:r w:rsidRPr="00D10B0C">
        <w:rPr>
          <w:rFonts w:ascii="Verdana" w:hAnsi="Verdana"/>
        </w:rPr>
        <w:t xml:space="preserve">demonstrates that people continue to rely heavily on trusted intermediaries to interpret information and guide decision-making. </w:t>
      </w:r>
    </w:p>
    <w:p w:rsidR="004A2D9B" w:rsidRPr="00D10B0C" w:rsidP="190E691C">
      <w:pPr>
        <w:rPr>
          <w:rFonts w:ascii="Verdana" w:hAnsi="Verdana"/>
        </w:rPr>
      </w:pPr>
      <w:r w:rsidRPr="00D10B0C">
        <w:rPr>
          <w:rFonts w:ascii="Verdana" w:hAnsi="Verdana"/>
        </w:rPr>
        <w:t xml:space="preserve">The most effective mechanisms for supporting clients are those that combine information with personalised advice. Face-to-face and telephone services remain critical, particularly for individuals with low confidence, low numeracy, or multiple vulnerabilities. Our high street presence and co-located wellbeing hub play a key role in ensuring that advice is accessible without barriers such as referrals or digital access requirements. </w:t>
      </w:r>
    </w:p>
    <w:p w:rsidR="004A2D9B" w:rsidRPr="00D10B0C" w:rsidP="190E691C">
      <w:pPr>
        <w:rPr>
          <w:rFonts w:ascii="Verdana" w:hAnsi="Verdana"/>
        </w:rPr>
      </w:pPr>
      <w:r w:rsidRPr="00D10B0C">
        <w:rPr>
          <w:rFonts w:ascii="Verdana" w:hAnsi="Verdana"/>
        </w:rPr>
        <w:t xml:space="preserve">Online advice and tools, including budgeting apps and savings platforms, have an important role to play but are not </w:t>
      </w:r>
      <w:r w:rsidRPr="00D10B0C" w:rsidR="555736B4">
        <w:rPr>
          <w:rFonts w:ascii="Verdana" w:hAnsi="Verdana"/>
        </w:rPr>
        <w:t xml:space="preserve">very easily </w:t>
      </w:r>
      <w:r w:rsidRPr="00D10B0C">
        <w:rPr>
          <w:rFonts w:ascii="Verdana" w:hAnsi="Verdana"/>
        </w:rPr>
        <w:t>accessible. These tools can be highly effective for individuals who already have a baseline level of digital and financial confidence. However, for many of our clients, they can be overwhelming or difficult to interpret. In some cases, reliance on digital tools without appropriate support can exacerbate anxiety or confusion.</w:t>
      </w:r>
      <w:r w:rsidRPr="00D10B0C" w:rsidR="1DE3A7E6">
        <w:rPr>
          <w:rFonts w:ascii="Verdana" w:hAnsi="Verdana"/>
        </w:rPr>
        <w:t xml:space="preserve"> To combat this, we ran digital inclusion sessions in December 2025 which saw a large up-tick in clients attending our office</w:t>
      </w:r>
      <w:r w:rsidRPr="00D10B0C" w:rsidR="79527245">
        <w:rPr>
          <w:rFonts w:ascii="Verdana" w:hAnsi="Verdana"/>
        </w:rPr>
        <w:t xml:space="preserve"> to receive additional support.</w:t>
      </w:r>
    </w:p>
    <w:p w:rsidR="72B94375" w:rsidRPr="00D10B0C" w:rsidP="190E691C">
      <w:pPr>
        <w:rPr>
          <w:rFonts w:ascii="Verdana" w:hAnsi="Verdana"/>
        </w:rPr>
      </w:pPr>
      <w:r w:rsidRPr="00D10B0C">
        <w:rPr>
          <w:rFonts w:ascii="Verdana" w:hAnsi="Verdana"/>
        </w:rPr>
        <w:t xml:space="preserve">To be effective, online tools must be simple, intuitive, and supported by guidance. There is also a need for greater integration between tools and advice services, ensuring that individuals can move seamlessly between self-service options and personalised support when </w:t>
      </w:r>
      <w:r w:rsidRPr="00D10B0C" w:rsidR="7C6422E5">
        <w:rPr>
          <w:rFonts w:ascii="Verdana" w:hAnsi="Verdana"/>
        </w:rPr>
        <w:t>needed. Ultimately</w:t>
      </w:r>
      <w:r w:rsidRPr="00D10B0C">
        <w:rPr>
          <w:rFonts w:ascii="Verdana" w:hAnsi="Verdana"/>
        </w:rPr>
        <w:t>, equipping people with the skills they need requires earlier and more consistent intervention. This includes embedding financial education within schools and communities, as well as providing ongoing support for adults at key life stages</w:t>
      </w:r>
      <w:r w:rsidRPr="00D10B0C" w:rsidR="4C87C595">
        <w:rPr>
          <w:rFonts w:ascii="Verdana" w:hAnsi="Verdana"/>
        </w:rPr>
        <w:t>.</w:t>
      </w:r>
      <w:r w:rsidRPr="00D10B0C" w:rsidR="0ED7A253">
        <w:rPr>
          <w:rFonts w:ascii="Verdana" w:hAnsi="Verdana"/>
        </w:rPr>
        <w:t xml:space="preserve"> W</w:t>
      </w:r>
      <w:r w:rsidRPr="00D10B0C">
        <w:rPr>
          <w:rFonts w:ascii="Verdana" w:hAnsi="Verdana"/>
        </w:rPr>
        <w:t>hile information is technically available, it is not always accessible in practice.</w:t>
      </w:r>
    </w:p>
    <w:p w:rsidR="00461CDA" w:rsidRPr="00D10B0C" w:rsidP="190E691C">
      <w:pPr>
        <w:rPr>
          <w:rFonts w:ascii="Verdana" w:hAnsi="Verdana"/>
          <w:b/>
          <w:bCs/>
        </w:rPr>
      </w:pPr>
      <w:r w:rsidRPr="00D10B0C">
        <w:rPr>
          <w:rFonts w:ascii="Verdana" w:hAnsi="Verdana"/>
          <w:b/>
          <w:bCs/>
        </w:rPr>
        <w:t xml:space="preserve">5. </w:t>
      </w:r>
      <w:r w:rsidRPr="00D10B0C" w:rsidR="31207B4D">
        <w:rPr>
          <w:rFonts w:ascii="Verdana" w:hAnsi="Verdana"/>
          <w:b/>
          <w:bCs/>
        </w:rPr>
        <w:t xml:space="preserve">We are conscious that often charities and organisations supporting people are often addressing the immediate crisis and concerns. </w:t>
      </w:r>
    </w:p>
    <w:p w:rsidR="004A2D9B" w:rsidRPr="00D10B0C" w:rsidP="190E691C">
      <w:pPr>
        <w:rPr>
          <w:rFonts w:ascii="Verdana" w:hAnsi="Verdana"/>
          <w:b/>
          <w:bCs/>
        </w:rPr>
      </w:pPr>
      <w:r w:rsidRPr="00D10B0C">
        <w:rPr>
          <w:rFonts w:ascii="Verdana" w:hAnsi="Verdana"/>
          <w:b/>
          <w:bCs/>
        </w:rPr>
        <w:t>Do you signpost clients to the financial education available for adults? Are there resources that are particularly useful?</w:t>
      </w:r>
    </w:p>
    <w:p w:rsidR="004A2D9B" w:rsidRPr="00D10B0C" w:rsidP="190E691C">
      <w:pPr>
        <w:rPr>
          <w:rFonts w:ascii="Verdana" w:hAnsi="Verdana"/>
        </w:rPr>
      </w:pPr>
      <w:r w:rsidRPr="00D10B0C">
        <w:rPr>
          <w:rFonts w:ascii="Verdana" w:hAnsi="Verdana"/>
        </w:rPr>
        <w:t xml:space="preserve">As a service that primarily responds to people in crisis, Stockton Citizens Advice recognises the challenge of balancing immediate intervention with longer-term financial education. The majority of our clients approach us when problems have already escalated, often involving multiple complex </w:t>
      </w:r>
      <w:r w:rsidRPr="00D10B0C">
        <w:rPr>
          <w:rFonts w:ascii="Verdana" w:hAnsi="Verdana"/>
        </w:rPr>
        <w:t>issues such as debt, housing insecurity, and benefit challenges. On average, clients present with four to five issues at a time</w:t>
      </w:r>
      <w:r w:rsidRPr="00D10B0C" w:rsidR="6A8FB376">
        <w:rPr>
          <w:rFonts w:ascii="Verdana" w:hAnsi="Verdana"/>
        </w:rPr>
        <w:t>.</w:t>
      </w:r>
      <w:r w:rsidRPr="00D10B0C" w:rsidR="51CDFB96">
        <w:rPr>
          <w:rFonts w:ascii="Verdana" w:hAnsi="Verdana"/>
        </w:rPr>
        <w:t xml:space="preserve"> </w:t>
      </w:r>
    </w:p>
    <w:p w:rsidR="004A2D9B" w:rsidRPr="00D10B0C" w:rsidP="190E691C">
      <w:pPr>
        <w:spacing w:line="300" w:lineRule="auto"/>
        <w:rPr>
          <w:rFonts w:ascii="Verdana" w:hAnsi="Verdana" w:eastAsiaTheme="minorEastAsia"/>
        </w:rPr>
      </w:pPr>
      <w:r w:rsidRPr="00D10B0C">
        <w:rPr>
          <w:rFonts w:ascii="Verdana" w:hAnsi="Verdana"/>
        </w:rPr>
        <w:t>In this context, the immediate priority is stabilising the client’s situation</w:t>
      </w:r>
      <w:r w:rsidRPr="00D10B0C" w:rsidR="638F19E2">
        <w:rPr>
          <w:rFonts w:ascii="Verdana" w:hAnsi="Verdana"/>
        </w:rPr>
        <w:t xml:space="preserve">, </w:t>
      </w:r>
      <w:r w:rsidRPr="00D10B0C">
        <w:rPr>
          <w:rFonts w:ascii="Verdana" w:hAnsi="Verdana"/>
        </w:rPr>
        <w:t>addressing urgent risks such as eviction, enforcement action, or loss of income. However, where appropriate, we do incorporate elements of financial education within our advice delivery. This is often d</w:t>
      </w:r>
      <w:r w:rsidRPr="00D10B0C">
        <w:rPr>
          <w:rFonts w:ascii="Verdana" w:hAnsi="Verdana" w:eastAsiaTheme="minorEastAsia"/>
        </w:rPr>
        <w:t>one informally through budgeting conversations, explanations of entitlement calculations, and support to understand financial options.</w:t>
      </w:r>
      <w:r w:rsidRPr="00D10B0C" w:rsidR="24347961">
        <w:rPr>
          <w:rFonts w:ascii="Verdana" w:hAnsi="Verdana" w:eastAsiaTheme="minorEastAsia"/>
        </w:rPr>
        <w:t xml:space="preserve"> Our client survey findings reinforce this challenge, showing that many individuals already lack confidence in core skills such as budgeting by the time they access support. This limits their ability to engage with more formal financial education while in crisis, highlighting the importance of embedding learning within advice.</w:t>
      </w:r>
    </w:p>
    <w:p w:rsidR="004A2D9B" w:rsidRPr="00D10B0C" w:rsidP="190E691C">
      <w:pPr>
        <w:rPr>
          <w:rFonts w:ascii="Verdana" w:hAnsi="Verdana"/>
        </w:rPr>
      </w:pPr>
      <w:r w:rsidRPr="00D10B0C">
        <w:rPr>
          <w:rFonts w:ascii="Verdana" w:hAnsi="Verdana"/>
        </w:rPr>
        <w:t>Despite this, there are limitations. Many clients do not have the capacity to engage with formal financial education while in crisis. Issues such as stress, mental health challenges, and immediate financial pressure can limit their ability to absorb additional information. This highlights the importance of timing and delivery</w:t>
      </w:r>
      <w:r w:rsidRPr="00D10B0C" w:rsidR="1DE465BC">
        <w:rPr>
          <w:rFonts w:ascii="Verdana" w:hAnsi="Verdana"/>
        </w:rPr>
        <w:t xml:space="preserve">, </w:t>
      </w:r>
      <w:r w:rsidRPr="00D10B0C">
        <w:rPr>
          <w:rFonts w:ascii="Verdana" w:hAnsi="Verdana"/>
        </w:rPr>
        <w:t>financial education is most effective when it is relevant, practical, and delivered in manageable stages.</w:t>
      </w:r>
    </w:p>
    <w:p w:rsidR="004A2D9B" w:rsidRPr="00D10B0C" w:rsidP="190E691C">
      <w:pPr>
        <w:rPr>
          <w:rFonts w:ascii="Verdana" w:hAnsi="Verdana"/>
        </w:rPr>
      </w:pPr>
      <w:r w:rsidRPr="00D10B0C">
        <w:rPr>
          <w:rFonts w:ascii="Verdana" w:hAnsi="Verdana"/>
        </w:rPr>
        <w:t>We have found that the most effective approach is to embed financial capability within advice rather than treating it as a separate intervention. For example, when supporting a client with debt, advisers will incorporate discussions about budgeting, prioritisation of bills, and sustainable repayment levels. This ensures that learning is directly linked to real</w:t>
      </w:r>
      <w:r w:rsidRPr="00D10B0C" w:rsidR="0B23CD91">
        <w:rPr>
          <w:rFonts w:ascii="Verdana" w:hAnsi="Verdana"/>
        </w:rPr>
        <w:t xml:space="preserve"> </w:t>
      </w:r>
      <w:r w:rsidRPr="00D10B0C">
        <w:rPr>
          <w:rFonts w:ascii="Verdana" w:hAnsi="Verdana"/>
        </w:rPr>
        <w:t>life situations and outcomes.</w:t>
      </w:r>
    </w:p>
    <w:p w:rsidR="004A2D9B" w:rsidRPr="00D10B0C" w:rsidP="190E691C">
      <w:pPr>
        <w:rPr>
          <w:rFonts w:ascii="Verdana" w:hAnsi="Verdana"/>
        </w:rPr>
      </w:pPr>
      <w:r w:rsidRPr="00D10B0C">
        <w:rPr>
          <w:rFonts w:ascii="Verdana" w:hAnsi="Verdana"/>
        </w:rPr>
        <w:t xml:space="preserve">Looking ahead, there is an opportunity to strengthen this approach through earlier engagement and </w:t>
      </w:r>
      <w:r w:rsidRPr="00D10B0C" w:rsidR="0D0C683F">
        <w:rPr>
          <w:rFonts w:ascii="Verdana" w:hAnsi="Verdana"/>
        </w:rPr>
        <w:t>community-based</w:t>
      </w:r>
      <w:r w:rsidRPr="00D10B0C">
        <w:rPr>
          <w:rFonts w:ascii="Verdana" w:hAnsi="Verdana"/>
        </w:rPr>
        <w:t xml:space="preserve"> delivery. Expanding outreach work and preventative programmes would allow more people to access financial education before reaching crisis point.</w:t>
      </w:r>
    </w:p>
    <w:p w:rsidR="00C6452A" w:rsidRPr="00D10B0C" w:rsidP="190E691C">
      <w:pPr>
        <w:rPr>
          <w:rFonts w:ascii="Verdana" w:hAnsi="Verdana"/>
        </w:rPr>
      </w:pPr>
    </w:p>
    <w:p w:rsidR="00C6452A" w:rsidRPr="00D10B0C" w:rsidP="190E691C">
      <w:pPr>
        <w:rPr>
          <w:rFonts w:ascii="Verdana" w:hAnsi="Verdana"/>
        </w:rPr>
      </w:pPr>
    </w:p>
    <w:p w:rsidR="00C6452A" w:rsidRPr="00D10B0C" w:rsidP="190E691C">
      <w:pPr>
        <w:rPr>
          <w:rFonts w:ascii="Verdana" w:hAnsi="Verdana"/>
        </w:rPr>
      </w:pPr>
    </w:p>
    <w:p w:rsidR="004A2D9B" w:rsidRPr="00D10B0C" w:rsidP="190E691C">
      <w:pPr>
        <w:rPr>
          <w:rFonts w:ascii="Verdana" w:hAnsi="Verdana"/>
          <w:b/>
          <w:bCs/>
        </w:rPr>
      </w:pPr>
      <w:r w:rsidRPr="00D10B0C">
        <w:rPr>
          <w:rFonts w:ascii="Verdana" w:hAnsi="Verdana"/>
          <w:b/>
          <w:bCs/>
        </w:rPr>
        <w:t xml:space="preserve">6. </w:t>
      </w:r>
      <w:r w:rsidRPr="00D10B0C" w:rsidR="7BFEEC25">
        <w:rPr>
          <w:rFonts w:ascii="Verdana" w:hAnsi="Verdana"/>
          <w:b/>
          <w:bCs/>
        </w:rPr>
        <w:t>How do you work with other organisations to share learning, and any changes and improvements in the ways in which you offer advice and guidance?</w:t>
      </w:r>
    </w:p>
    <w:p w:rsidR="004A2D9B" w:rsidRPr="00D10B0C" w:rsidP="190E691C">
      <w:pPr>
        <w:rPr>
          <w:rFonts w:ascii="Verdana" w:hAnsi="Verdana"/>
        </w:rPr>
      </w:pPr>
      <w:r w:rsidRPr="00D10B0C">
        <w:rPr>
          <w:rFonts w:ascii="Verdana" w:hAnsi="Verdana"/>
        </w:rPr>
        <w:t xml:space="preserve">Partnership working is central to how Stockton Citizens Advice delivers effective and responsive services, particularly in addressing complex issues such as financial literacy and numeracy. We work with a wide network of over 80 partners, including local authorities, health services, community organisations, and national programmes, to ensure that support is </w:t>
      </w:r>
      <w:r w:rsidRPr="00D10B0C" w:rsidR="073D15DE">
        <w:rPr>
          <w:rFonts w:ascii="Verdana" w:hAnsi="Verdana"/>
        </w:rPr>
        <w:t>joined up</w:t>
      </w:r>
      <w:r w:rsidRPr="00D10B0C">
        <w:rPr>
          <w:rFonts w:ascii="Verdana" w:hAnsi="Verdana"/>
        </w:rPr>
        <w:t xml:space="preserve"> and reflective of local need. </w:t>
      </w:r>
    </w:p>
    <w:p w:rsidR="004A2D9B" w:rsidRPr="00D10B0C" w:rsidP="190E691C">
      <w:pPr>
        <w:rPr>
          <w:rFonts w:ascii="Verdana" w:hAnsi="Verdana"/>
        </w:rPr>
      </w:pPr>
      <w:r w:rsidRPr="00D10B0C">
        <w:rPr>
          <w:rFonts w:ascii="Verdana" w:hAnsi="Verdana"/>
        </w:rPr>
        <w:t>Collaboration enables us to share learning and continuously improve how advice is delivered. For example, through partnerships with Stockton-on-Tees Borough Council, the NHS, and community organisations, we are able to identify emerging trends, such as increasing demand related to energy costs or benefit complexity. This shared intelligence informs how we adapt our services and develop targeted interventions.</w:t>
      </w:r>
    </w:p>
    <w:p w:rsidR="004A2D9B" w:rsidRPr="00D10B0C" w:rsidP="190E691C">
      <w:pPr>
        <w:rPr>
          <w:rFonts w:ascii="Verdana" w:hAnsi="Verdana"/>
        </w:rPr>
      </w:pPr>
      <w:r w:rsidRPr="00D10B0C">
        <w:rPr>
          <w:rFonts w:ascii="Verdana" w:hAnsi="Verdana"/>
        </w:rPr>
        <w:t xml:space="preserve">Our co-location within a wellbeing hub is a key example of integrated service delivery. By working alongside mental health services and other support providers, we can address the interconnected nature of issues such as financial difficulty and wellbeing. This model not only improves accessibility but also facilitates real-time collaboration and learning between organisations. </w:t>
      </w:r>
    </w:p>
    <w:p w:rsidR="004A2D9B" w:rsidRPr="00D10B0C" w:rsidP="190E691C">
      <w:pPr>
        <w:rPr>
          <w:rFonts w:ascii="Verdana" w:hAnsi="Verdana"/>
        </w:rPr>
      </w:pPr>
      <w:r w:rsidRPr="00D10B0C">
        <w:rPr>
          <w:rFonts w:ascii="Verdana" w:hAnsi="Verdana"/>
        </w:rPr>
        <w:t xml:space="preserve">We also engage with national partners, including the Citizens Advice network and the Money and Pensions Service, to share best practice and contribute to wider service development. Through national contracts, such as our Debt Relief Order work, we are able to draw on broader expertise and reinvest learning into our local service. </w:t>
      </w:r>
    </w:p>
    <w:p w:rsidR="004A2D9B" w:rsidRPr="00D10B0C" w:rsidP="190E691C">
      <w:pPr>
        <w:rPr>
          <w:rFonts w:ascii="Verdana" w:hAnsi="Verdana"/>
        </w:rPr>
      </w:pPr>
      <w:r w:rsidRPr="00D10B0C">
        <w:rPr>
          <w:rFonts w:ascii="Verdana" w:hAnsi="Verdana"/>
        </w:rPr>
        <w:t>Importantly, partnership working supports the development of more consistent and accessible messaging around financial literacy. By aligning with other organisations, we can ensure that clients receive clear and consistent information, reducing confusion and improving outcomes.</w:t>
      </w:r>
    </w:p>
    <w:p w:rsidR="004A2D9B" w:rsidRPr="00D10B0C" w:rsidP="190E691C">
      <w:pPr>
        <w:rPr>
          <w:rFonts w:ascii="Verdana" w:hAnsi="Verdana"/>
        </w:rPr>
      </w:pPr>
      <w:r w:rsidRPr="00D10B0C">
        <w:rPr>
          <w:rFonts w:ascii="Verdana" w:hAnsi="Verdana"/>
        </w:rPr>
        <w:t xml:space="preserve">We are also actively reviewing how we capture and use data to strengthen this approach. This includes improving reporting on referrals, enquiry types, and outcomes, which will provide deeper insight into client needs and support service improvement. </w:t>
      </w:r>
    </w:p>
    <w:p w:rsidR="004A2D9B"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004A2D9B" w:rsidRPr="00D10B0C" w:rsidP="190E691C">
      <w:pPr>
        <w:rPr>
          <w:rFonts w:ascii="Verdana" w:hAnsi="Verdana"/>
        </w:rPr>
      </w:pPr>
    </w:p>
    <w:p w:rsidR="004A2D9B" w:rsidRPr="00D10B0C" w:rsidP="190E691C">
      <w:pPr>
        <w:rPr>
          <w:rFonts w:ascii="Verdana" w:hAnsi="Verdana"/>
        </w:rPr>
      </w:pPr>
    </w:p>
    <w:p w:rsidR="00CB4F26" w:rsidRPr="00D10B0C" w:rsidP="190E691C">
      <w:pPr>
        <w:rPr>
          <w:rFonts w:ascii="Verdana" w:hAnsi="Verdana"/>
          <w:b/>
          <w:bCs/>
        </w:rPr>
      </w:pPr>
      <w:r w:rsidRPr="00D10B0C">
        <w:rPr>
          <w:rFonts w:ascii="Verdana" w:hAnsi="Verdana"/>
          <w:b/>
          <w:bCs/>
        </w:rPr>
        <w:t xml:space="preserve">7. </w:t>
      </w:r>
      <w:r w:rsidRPr="00D10B0C" w:rsidR="27BFE354">
        <w:rPr>
          <w:rFonts w:ascii="Verdana" w:hAnsi="Verdana"/>
          <w:b/>
          <w:bCs/>
        </w:rPr>
        <w:t xml:space="preserve">How does the current policy and regulatory position support vulnerable people, including those with low numeracy and financial literacy skills? </w:t>
      </w:r>
    </w:p>
    <w:p w:rsidR="004A2D9B" w:rsidRPr="00D10B0C" w:rsidP="190E691C">
      <w:pPr>
        <w:rPr>
          <w:rFonts w:ascii="Verdana" w:hAnsi="Verdana"/>
          <w:b/>
          <w:bCs/>
        </w:rPr>
      </w:pPr>
      <w:r w:rsidRPr="00D10B0C">
        <w:rPr>
          <w:rFonts w:ascii="Verdana" w:hAnsi="Verdana"/>
          <w:b/>
          <w:bCs/>
        </w:rPr>
        <w:t>What role do the Financial Inclusion Strategy, the UK Financial Wellbeing Strategy and the Consumer Duty play?</w:t>
      </w:r>
    </w:p>
    <w:p w:rsidR="004A2D9B" w:rsidRPr="00D10B0C" w:rsidP="190E691C">
      <w:pPr>
        <w:rPr>
          <w:rFonts w:ascii="Verdana" w:hAnsi="Verdana"/>
        </w:rPr>
      </w:pPr>
      <w:r w:rsidRPr="00D10B0C">
        <w:rPr>
          <w:rFonts w:ascii="Verdana" w:hAnsi="Verdana"/>
        </w:rPr>
        <w:t xml:space="preserve">The current policy and regulatory framework </w:t>
      </w:r>
      <w:r w:rsidRPr="00D10B0C" w:rsidR="3C4B6EE5">
        <w:rPr>
          <w:rFonts w:ascii="Verdana" w:hAnsi="Verdana"/>
        </w:rPr>
        <w:t>play</w:t>
      </w:r>
      <w:r w:rsidRPr="00D10B0C">
        <w:rPr>
          <w:rFonts w:ascii="Verdana" w:hAnsi="Verdana"/>
        </w:rPr>
        <w:t xml:space="preserve"> an important role in supporting vulnerable people, including those with low numeracy and financial literacy, but there remain significant gaps between policy intent and client experience.</w:t>
      </w:r>
    </w:p>
    <w:p w:rsidR="004A2D9B" w:rsidRPr="00D10B0C" w:rsidP="190E691C">
      <w:pPr>
        <w:rPr>
          <w:rFonts w:ascii="Verdana" w:hAnsi="Verdana"/>
        </w:rPr>
      </w:pPr>
      <w:r w:rsidRPr="00D10B0C">
        <w:rPr>
          <w:rFonts w:ascii="Verdana" w:hAnsi="Verdana"/>
        </w:rPr>
        <w:t>Frameworks such as the Financial Inclusion Strategy and the UK Financial Wellbeing Strategy set out clear ambitions to improve access to financial services and increase confidence in managing money. Similarly, the Financial Conduct Authority’s Consumer Duty represents a positive step in requiring financial services firms to deliver good outcomes for customers, particularly those in vulnerable circumstances. These frameworks recognise that individuals may face barriers in understanding financial products and place responsibility on organisations to ensure information is clear, fair and accessible.</w:t>
      </w:r>
    </w:p>
    <w:p w:rsidR="004A2D9B" w:rsidRPr="00D10B0C" w:rsidP="190E691C">
      <w:pPr>
        <w:rPr>
          <w:rFonts w:ascii="Verdana" w:hAnsi="Verdana"/>
        </w:rPr>
      </w:pPr>
      <w:r w:rsidRPr="00D10B0C">
        <w:rPr>
          <w:rFonts w:ascii="Verdana" w:hAnsi="Verdana"/>
        </w:rPr>
        <w:t xml:space="preserve">From the perspective of Stockton Citizens Advice, there is evidence that these principles are beginning to influence practice. For example, there is greater awareness among creditors and service providers of affordability, vulnerability, and the need for clearer communication. </w:t>
      </w:r>
    </w:p>
    <w:p w:rsidR="004A2D9B" w:rsidRPr="00D10B0C" w:rsidP="190E691C">
      <w:pPr>
        <w:rPr>
          <w:rFonts w:ascii="Verdana" w:hAnsi="Verdana"/>
        </w:rPr>
      </w:pPr>
      <w:r w:rsidRPr="00D10B0C">
        <w:rPr>
          <w:rFonts w:ascii="Verdana" w:hAnsi="Verdana"/>
        </w:rPr>
        <w:t xml:space="preserve">However, despite these positive developments, many clients continue to experience systems that are difficult to navigate and understand. Financial products, repayment structures, and billing systems often remain complex, particularly for those with low numeracy. While Consumer Duty places expectations on firms, there is still </w:t>
      </w:r>
      <w:r w:rsidRPr="00D10B0C" w:rsidR="1405F62B">
        <w:rPr>
          <w:rFonts w:ascii="Verdana" w:hAnsi="Verdana"/>
        </w:rPr>
        <w:t xml:space="preserve">a wide range of variety </w:t>
      </w:r>
      <w:r w:rsidRPr="00D10B0C">
        <w:rPr>
          <w:rFonts w:ascii="Verdana" w:hAnsi="Verdana"/>
        </w:rPr>
        <w:t>in how these expectations are applied in practice.</w:t>
      </w:r>
    </w:p>
    <w:p w:rsidR="004A2D9B" w:rsidRPr="00D10B0C" w:rsidP="190E691C">
      <w:pPr>
        <w:rPr>
          <w:rFonts w:ascii="Verdana" w:hAnsi="Verdana"/>
        </w:rPr>
      </w:pPr>
      <w:r w:rsidRPr="00D10B0C">
        <w:rPr>
          <w:rFonts w:ascii="Verdana" w:hAnsi="Verdana"/>
        </w:rPr>
        <w:t>We also observe that policy frameworks tend to focus on access and fairness rather than capability. While ensuring fair treatment is essential, there is less emphasis on actively building financial understanding and confidence among individuals. As a result, many clients continue to rely heavily on advice services as intermediaries to interpret information and advocate on their behalf.</w:t>
      </w:r>
      <w:r w:rsidRPr="00D10B0C" w:rsidR="4D8B37D6">
        <w:rPr>
          <w:rFonts w:ascii="Verdana" w:hAnsi="Verdana"/>
        </w:rPr>
        <w:t xml:space="preserve"> </w:t>
      </w:r>
    </w:p>
    <w:p w:rsidR="004A2D9B" w:rsidRPr="00D10B0C" w:rsidP="190E691C">
      <w:pPr>
        <w:rPr>
          <w:rFonts w:ascii="Verdana" w:hAnsi="Verdana"/>
        </w:rPr>
      </w:pPr>
      <w:r w:rsidRPr="00D10B0C">
        <w:rPr>
          <w:rFonts w:ascii="Verdana" w:hAnsi="Verdana"/>
        </w:rPr>
        <w:t>The</w:t>
      </w:r>
      <w:r w:rsidRPr="00D10B0C" w:rsidR="72B94375">
        <w:rPr>
          <w:rFonts w:ascii="Verdana" w:hAnsi="Verdana"/>
        </w:rPr>
        <w:t xml:space="preserve"> policy and regulatory environment </w:t>
      </w:r>
      <w:r w:rsidRPr="00D10B0C" w:rsidR="1780D14F">
        <w:rPr>
          <w:rFonts w:ascii="Verdana" w:hAnsi="Verdana"/>
        </w:rPr>
        <w:t>are</w:t>
      </w:r>
      <w:r w:rsidRPr="00D10B0C" w:rsidR="72B94375">
        <w:rPr>
          <w:rFonts w:ascii="Verdana" w:hAnsi="Verdana"/>
        </w:rPr>
        <w:t xml:space="preserve"> moving in the right direction</w:t>
      </w:r>
      <w:r w:rsidRPr="00D10B0C" w:rsidR="6CEE06BB">
        <w:rPr>
          <w:rFonts w:ascii="Verdana" w:hAnsi="Verdana"/>
        </w:rPr>
        <w:t>. However, gr</w:t>
      </w:r>
      <w:r w:rsidRPr="00D10B0C" w:rsidR="72B94375">
        <w:rPr>
          <w:rFonts w:ascii="Verdana" w:hAnsi="Verdana"/>
        </w:rPr>
        <w:t xml:space="preserve">eater focus is needed on simplifying systems, ensuring </w:t>
      </w:r>
      <w:r w:rsidRPr="00D10B0C" w:rsidR="72B94375">
        <w:rPr>
          <w:rFonts w:ascii="Verdana" w:hAnsi="Verdana"/>
        </w:rPr>
        <w:t>consistent implementation, and embedding financial capability support within regulatory expectations. This would help ensure that policies translate into meaningful, practical improvements for those most at risk of financial exclusion.</w:t>
      </w:r>
    </w:p>
    <w:p w:rsidR="190E691C" w:rsidRPr="00D10B0C" w:rsidP="190E691C">
      <w:pPr>
        <w:rPr>
          <w:rFonts w:ascii="Verdana" w:hAnsi="Verdana"/>
        </w:rPr>
      </w:pPr>
    </w:p>
    <w:p w:rsidR="190E691C" w:rsidRPr="00D10B0C" w:rsidP="190E691C">
      <w:pPr>
        <w:rPr>
          <w:rFonts w:ascii="Verdana" w:hAnsi="Verdana"/>
        </w:rPr>
      </w:pPr>
    </w:p>
    <w:p w:rsidR="004A2D9B" w:rsidRPr="00D10B0C" w:rsidP="190E691C">
      <w:pPr>
        <w:rPr>
          <w:rFonts w:ascii="Verdana" w:hAnsi="Verdana"/>
          <w:b/>
          <w:bCs/>
        </w:rPr>
      </w:pPr>
      <w:r w:rsidRPr="00D10B0C">
        <w:rPr>
          <w:rFonts w:ascii="Verdana" w:hAnsi="Verdana"/>
          <w:b/>
          <w:bCs/>
        </w:rPr>
        <w:t xml:space="preserve">8. </w:t>
      </w:r>
      <w:r w:rsidRPr="00D10B0C" w:rsidR="27BFE354">
        <w:rPr>
          <w:rFonts w:ascii="Verdana" w:hAnsi="Verdana"/>
          <w:b/>
          <w:bCs/>
        </w:rPr>
        <w:t>What role should Government play in tackling low numeracy and improving financial literacy?</w:t>
      </w:r>
    </w:p>
    <w:p w:rsidR="004A2D9B" w:rsidRPr="00D10B0C" w:rsidP="190E691C">
      <w:pPr>
        <w:rPr>
          <w:rFonts w:ascii="Verdana" w:hAnsi="Verdana"/>
        </w:rPr>
      </w:pPr>
      <w:r w:rsidRPr="00D10B0C">
        <w:rPr>
          <w:rFonts w:ascii="Verdana" w:hAnsi="Verdana"/>
        </w:rPr>
        <w:t>Government has a central role to play in tackling low numeracy and improving financial literacy, particularly through creating the conditions for early intervention, accessible education, and simplified systems.</w:t>
      </w:r>
    </w:p>
    <w:p w:rsidR="004A2D9B" w:rsidRPr="00D10B0C" w:rsidP="190E691C">
      <w:pPr>
        <w:rPr>
          <w:rFonts w:ascii="Verdana" w:hAnsi="Verdana"/>
        </w:rPr>
      </w:pPr>
      <w:r w:rsidRPr="00D10B0C">
        <w:rPr>
          <w:rFonts w:ascii="Verdana" w:hAnsi="Verdana"/>
        </w:rPr>
        <w:t xml:space="preserve">Firstly, there is a need for stronger investment in preventative approaches. Much of the demand seen by advice services arises once individuals are already in crisis. In 2025–26 alone, Stockton Citizens Advice responded to over 65,000 enquiries, many involving complex and overlapping financial problems. This demonstrates the scale of need </w:t>
      </w:r>
      <w:r w:rsidRPr="00D10B0C" w:rsidR="69F6FA99">
        <w:rPr>
          <w:rFonts w:ascii="Verdana" w:hAnsi="Verdana"/>
        </w:rPr>
        <w:t xml:space="preserve">in our community </w:t>
      </w:r>
      <w:r w:rsidRPr="00D10B0C">
        <w:rPr>
          <w:rFonts w:ascii="Verdana" w:hAnsi="Verdana"/>
        </w:rPr>
        <w:t xml:space="preserve">and highlights the potential value of earlier intervention. </w:t>
      </w:r>
    </w:p>
    <w:p w:rsidR="004A2D9B" w:rsidRPr="00D10B0C" w:rsidP="190E691C">
      <w:pPr>
        <w:rPr>
          <w:rFonts w:ascii="Verdana" w:hAnsi="Verdana"/>
        </w:rPr>
      </w:pPr>
      <w:r w:rsidRPr="00D10B0C">
        <w:rPr>
          <w:rFonts w:ascii="Verdana" w:hAnsi="Verdana"/>
        </w:rPr>
        <w:t>Government can play a key role in embedding financial education at all stages of life. This includes strengthening financial education within schools, as well as expanding access to adult learning opportunities. Importantly, this education must be practical and relevant, focusing on real-life financial decision-making such as budgeting, managing bills, and understanding credit.</w:t>
      </w:r>
    </w:p>
    <w:p w:rsidR="004A2D9B" w:rsidRPr="00D10B0C" w:rsidP="190E691C">
      <w:pPr>
        <w:rPr>
          <w:rFonts w:ascii="Verdana" w:hAnsi="Verdana"/>
        </w:rPr>
      </w:pPr>
      <w:r w:rsidRPr="00D10B0C">
        <w:rPr>
          <w:rFonts w:ascii="Verdana" w:hAnsi="Verdana"/>
        </w:rPr>
        <w:t>Secondly, Government has a responsibility to simplify financial and welfare systems. Many of the challenges faced by clients arise not only from low numeracy, but from the complexity of the systems themselves. Simplifying benefit calculations, improving the clarity of communications, and reducing administrative barriers would significantly improve accessibility for all users, particularly those with lower confidence or capability</w:t>
      </w:r>
      <w:r w:rsidRPr="00D10B0C" w:rsidR="1C21CF9D">
        <w:rPr>
          <w:rFonts w:ascii="Verdana" w:hAnsi="Verdana"/>
        </w:rPr>
        <w:t xml:space="preserve"> issues,</w:t>
      </w:r>
    </w:p>
    <w:p w:rsidR="004A2D9B" w:rsidRPr="00D10B0C" w:rsidP="190E691C">
      <w:pPr>
        <w:rPr>
          <w:rFonts w:ascii="Verdana" w:hAnsi="Verdana"/>
        </w:rPr>
      </w:pPr>
      <w:r w:rsidRPr="00D10B0C">
        <w:rPr>
          <w:rFonts w:ascii="Verdana" w:hAnsi="Verdana"/>
        </w:rPr>
        <w:t xml:space="preserve">Thirdly, Government should support the advice sector as a critical part of the financial resilience infrastructure. Our service </w:t>
      </w:r>
      <w:r w:rsidRPr="00D10B0C" w:rsidR="10FACA28">
        <w:rPr>
          <w:rFonts w:ascii="Verdana" w:hAnsi="Verdana"/>
        </w:rPr>
        <w:t xml:space="preserve">provided </w:t>
      </w:r>
      <w:r w:rsidRPr="00D10B0C">
        <w:rPr>
          <w:rFonts w:ascii="Verdana" w:hAnsi="Verdana"/>
        </w:rPr>
        <w:t xml:space="preserve">a total social value of £65.9 million in 2025–26, illustrating the wider economic and social benefits of advice provision. Investment in advice services not only supports individuals but also reduces pressure on public services and prevents escalation into more costly crises. </w:t>
      </w: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190E691C" w:rsidRPr="00D10B0C" w:rsidP="190E691C">
      <w:pPr>
        <w:rPr>
          <w:rFonts w:ascii="Verdana" w:hAnsi="Verdana"/>
        </w:rPr>
      </w:pPr>
    </w:p>
    <w:p w:rsidR="00D51DBC" w:rsidRPr="00D10B0C" w:rsidP="190E691C">
      <w:pPr>
        <w:rPr>
          <w:rFonts w:ascii="Verdana" w:hAnsi="Verdana"/>
        </w:rPr>
      </w:pPr>
    </w:p>
    <w:p w:rsidR="190E691C" w:rsidRPr="00D10B0C" w:rsidP="190E691C">
      <w:pPr>
        <w:rPr>
          <w:rFonts w:ascii="Verdana" w:hAnsi="Verdana"/>
        </w:rPr>
      </w:pPr>
    </w:p>
    <w:p w:rsidR="006B5CED" w:rsidRPr="00D10B0C" w:rsidP="190E691C">
      <w:pPr>
        <w:rPr>
          <w:rFonts w:ascii="Verdana" w:hAnsi="Verdana"/>
          <w:b/>
          <w:bCs/>
          <w:color w:val="4EA72E" w:themeColor="accent6"/>
        </w:rPr>
      </w:pPr>
      <w:r w:rsidRPr="00D10B0C">
        <w:rPr>
          <w:rFonts w:ascii="Verdana" w:hAnsi="Verdana"/>
          <w:b/>
          <w:bCs/>
        </w:rPr>
        <w:t xml:space="preserve">9. </w:t>
      </w:r>
      <w:r w:rsidRPr="00D10B0C" w:rsidR="1B947B2E">
        <w:rPr>
          <w:rFonts w:ascii="Verdana" w:hAnsi="Verdana"/>
          <w:b/>
          <w:bCs/>
        </w:rPr>
        <w:t xml:space="preserve">What is your view of the recent Curriculum and Assessment Review changes to the financial education taught in schools? </w:t>
      </w:r>
    </w:p>
    <w:p w:rsidR="006B5CED" w:rsidRPr="00D10B0C" w:rsidP="190E691C">
      <w:pPr>
        <w:rPr>
          <w:rFonts w:ascii="Verdana" w:hAnsi="Verdana"/>
          <w:b/>
          <w:bCs/>
          <w:color w:val="4EA72E" w:themeColor="accent6"/>
        </w:rPr>
      </w:pPr>
      <w:r w:rsidRPr="00D10B0C">
        <w:rPr>
          <w:rFonts w:ascii="Verdana" w:hAnsi="Verdana"/>
          <w:b/>
          <w:bCs/>
        </w:rPr>
        <w:t>Are these changes sufficient to embed the financial skills needed throughout life?</w:t>
      </w:r>
    </w:p>
    <w:p w:rsidR="004A2D9B" w:rsidRPr="00D10B0C" w:rsidP="190E691C">
      <w:pPr>
        <w:rPr>
          <w:rFonts w:ascii="Verdana" w:hAnsi="Verdana"/>
          <w:color w:val="4EA72E" w:themeColor="accent6"/>
        </w:rPr>
      </w:pPr>
      <w:r w:rsidRPr="00D10B0C">
        <w:rPr>
          <w:rFonts w:ascii="Verdana" w:hAnsi="Verdana"/>
        </w:rPr>
        <w:t>The recent Curriculum and Assessment Review changes relating to financial education are a positive step, but in their current form they are unlikely to be sufficient to fully embed the financial skills required throughout adulthood.</w:t>
      </w:r>
    </w:p>
    <w:p w:rsidR="004A2D9B" w:rsidRPr="00D10B0C" w:rsidP="190E691C">
      <w:pPr>
        <w:rPr>
          <w:rFonts w:ascii="Verdana" w:hAnsi="Verdana"/>
          <w:color w:val="4EA72E" w:themeColor="accent6"/>
        </w:rPr>
      </w:pPr>
      <w:r w:rsidRPr="00D10B0C">
        <w:rPr>
          <w:rFonts w:ascii="Verdana" w:hAnsi="Verdana"/>
        </w:rPr>
        <w:t>Financial education within schools provides an important foundation, particularly in building early awareness of concepts such as budgeting, saving, and understanding financial risk. This early exposure is essential in developing confidence and normalising conversations about money. However, our experience suggests that many clients reaching our service have not retained or applied these skills in practice.</w:t>
      </w:r>
    </w:p>
    <w:p w:rsidR="00173962" w:rsidRPr="00D10B0C" w:rsidP="190E691C">
      <w:pPr>
        <w:rPr>
          <w:rFonts w:ascii="Verdana" w:hAnsi="Verdana"/>
          <w:color w:val="4EA72E" w:themeColor="accent6"/>
        </w:rPr>
      </w:pPr>
      <w:r w:rsidRPr="00D10B0C">
        <w:rPr>
          <w:rFonts w:ascii="Verdana" w:hAnsi="Verdana"/>
        </w:rPr>
        <w:t xml:space="preserve">While </w:t>
      </w:r>
      <w:r w:rsidRPr="00D10B0C" w:rsidR="217D594D">
        <w:rPr>
          <w:rFonts w:ascii="Verdana" w:hAnsi="Verdana"/>
        </w:rPr>
        <w:t xml:space="preserve">financial </w:t>
      </w:r>
      <w:r w:rsidRPr="00D10B0C">
        <w:rPr>
          <w:rFonts w:ascii="Verdana" w:hAnsi="Verdana"/>
        </w:rPr>
        <w:t xml:space="preserve">education in schools is not an area our organisation can </w:t>
      </w:r>
      <w:r w:rsidRPr="00D10B0C" w:rsidR="515B06AD">
        <w:rPr>
          <w:rFonts w:ascii="Verdana" w:hAnsi="Verdana"/>
        </w:rPr>
        <w:t>extensively</w:t>
      </w:r>
      <w:r w:rsidRPr="00D10B0C">
        <w:rPr>
          <w:rFonts w:ascii="Verdana" w:hAnsi="Verdana"/>
        </w:rPr>
        <w:t xml:space="preserve"> comment on, one</w:t>
      </w:r>
      <w:r w:rsidRPr="00D10B0C" w:rsidR="72B94375">
        <w:rPr>
          <w:rFonts w:ascii="Verdana" w:hAnsi="Verdana"/>
        </w:rPr>
        <w:t xml:space="preserve"> of the key limitations is that financial education is often delivered in a theoretical or isolated way, rather than being embedded in real-life contexts. </w:t>
      </w:r>
    </w:p>
    <w:p w:rsidR="004A2D9B" w:rsidRPr="00D10B0C" w:rsidP="190E691C">
      <w:pPr>
        <w:rPr>
          <w:rFonts w:ascii="Verdana" w:hAnsi="Verdana"/>
          <w:color w:val="4EA72E" w:themeColor="accent6"/>
        </w:rPr>
      </w:pPr>
      <w:r w:rsidRPr="00D10B0C">
        <w:rPr>
          <w:rFonts w:ascii="Verdana" w:hAnsi="Verdana"/>
        </w:rPr>
        <w:t>For skills to be effective, individuals need to understand how they apply in everyday situations</w:t>
      </w:r>
      <w:r w:rsidRPr="00D10B0C" w:rsidR="164672F1">
        <w:rPr>
          <w:rFonts w:ascii="Verdana" w:hAnsi="Verdana"/>
        </w:rPr>
        <w:t xml:space="preserve"> </w:t>
      </w:r>
      <w:r w:rsidRPr="00D10B0C">
        <w:rPr>
          <w:rFonts w:ascii="Verdana" w:hAnsi="Verdana"/>
        </w:rPr>
        <w:t xml:space="preserve">such as managing fluctuating income, dealing with rising costs, or navigating financial </w:t>
      </w:r>
      <w:r w:rsidRPr="00D10B0C" w:rsidR="164672F1">
        <w:rPr>
          <w:rFonts w:ascii="Verdana" w:hAnsi="Verdana"/>
        </w:rPr>
        <w:t xml:space="preserve">products. </w:t>
      </w:r>
      <w:r w:rsidRPr="00D10B0C">
        <w:rPr>
          <w:rFonts w:ascii="Verdana" w:hAnsi="Verdana"/>
        </w:rPr>
        <w:t>Without this practical application, knowledge can be difficult to retain and use</w:t>
      </w:r>
      <w:r w:rsidRPr="00D10B0C" w:rsidR="0B535310">
        <w:rPr>
          <w:rFonts w:ascii="Verdana" w:hAnsi="Verdana"/>
        </w:rPr>
        <w:t>. This lack of practical knowledge</w:t>
      </w:r>
      <w:r w:rsidRPr="00D10B0C" w:rsidR="515B06AD">
        <w:rPr>
          <w:rFonts w:ascii="Verdana" w:hAnsi="Verdana"/>
        </w:rPr>
        <w:t xml:space="preserve"> results in people </w:t>
      </w:r>
      <w:r w:rsidRPr="00D10B0C" w:rsidR="0B535310">
        <w:rPr>
          <w:rFonts w:ascii="Verdana" w:hAnsi="Verdana"/>
        </w:rPr>
        <w:t>requiring</w:t>
      </w:r>
      <w:r w:rsidRPr="00D10B0C" w:rsidR="515B06AD">
        <w:rPr>
          <w:rFonts w:ascii="Verdana" w:hAnsi="Verdana"/>
        </w:rPr>
        <w:t xml:space="preserve"> further support from organisations such as Citizens Advice. </w:t>
      </w:r>
    </w:p>
    <w:p w:rsidR="004A2D9B" w:rsidRPr="00D10B0C" w:rsidP="190E691C">
      <w:pPr>
        <w:rPr>
          <w:rFonts w:ascii="Verdana" w:hAnsi="Verdana"/>
          <w:color w:val="4EA72E" w:themeColor="accent6"/>
        </w:rPr>
      </w:pPr>
    </w:p>
    <w:p w:rsidR="004A2D9B" w:rsidRPr="00D10B0C" w:rsidP="190E691C">
      <w:pPr>
        <w:rPr>
          <w:rFonts w:ascii="Verdana" w:hAnsi="Verdana"/>
          <w:color w:val="4EA72E" w:themeColor="accent6"/>
        </w:rPr>
      </w:pPr>
    </w:p>
    <w:p w:rsidR="00042EB6" w:rsidRPr="00D10B0C" w:rsidP="190E691C">
      <w:pPr>
        <w:rPr>
          <w:rFonts w:ascii="Verdana" w:hAnsi="Verdana"/>
        </w:rPr>
      </w:pPr>
    </w:p>
    <w:p w:rsidR="00042EB6" w:rsidRPr="00D10B0C" w:rsidP="190E691C">
      <w:pPr>
        <w:rPr>
          <w:rFonts w:ascii="Verdana" w:hAnsi="Verdana"/>
        </w:rPr>
      </w:pPr>
    </w:p>
    <w:p w:rsidR="00042EB6" w:rsidRPr="00D10B0C" w:rsidP="190E691C">
      <w:pPr>
        <w:rPr>
          <w:rFonts w:ascii="Verdana" w:hAnsi="Verdana"/>
        </w:rPr>
      </w:pPr>
    </w:p>
    <w:p w:rsidR="00042EB6" w:rsidRPr="00D10B0C" w:rsidP="190E691C">
      <w:pPr>
        <w:rPr>
          <w:rFonts w:ascii="Verdana" w:hAnsi="Verdana"/>
        </w:rPr>
      </w:pPr>
    </w:p>
    <w:p w:rsidR="00042EB6" w:rsidRPr="00D10B0C" w:rsidP="190E691C">
      <w:pPr>
        <w:rPr>
          <w:rFonts w:ascii="Verdana" w:hAnsi="Verdana"/>
        </w:rPr>
      </w:pPr>
    </w:p>
    <w:p w:rsidR="00042EB6" w:rsidRPr="00D10B0C" w:rsidP="190E691C">
      <w:pPr>
        <w:rPr>
          <w:rFonts w:ascii="Verdana" w:hAnsi="Verdana"/>
        </w:rPr>
      </w:pPr>
    </w:p>
    <w:p w:rsidR="00042EB6" w:rsidRPr="00D10B0C" w:rsidP="190E691C">
      <w:pPr>
        <w:rPr>
          <w:rFonts w:ascii="Verdana" w:hAnsi="Verdana"/>
        </w:rPr>
      </w:pPr>
    </w:p>
    <w:p w:rsidR="00042EB6" w:rsidRPr="00D10B0C" w:rsidP="190E691C">
      <w:pPr>
        <w:rPr>
          <w:rFonts w:ascii="Verdana" w:hAnsi="Verdana"/>
        </w:rPr>
      </w:pPr>
    </w:p>
    <w:p w:rsidR="00042EB6" w:rsidRPr="00D10B0C" w:rsidP="190E691C">
      <w:pPr>
        <w:rPr>
          <w:rFonts w:ascii="Verdana" w:hAnsi="Verdana"/>
        </w:rPr>
      </w:pPr>
    </w:p>
    <w:p w:rsidR="00042EB6" w:rsidRPr="00D10B0C" w:rsidP="190E691C">
      <w:pPr>
        <w:rPr>
          <w:rFonts w:ascii="Verdana" w:hAnsi="Verdana"/>
          <w:color w:val="4EA72E" w:themeColor="accent6"/>
        </w:rPr>
      </w:pPr>
    </w:p>
    <w:p w:rsidR="190E691C" w:rsidRPr="00D10B0C" w:rsidP="190E691C">
      <w:pPr>
        <w:rPr>
          <w:rFonts w:ascii="Verdana" w:hAnsi="Verdana"/>
        </w:rPr>
      </w:pPr>
    </w:p>
    <w:p w:rsidR="004A2D9B" w:rsidRPr="00D10B0C" w:rsidP="190E691C">
      <w:pPr>
        <w:rPr>
          <w:rFonts w:ascii="Verdana" w:hAnsi="Verdana"/>
          <w:b/>
          <w:bCs/>
          <w:color w:val="4EA72E" w:themeColor="accent6"/>
        </w:rPr>
      </w:pPr>
      <w:r w:rsidRPr="00D10B0C">
        <w:rPr>
          <w:rFonts w:ascii="Verdana" w:hAnsi="Verdana"/>
          <w:b/>
          <w:bCs/>
        </w:rPr>
        <w:t>10. Final recommendation to Government</w:t>
      </w:r>
    </w:p>
    <w:p w:rsidR="72B94375" w:rsidRPr="00D10B0C" w:rsidP="190E691C">
      <w:pPr>
        <w:rPr>
          <w:rFonts w:ascii="Verdana" w:hAnsi="Verdana"/>
        </w:rPr>
      </w:pPr>
      <w:r w:rsidRPr="00D10B0C">
        <w:rPr>
          <w:rFonts w:ascii="Verdana" w:hAnsi="Verdana"/>
        </w:rPr>
        <w:t xml:space="preserve">If there were one key recommendation to Government arising from our experience at Stockton Citizens Advice, </w:t>
      </w:r>
      <w:r w:rsidRPr="00D10B0C" w:rsidR="12041A33">
        <w:rPr>
          <w:rFonts w:ascii="Verdana" w:hAnsi="Verdana"/>
        </w:rPr>
        <w:t xml:space="preserve">we would strongly urge the government to consider relaunching the National Numeracy Strategy (NNS) with a new focus. First launched in 1998 with the goal of tackling mathematical proficiency in primary schools, this newly launched strategy should instead focus on improving the mathematical proficiency of our adult population. </w:t>
      </w:r>
    </w:p>
    <w:p w:rsidR="6501E1BE" w:rsidRPr="00D10B0C" w:rsidP="190E691C">
      <w:pPr>
        <w:spacing w:line="300" w:lineRule="auto"/>
        <w:rPr>
          <w:rFonts w:ascii="Verdana" w:hAnsi="Verdana" w:eastAsiaTheme="minorEastAsia"/>
        </w:rPr>
      </w:pPr>
      <w:r w:rsidRPr="00D10B0C">
        <w:rPr>
          <w:rFonts w:ascii="Verdana" w:hAnsi="Verdana" w:eastAsiaTheme="minorEastAsia"/>
        </w:rPr>
        <w:t>Research from the University of Southampton on health literacy and numeracy found that 42.57% of Stockton-on-Tees residents aged 16 – 64 fall below the threshold considered necessary to effectively understand and use health information and numerical data.</w:t>
      </w:r>
    </w:p>
    <w:p w:rsidR="6501E1BE" w:rsidRPr="00D10B0C" w:rsidP="190E691C">
      <w:pPr>
        <w:spacing w:line="300" w:lineRule="auto"/>
        <w:rPr>
          <w:rFonts w:ascii="Verdana" w:hAnsi="Verdana" w:eastAsiaTheme="minorEastAsia"/>
        </w:rPr>
      </w:pPr>
      <w:r w:rsidRPr="00D10B0C">
        <w:rPr>
          <w:rFonts w:ascii="Verdana" w:hAnsi="Verdana" w:eastAsiaTheme="minorEastAsia"/>
        </w:rPr>
        <w:t xml:space="preserve">By creating a national strategy, this would provide the level of oversight and conviction </w:t>
      </w:r>
      <w:r w:rsidRPr="00D10B0C" w:rsidR="2B28F967">
        <w:rPr>
          <w:rFonts w:ascii="Verdana" w:hAnsi="Verdana" w:eastAsiaTheme="minorEastAsia"/>
        </w:rPr>
        <w:t>necessary</w:t>
      </w:r>
      <w:r w:rsidRPr="00D10B0C">
        <w:rPr>
          <w:rFonts w:ascii="Verdana" w:hAnsi="Verdana" w:eastAsiaTheme="minorEastAsia"/>
        </w:rPr>
        <w:t xml:space="preserve"> to tackle this issue. Ourselves and our partners in the VCSE sector are well </w:t>
      </w:r>
      <w:r w:rsidRPr="00D10B0C" w:rsidR="2B28F967">
        <w:rPr>
          <w:rFonts w:ascii="Verdana" w:hAnsi="Verdana" w:eastAsiaTheme="minorEastAsia"/>
        </w:rPr>
        <w:t>positioned</w:t>
      </w:r>
      <w:r w:rsidRPr="00D10B0C">
        <w:rPr>
          <w:rFonts w:ascii="Verdana" w:hAnsi="Verdana" w:eastAsiaTheme="minorEastAsia"/>
        </w:rPr>
        <w:t xml:space="preserve"> to assist the government on an </w:t>
      </w:r>
      <w:r w:rsidRPr="00D10B0C" w:rsidR="18F1B30A">
        <w:rPr>
          <w:rFonts w:ascii="Verdana" w:hAnsi="Verdana" w:eastAsiaTheme="minorEastAsia"/>
        </w:rPr>
        <w:t xml:space="preserve">initiative </w:t>
      </w:r>
      <w:r w:rsidRPr="00D10B0C">
        <w:rPr>
          <w:rFonts w:ascii="Verdana" w:hAnsi="Verdana" w:eastAsiaTheme="minorEastAsia"/>
        </w:rPr>
        <w:t>such as thi</w:t>
      </w:r>
      <w:r w:rsidRPr="00D10B0C" w:rsidR="2BE0F626">
        <w:rPr>
          <w:rFonts w:ascii="Verdana" w:hAnsi="Verdana" w:eastAsiaTheme="minorEastAsia"/>
        </w:rPr>
        <w:t xml:space="preserve">s by assisting the civil service to embed a national </w:t>
      </w:r>
      <w:r w:rsidRPr="00D10B0C" w:rsidR="18F1B30A">
        <w:rPr>
          <w:rFonts w:ascii="Verdana" w:hAnsi="Verdana" w:eastAsiaTheme="minorEastAsia"/>
        </w:rPr>
        <w:t xml:space="preserve">initiative </w:t>
      </w:r>
      <w:r w:rsidRPr="00D10B0C" w:rsidR="2BE0F626">
        <w:rPr>
          <w:rFonts w:ascii="Verdana" w:hAnsi="Verdana" w:eastAsiaTheme="minorEastAsia"/>
        </w:rPr>
        <w:t xml:space="preserve">into our </w:t>
      </w:r>
      <w:r w:rsidRPr="00D10B0C" w:rsidR="1D17ED82">
        <w:rPr>
          <w:rFonts w:ascii="Verdana" w:hAnsi="Verdana" w:eastAsiaTheme="minorEastAsia"/>
        </w:rPr>
        <w:t>communities</w:t>
      </w:r>
      <w:r w:rsidRPr="00D10B0C" w:rsidR="2BE0F626">
        <w:rPr>
          <w:rFonts w:ascii="Verdana" w:hAnsi="Verdana" w:eastAsiaTheme="minorEastAsia"/>
        </w:rPr>
        <w:t xml:space="preserve">. </w:t>
      </w:r>
    </w:p>
    <w:p w:rsidR="004A2D9B" w:rsidRPr="00D10B0C" w:rsidP="190E691C">
      <w:pPr>
        <w:rPr>
          <w:rFonts w:ascii="Verdana" w:hAnsi="Verdana"/>
          <w:color w:val="4EA72E" w:themeColor="accent6"/>
        </w:rPr>
      </w:pPr>
      <w:r w:rsidRPr="00D10B0C">
        <w:rPr>
          <w:rFonts w:ascii="Verdana" w:hAnsi="Verdana"/>
        </w:rPr>
        <w:t>Our work demonstrates that financial difficulty is rarely caused by a single issue. Clients typically present with multiple, overlapping problems</w:t>
      </w:r>
      <w:r w:rsidRPr="00D10B0C" w:rsidR="1101B4E9">
        <w:rPr>
          <w:rFonts w:ascii="Verdana" w:hAnsi="Verdana"/>
        </w:rPr>
        <w:t xml:space="preserve">, </w:t>
      </w:r>
      <w:r w:rsidRPr="00D10B0C">
        <w:rPr>
          <w:rFonts w:ascii="Verdana" w:hAnsi="Verdana"/>
        </w:rPr>
        <w:t>ranging from debt and housing to benefits and energy</w:t>
      </w:r>
      <w:r w:rsidRPr="00D10B0C" w:rsidR="1101B4E9">
        <w:rPr>
          <w:rFonts w:ascii="Verdana" w:hAnsi="Verdana"/>
        </w:rPr>
        <w:t xml:space="preserve">, </w:t>
      </w:r>
      <w:r w:rsidRPr="00D10B0C">
        <w:rPr>
          <w:rFonts w:ascii="Verdana" w:hAnsi="Verdana"/>
        </w:rPr>
        <w:t xml:space="preserve">often underpinned by low confidence in managing finances. While improving numeracy and financial literacy is essential, it cannot be addressed in isolation from the wider systems in which people operate. </w:t>
      </w:r>
    </w:p>
    <w:p w:rsidR="004A2D9B" w:rsidRPr="00D10B0C" w:rsidP="190E691C">
      <w:pPr>
        <w:rPr>
          <w:rFonts w:ascii="Verdana" w:hAnsi="Verdana"/>
          <w:color w:val="4EA72E" w:themeColor="accent6"/>
        </w:rPr>
      </w:pPr>
      <w:r w:rsidRPr="00D10B0C">
        <w:rPr>
          <w:rFonts w:ascii="Verdana" w:hAnsi="Verdana"/>
        </w:rPr>
        <w:t>A national strategy should therefore focus on three interconnected priorities.</w:t>
      </w:r>
    </w:p>
    <w:p w:rsidR="004A2D9B" w:rsidRPr="00D10B0C" w:rsidP="190E691C">
      <w:pPr>
        <w:rPr>
          <w:rFonts w:ascii="Verdana" w:hAnsi="Verdana"/>
        </w:rPr>
      </w:pPr>
      <w:r w:rsidRPr="00D10B0C">
        <w:rPr>
          <w:rFonts w:ascii="Verdana" w:hAnsi="Verdana"/>
        </w:rPr>
        <w:t>Firstly, improving financial capability through accessible, practical education</w:t>
      </w:r>
      <w:r w:rsidRPr="00D10B0C" w:rsidR="1BD06052">
        <w:rPr>
          <w:rFonts w:ascii="Verdana" w:hAnsi="Verdana"/>
        </w:rPr>
        <w:t>. By e</w:t>
      </w:r>
      <w:r w:rsidRPr="00D10B0C">
        <w:rPr>
          <w:rFonts w:ascii="Verdana" w:hAnsi="Verdana"/>
        </w:rPr>
        <w:t>xpanding adult learning and embedding financial education within community settings and advice services</w:t>
      </w:r>
      <w:r w:rsidRPr="00D10B0C" w:rsidR="09F708DB">
        <w:rPr>
          <w:rFonts w:ascii="Verdana" w:hAnsi="Verdana"/>
        </w:rPr>
        <w:t xml:space="preserve"> we can begin to help those most affected.</w:t>
      </w:r>
    </w:p>
    <w:p w:rsidR="004A2D9B" w:rsidRPr="00D10B0C" w:rsidP="190E691C">
      <w:pPr>
        <w:rPr>
          <w:rFonts w:ascii="Verdana" w:hAnsi="Verdana"/>
          <w:color w:val="4EA72E" w:themeColor="accent6"/>
        </w:rPr>
      </w:pPr>
      <w:r w:rsidRPr="00D10B0C">
        <w:rPr>
          <w:rFonts w:ascii="Verdana" w:hAnsi="Verdana"/>
        </w:rPr>
        <w:t>Secondly, simplifying systems to reduce reliance on individual capability. Many clients struggle not because they are unwilling to engage, but because systems are too complex. Simplifying benefit processes, improving transparency in financial products, and standardising communication would make a significant difference.</w:t>
      </w:r>
    </w:p>
    <w:p w:rsidR="004A2D9B" w:rsidRPr="00D10B0C" w:rsidP="190E691C">
      <w:pPr>
        <w:rPr>
          <w:rFonts w:ascii="Verdana" w:hAnsi="Verdana"/>
          <w:color w:val="4EA72E" w:themeColor="accent6"/>
        </w:rPr>
      </w:pPr>
      <w:r w:rsidRPr="00D10B0C">
        <w:rPr>
          <w:rFonts w:ascii="Verdana" w:hAnsi="Verdana"/>
        </w:rPr>
        <w:t>Thirdly, ensuring sustainable investment in advice services. Organisations such as Stockton Citizens Advice play a crucial role in bridging the gap between individuals and systems, translating complex information into practical support. Our service alone generated £65.9 million in social value in 2025–26, demonstrating the return on investment in advice provision</w:t>
      </w:r>
      <w:r w:rsidRPr="00D10B0C" w:rsidR="3A8D2005">
        <w:rPr>
          <w:rFonts w:ascii="Verdana" w:hAnsi="Verdana"/>
        </w:rPr>
        <w:t xml:space="preserve"> for society. </w:t>
      </w:r>
    </w:p>
    <w:p w:rsidR="004A2D9B" w:rsidRPr="00D10B0C" w:rsidP="190E691C">
      <w:pPr>
        <w:rPr>
          <w:rFonts w:ascii="Verdana" w:hAnsi="Verdana"/>
          <w:color w:val="4EA72E" w:themeColor="accent6"/>
        </w:rPr>
      </w:pPr>
      <w:r w:rsidRPr="00D10B0C">
        <w:rPr>
          <w:rFonts w:ascii="Verdana" w:hAnsi="Verdana"/>
        </w:rPr>
        <w:t>Importantly, this strategy should recognise the importance of early intervention. Providing support before individuals reach crisis point not only improves outcomes for individuals but also reduces long-term costs to public services.</w:t>
      </w:r>
    </w:p>
    <w:p w:rsidR="004A2D9B" w:rsidRPr="00D10B0C" w:rsidP="190E691C">
      <w:pPr>
        <w:rPr>
          <w:rFonts w:ascii="Verdana" w:hAnsi="Verdana"/>
        </w:rPr>
      </w:pPr>
      <w:r w:rsidRPr="00D10B0C">
        <w:rPr>
          <w:rFonts w:ascii="Verdana" w:hAnsi="Verdana"/>
        </w:rPr>
        <w:t xml:space="preserve">In summary, the most effective response to low numeracy and financial literacy is not a single policy change, but a coordinated, long-term approach that addresses both individual skills and systemic barriers. </w:t>
      </w:r>
      <w:r w:rsidRPr="00D10B0C" w:rsidR="7C0A368F">
        <w:rPr>
          <w:rFonts w:ascii="Verdana" w:hAnsi="Verdana"/>
        </w:rPr>
        <w:t>Through relaunching the National Numeracy Strategy, we can begin to repair the damaging effects that low numeracy levels have in our society.</w:t>
      </w:r>
    </w:p>
    <w:p w:rsidR="004A2D9B">
      <w:pPr>
        <w:rPr>
          <w:rFonts w:ascii="Verdana" w:hAnsi="Verdana"/>
        </w:rPr>
      </w:pPr>
    </w:p>
    <w:p w:rsidR="005D4972">
      <w:pPr>
        <w:rPr>
          <w:rFonts w:ascii="Verdana" w:hAnsi="Verdana"/>
        </w:rPr>
      </w:pPr>
    </w:p>
    <w:p w:rsidR="005D4972" w:rsidRPr="005D4972">
      <w:pPr>
        <w:rPr>
          <w:rFonts w:ascii="Verdana" w:hAnsi="Verdana"/>
          <w:i/>
          <w:iCs/>
        </w:rPr>
      </w:pPr>
      <w:r w:rsidRPr="005D4972">
        <w:rPr>
          <w:rFonts w:ascii="Verdana" w:hAnsi="Verdana"/>
          <w:i/>
          <w:iCs/>
        </w:rPr>
        <w:t>2 July 2026</w:t>
      </w:r>
    </w:p>
    <w:p w:rsidR="005D4972" w:rsidRPr="00D10B0C">
      <w:pPr>
        <w:rPr>
          <w:rFonts w:ascii="Verdana" w:hAnsi="Verdana"/>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4A2D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2D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2D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2D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2D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2D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2D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2D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2D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D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2D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2D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2D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2D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2D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2D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2D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2D9B"/>
    <w:rPr>
      <w:rFonts w:eastAsiaTheme="majorEastAsia" w:cstheme="majorBidi"/>
      <w:color w:val="272727" w:themeColor="text1" w:themeTint="D8"/>
    </w:rPr>
  </w:style>
  <w:style w:type="paragraph" w:styleId="Title">
    <w:name w:val="Title"/>
    <w:basedOn w:val="Normal"/>
    <w:next w:val="Normal"/>
    <w:link w:val="TitleChar"/>
    <w:uiPriority w:val="10"/>
    <w:qFormat/>
    <w:rsid w:val="004A2D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2D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2D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2D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2D9B"/>
    <w:pPr>
      <w:spacing w:before="160"/>
      <w:jc w:val="center"/>
    </w:pPr>
    <w:rPr>
      <w:i/>
      <w:iCs/>
      <w:color w:val="404040" w:themeColor="text1" w:themeTint="BF"/>
    </w:rPr>
  </w:style>
  <w:style w:type="character" w:customStyle="1" w:styleId="QuoteChar">
    <w:name w:val="Quote Char"/>
    <w:basedOn w:val="DefaultParagraphFont"/>
    <w:link w:val="Quote"/>
    <w:uiPriority w:val="29"/>
    <w:rsid w:val="004A2D9B"/>
    <w:rPr>
      <w:i/>
      <w:iCs/>
      <w:color w:val="404040" w:themeColor="text1" w:themeTint="BF"/>
    </w:rPr>
  </w:style>
  <w:style w:type="paragraph" w:styleId="ListParagraph">
    <w:name w:val="List Paragraph"/>
    <w:basedOn w:val="Normal"/>
    <w:uiPriority w:val="34"/>
    <w:qFormat/>
    <w:rsid w:val="004A2D9B"/>
    <w:pPr>
      <w:ind w:left="720"/>
      <w:contextualSpacing/>
    </w:pPr>
  </w:style>
  <w:style w:type="character" w:styleId="IntenseEmphasis">
    <w:name w:val="Intense Emphasis"/>
    <w:basedOn w:val="DefaultParagraphFont"/>
    <w:uiPriority w:val="21"/>
    <w:qFormat/>
    <w:rsid w:val="004A2D9B"/>
    <w:rPr>
      <w:i/>
      <w:iCs/>
      <w:color w:val="0F4761" w:themeColor="accent1" w:themeShade="BF"/>
    </w:rPr>
  </w:style>
  <w:style w:type="paragraph" w:styleId="IntenseQuote">
    <w:name w:val="Intense Quote"/>
    <w:basedOn w:val="Normal"/>
    <w:next w:val="Normal"/>
    <w:link w:val="IntenseQuoteChar"/>
    <w:uiPriority w:val="30"/>
    <w:qFormat/>
    <w:rsid w:val="004A2D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2D9B"/>
    <w:rPr>
      <w:i/>
      <w:iCs/>
      <w:color w:val="0F4761" w:themeColor="accent1" w:themeShade="BF"/>
    </w:rPr>
  </w:style>
  <w:style w:type="character" w:styleId="IntenseReference">
    <w:name w:val="Intense Reference"/>
    <w:basedOn w:val="DefaultParagraphFont"/>
    <w:uiPriority w:val="32"/>
    <w:qFormat/>
    <w:rsid w:val="004A2D9B"/>
    <w:rPr>
      <w:b/>
      <w:bCs/>
      <w:smallCaps/>
      <w:color w:val="0F4761" w:themeColor="accent1" w:themeShade="BF"/>
      <w:spacing w:val="5"/>
    </w:rPr>
  </w:style>
  <w:style w:type="character" w:styleId="Hyperlink">
    <w:name w:val="Hyperlink"/>
    <w:basedOn w:val="DefaultParagraphFont"/>
    <w:uiPriority w:val="99"/>
    <w:unhideWhenUsed/>
    <w:rsid w:val="004A2D9B"/>
    <w:rPr>
      <w:color w:val="467886" w:themeColor="hyperlink"/>
      <w:u w:val="single"/>
    </w:rPr>
  </w:style>
  <w:style w:type="character" w:customStyle="1" w:styleId="UnresolvedMention">
    <w:name w:val="Unresolved Mention"/>
    <w:basedOn w:val="DefaultParagraphFont"/>
    <w:uiPriority w:val="99"/>
    <w:semiHidden/>
    <w:unhideWhenUsed/>
    <w:rsid w:val="004A2D9B"/>
    <w:rPr>
      <w:color w:val="605E5C"/>
      <w:shd w:val="clear" w:color="auto" w:fill="E1DFDD"/>
    </w:rPr>
  </w:style>
  <w:style w:type="character" w:styleId="CommentReference">
    <w:name w:val="annotation reference"/>
    <w:basedOn w:val="DefaultParagraphFont"/>
    <w:uiPriority w:val="99"/>
    <w:semiHidden/>
    <w:unhideWhenUsed/>
    <w:rsid w:val="006F6E5B"/>
    <w:rPr>
      <w:sz w:val="16"/>
      <w:szCs w:val="16"/>
    </w:rPr>
  </w:style>
  <w:style w:type="paragraph" w:styleId="CommentText">
    <w:name w:val="annotation text"/>
    <w:basedOn w:val="Normal"/>
    <w:link w:val="CommentTextChar"/>
    <w:uiPriority w:val="99"/>
    <w:unhideWhenUsed/>
    <w:rsid w:val="006F6E5B"/>
    <w:pPr>
      <w:spacing w:line="240" w:lineRule="auto"/>
    </w:pPr>
    <w:rPr>
      <w:sz w:val="20"/>
      <w:szCs w:val="20"/>
    </w:rPr>
  </w:style>
  <w:style w:type="character" w:customStyle="1" w:styleId="CommentTextChar">
    <w:name w:val="Comment Text Char"/>
    <w:basedOn w:val="DefaultParagraphFont"/>
    <w:link w:val="CommentText"/>
    <w:uiPriority w:val="99"/>
    <w:rsid w:val="006F6E5B"/>
    <w:rPr>
      <w:sz w:val="20"/>
      <w:szCs w:val="20"/>
    </w:rPr>
  </w:style>
  <w:style w:type="paragraph" w:styleId="CommentSubject">
    <w:name w:val="annotation subject"/>
    <w:basedOn w:val="CommentText"/>
    <w:next w:val="CommentText"/>
    <w:link w:val="CommentSubjectChar"/>
    <w:uiPriority w:val="99"/>
    <w:semiHidden/>
    <w:unhideWhenUsed/>
    <w:rsid w:val="006F6E5B"/>
    <w:rPr>
      <w:b/>
      <w:bCs/>
    </w:rPr>
  </w:style>
  <w:style w:type="character" w:customStyle="1" w:styleId="CommentSubjectChar">
    <w:name w:val="Comment Subject Char"/>
    <w:basedOn w:val="CommentTextChar"/>
    <w:link w:val="CommentSubject"/>
    <w:uiPriority w:val="99"/>
    <w:semiHidden/>
    <w:rsid w:val="006F6E5B"/>
    <w:rPr>
      <w:b/>
      <w:bCs/>
      <w:sz w:val="20"/>
      <w:szCs w:val="20"/>
    </w:rPr>
  </w:style>
  <w:style w:type="paragraph" w:styleId="NoSpacing">
    <w:name w:val="No Spacing"/>
    <w:uiPriority w:val="1"/>
    <w:qFormat/>
    <w:rsid w:val="00D51D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NUM0072</dc:title>
  <cp:revision>0</cp:revision>
</cp:coreProperties>
</file>