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D5646" w:rsidRPr="00C261CE" w:rsidP="007D0B1D">
      <w:pPr>
        <w:spacing w:after="120"/>
        <w:jc w:val="both"/>
        <w:rPr>
          <w:rFonts w:ascii="Verdana" w:hAnsi="Verdana" w:cs="Arial"/>
          <w:b/>
          <w:bCs/>
          <w:sz w:val="28"/>
          <w:szCs w:val="28"/>
          <w:lang w:val="en-US"/>
        </w:rPr>
      </w:pPr>
      <w:r w:rsidRPr="00C261CE">
        <w:rPr>
          <w:rFonts w:ascii="Verdana" w:hAnsi="Verdana" w:cs="Arial"/>
          <w:b/>
          <w:bCs/>
          <w:sz w:val="28"/>
          <w:szCs w:val="28"/>
          <w:lang w:val="en-US"/>
        </w:rPr>
        <w:t xml:space="preserve">Professor Camilla Gilmore and Professor Jo van </w:t>
      </w:r>
      <w:r w:rsidRPr="00C261CE">
        <w:rPr>
          <w:rFonts w:ascii="Verdana" w:hAnsi="Verdana" w:cs="Arial"/>
          <w:b/>
          <w:bCs/>
          <w:sz w:val="28"/>
          <w:szCs w:val="28"/>
          <w:lang w:val="en-US"/>
        </w:rPr>
        <w:t>Herwegen</w:t>
      </w:r>
      <w:r w:rsidRPr="00C261CE" w:rsidR="004F0053">
        <w:rPr>
          <w:rFonts w:ascii="Verdana" w:hAnsi="Verdana" w:cs="Arial"/>
          <w:b/>
          <w:bCs/>
          <w:sz w:val="28"/>
          <w:szCs w:val="28"/>
          <w:lang w:val="en-US"/>
        </w:rPr>
        <w:t xml:space="preserve"> </w:t>
      </w:r>
      <w:r w:rsidRPr="00C261CE" w:rsidR="004F0053">
        <w:rPr>
          <w:rFonts w:ascii="Verdana" w:hAnsi="Verdana"/>
          <w:b/>
          <w:bCs/>
          <w:sz w:val="28"/>
          <w:szCs w:val="28"/>
          <w:lang w:val="en-US"/>
        </w:rPr>
        <w:t xml:space="preserve">– </w:t>
      </w:r>
      <w:r w:rsidRPr="00C261CE">
        <w:rPr>
          <w:rFonts w:ascii="Verdana" w:hAnsi="Verdana" w:cs="Arial"/>
          <w:b/>
          <w:bCs/>
          <w:sz w:val="28"/>
          <w:szCs w:val="28"/>
          <w:lang w:val="en-US"/>
        </w:rPr>
        <w:t>Supplementary Written Evidence (NUM007</w:t>
      </w:r>
      <w:r w:rsidR="00C261CE">
        <w:rPr>
          <w:rFonts w:ascii="Verdana" w:hAnsi="Verdana" w:cs="Arial"/>
          <w:b/>
          <w:bCs/>
          <w:sz w:val="28"/>
          <w:szCs w:val="28"/>
          <w:lang w:val="en-US"/>
        </w:rPr>
        <w:t>1</w:t>
      </w:r>
      <w:r w:rsidRPr="00C261CE">
        <w:rPr>
          <w:rFonts w:ascii="Verdana" w:hAnsi="Verdana" w:cs="Arial"/>
          <w:b/>
          <w:bCs/>
          <w:sz w:val="28"/>
          <w:szCs w:val="28"/>
          <w:lang w:val="en-US"/>
        </w:rPr>
        <w:t>)</w:t>
      </w:r>
    </w:p>
    <w:p w:rsidR="00DD5646" w:rsidRPr="004F0053" w:rsidP="00DD5646">
      <w:pPr>
        <w:spacing w:after="120"/>
        <w:rPr>
          <w:rFonts w:ascii="Verdana" w:hAnsi="Verdana" w:cs="Arial"/>
          <w:lang w:val="en-US"/>
        </w:rPr>
      </w:pPr>
    </w:p>
    <w:p w:rsidR="00193110" w:rsidRPr="00DD5646" w:rsidP="00DD5646">
      <w:pPr>
        <w:rPr>
          <w:rFonts w:ascii="Verdana" w:hAnsi="Verdana" w:cs="Arial"/>
        </w:rPr>
      </w:pPr>
      <w:r w:rsidRPr="00DD5646">
        <w:rPr>
          <w:rFonts w:ascii="Verdana" w:hAnsi="Verdana" w:cs="Arial"/>
        </w:rPr>
        <w:t>Following our oral evidence to the committee on 4</w:t>
      </w:r>
      <w:r w:rsidRPr="00DD5646">
        <w:rPr>
          <w:rFonts w:ascii="Verdana" w:hAnsi="Verdana" w:cs="Arial"/>
          <w:vertAlign w:val="superscript"/>
        </w:rPr>
        <w:t>th</w:t>
      </w:r>
      <w:r w:rsidRPr="00DD5646">
        <w:rPr>
          <w:rFonts w:ascii="Verdana" w:hAnsi="Verdana" w:cs="Arial"/>
        </w:rPr>
        <w:t xml:space="preserve"> June 2026 we submit the following recommendations. </w:t>
      </w:r>
    </w:p>
    <w:p w:rsidR="00193110" w:rsidRPr="00DD5646" w:rsidP="00DD5646">
      <w:pPr>
        <w:rPr>
          <w:rFonts w:ascii="Verdana" w:hAnsi="Verdana" w:cs="Arial"/>
        </w:rPr>
      </w:pPr>
    </w:p>
    <w:p w:rsidR="00193110" w:rsidRPr="00DD5646" w:rsidP="00DD5646">
      <w:pPr>
        <w:spacing w:after="120"/>
        <w:rPr>
          <w:rFonts w:ascii="Verdana" w:hAnsi="Verdana" w:cs="Arial"/>
          <w:b/>
          <w:bCs/>
        </w:rPr>
      </w:pPr>
      <w:r w:rsidRPr="00DD5646">
        <w:rPr>
          <w:rFonts w:ascii="Verdana" w:hAnsi="Verdana" w:cs="Arial"/>
          <w:b/>
          <w:bCs/>
        </w:rPr>
        <w:t xml:space="preserve">1. Revise the Early Learning Goals for Mathematics </w:t>
      </w:r>
    </w:p>
    <w:p w:rsidR="00193110" w:rsidRPr="00DD5646" w:rsidP="00DD5646">
      <w:pPr>
        <w:spacing w:after="120"/>
        <w:rPr>
          <w:rFonts w:ascii="Verdana" w:hAnsi="Verdana" w:cs="Arial"/>
        </w:rPr>
      </w:pPr>
      <w:r w:rsidRPr="00DD5646">
        <w:rPr>
          <w:rFonts w:ascii="Verdana" w:hAnsi="Verdana" w:cs="Arial"/>
        </w:rPr>
        <w:t>The Early Learning Goals should be revised to bring them in line with evidence about children’s learning and development and to ensure that children develop the right foundations to succeed in school. Research has identified a set of concepts and skills that young children need to develop to succeed in mathematics</w:t>
      </w:r>
      <w:r>
        <w:rPr>
          <w:rStyle w:val="FootnoteReference"/>
          <w:rFonts w:ascii="Verdana" w:hAnsi="Verdana" w:cs="Arial"/>
        </w:rPr>
        <w:footnoteReference w:id="2"/>
      </w:r>
      <w:r w:rsidRPr="00DD5646">
        <w:rPr>
          <w:rFonts w:ascii="Verdana" w:hAnsi="Verdana" w:cs="Arial"/>
        </w:rPr>
        <w:t xml:space="preserve"> but the current Early Learning Goals for mathematics are not well-aligned with this evidence. They are too narrowly focused and under-emphasise conceptual, spatial and linguistic aspects of mathematics. The focus on automatic recall is not developmentally appropriate. </w:t>
      </w:r>
    </w:p>
    <w:p w:rsidR="00193110" w:rsidRPr="00DD5646" w:rsidP="00DD5646">
      <w:pPr>
        <w:rPr>
          <w:rFonts w:ascii="Verdana" w:hAnsi="Verdana" w:cs="Arial"/>
        </w:rPr>
      </w:pPr>
      <w:r w:rsidRPr="00DD5646">
        <w:rPr>
          <w:rFonts w:ascii="Verdana" w:hAnsi="Verdana" w:cs="Arial"/>
        </w:rPr>
        <w:t>There is no single cognitive mechanism that underlies early mathematics learning</w:t>
      </w:r>
      <w:r w:rsidRPr="00DD5646" w:rsidR="00B63C88">
        <w:rPr>
          <w:rFonts w:ascii="Verdana" w:hAnsi="Verdana" w:cs="Arial"/>
        </w:rPr>
        <w:t xml:space="preserve"> or mathematical learning difficulties</w:t>
      </w:r>
      <w:r w:rsidRPr="00DD5646">
        <w:rPr>
          <w:rFonts w:ascii="Verdana" w:hAnsi="Verdana" w:cs="Arial"/>
        </w:rPr>
        <w:t xml:space="preserve">. Children need to learn the count sequence, understand the cardinal meaning of numbers, co-ordinate cardinal and ordinal information, recognise numerals, understand place value, learn mathematical language and draw on spatial reasoning. The EYFS should recognise the breadth of mathematics and guide early years educators to develop children’s knowledge and skills. </w:t>
      </w:r>
    </w:p>
    <w:p w:rsidR="00193110" w:rsidRPr="00DD5646" w:rsidP="00DD5646">
      <w:pPr>
        <w:rPr>
          <w:rFonts w:ascii="Verdana" w:hAnsi="Verdana" w:cs="Arial"/>
        </w:rPr>
      </w:pPr>
    </w:p>
    <w:p w:rsidR="00193110" w:rsidRPr="00DD5646" w:rsidP="00DD5646">
      <w:pPr>
        <w:spacing w:after="120"/>
        <w:rPr>
          <w:rFonts w:ascii="Verdana" w:hAnsi="Verdana" w:cs="Arial"/>
          <w:b/>
          <w:bCs/>
        </w:rPr>
      </w:pPr>
      <w:r w:rsidRPr="00DD5646">
        <w:rPr>
          <w:rFonts w:ascii="Verdana" w:hAnsi="Verdana" w:cs="Arial"/>
          <w:b/>
          <w:bCs/>
        </w:rPr>
        <w:t xml:space="preserve">2. Ensure that access to high quality early education is available to those who need it most. </w:t>
      </w:r>
    </w:p>
    <w:p w:rsidR="00BF3DF7" w:rsidRPr="00DD5646" w:rsidP="00DD5646">
      <w:pPr>
        <w:spacing w:after="120"/>
        <w:rPr>
          <w:rFonts w:ascii="Verdana" w:hAnsi="Verdana" w:cs="Arial"/>
        </w:rPr>
      </w:pPr>
      <w:r w:rsidRPr="00DD5646">
        <w:rPr>
          <w:rFonts w:ascii="Verdana" w:hAnsi="Verdana" w:cs="Arial"/>
        </w:rPr>
        <w:t>Disadvantage gaps in mathematics are eviden</w:t>
      </w:r>
      <w:r w:rsidRPr="00DD5646">
        <w:rPr>
          <w:rFonts w:ascii="Verdana" w:hAnsi="Verdana" w:cs="Arial"/>
        </w:rPr>
        <w:t>t</w:t>
      </w:r>
      <w:r w:rsidRPr="00DD5646">
        <w:rPr>
          <w:rFonts w:ascii="Verdana" w:hAnsi="Verdana" w:cs="Arial"/>
        </w:rPr>
        <w:t xml:space="preserve"> from the start of school. The attainment gap for achieving the mathematics Early Learning Goal is substantial (81% for children not eligible for free school meals vs 63% for children who are el</w:t>
      </w:r>
      <w:r w:rsidRPr="00DD5646">
        <w:rPr>
          <w:rFonts w:ascii="Verdana" w:hAnsi="Verdana" w:cs="Arial"/>
        </w:rPr>
        <w:t>i</w:t>
      </w:r>
      <w:r w:rsidRPr="00DD5646">
        <w:rPr>
          <w:rFonts w:ascii="Verdana" w:hAnsi="Verdana" w:cs="Arial"/>
        </w:rPr>
        <w:t>gible, 2025 data)</w:t>
      </w:r>
      <w:r w:rsidRPr="00DD5646">
        <w:rPr>
          <w:rFonts w:ascii="Verdana" w:hAnsi="Verdana" w:cs="Arial"/>
        </w:rPr>
        <w:t>. This is a similar size to the disadvantage gap at the end of primary school (</w:t>
      </w:r>
      <w:r w:rsidRPr="00DD5646" w:rsidR="007910D0">
        <w:rPr>
          <w:rFonts w:ascii="Verdana" w:hAnsi="Verdana" w:cs="Arial"/>
        </w:rPr>
        <w:t xml:space="preserve">achieving expected standard in </w:t>
      </w:r>
      <w:r w:rsidRPr="00DD5646">
        <w:rPr>
          <w:rFonts w:ascii="Verdana" w:hAnsi="Verdana" w:cs="Arial"/>
        </w:rPr>
        <w:t xml:space="preserve">mathematics </w:t>
      </w:r>
      <w:r w:rsidRPr="00DD5646" w:rsidR="007910D0">
        <w:rPr>
          <w:rFonts w:ascii="Verdana" w:hAnsi="Verdana" w:cs="Arial"/>
        </w:rPr>
        <w:t>SAT</w:t>
      </w:r>
      <w:r w:rsidRPr="00DD5646">
        <w:rPr>
          <w:rFonts w:ascii="Verdana" w:hAnsi="Verdana" w:cs="Arial"/>
        </w:rPr>
        <w:t xml:space="preserve">: </w:t>
      </w:r>
      <w:r w:rsidRPr="00DD5646" w:rsidR="007910D0">
        <w:rPr>
          <w:rFonts w:ascii="Verdana" w:hAnsi="Verdana" w:cs="Arial"/>
        </w:rPr>
        <w:t>8</w:t>
      </w:r>
      <w:r w:rsidRPr="00DD5646" w:rsidR="002208CE">
        <w:rPr>
          <w:rFonts w:ascii="Verdana" w:hAnsi="Verdana" w:cs="Arial"/>
        </w:rPr>
        <w:t>0</w:t>
      </w:r>
      <w:r w:rsidRPr="00DD5646" w:rsidR="007910D0">
        <w:rPr>
          <w:rFonts w:ascii="Verdana" w:hAnsi="Verdana" w:cs="Arial"/>
        </w:rPr>
        <w:t>% for children not eligible for free school meals vs 6</w:t>
      </w:r>
      <w:r w:rsidRPr="00DD5646" w:rsidR="002208CE">
        <w:rPr>
          <w:rFonts w:ascii="Verdana" w:hAnsi="Verdana" w:cs="Arial"/>
        </w:rPr>
        <w:t>1</w:t>
      </w:r>
      <w:r w:rsidRPr="00DD5646" w:rsidR="007910D0">
        <w:rPr>
          <w:rFonts w:ascii="Verdana" w:hAnsi="Verdana" w:cs="Arial"/>
        </w:rPr>
        <w:t>% for children who are eligible, 2025 data</w:t>
      </w:r>
      <w:r w:rsidRPr="00DD5646">
        <w:rPr>
          <w:rFonts w:ascii="Verdana" w:hAnsi="Verdana" w:cs="Arial"/>
        </w:rPr>
        <w:t>) and evidence suggests that early mathematics skills are the strongest predictor of later attainment</w:t>
      </w:r>
      <w:r>
        <w:rPr>
          <w:rStyle w:val="FootnoteReference"/>
          <w:rFonts w:ascii="Verdana" w:hAnsi="Verdana" w:cs="Arial"/>
        </w:rPr>
        <w:footnoteReference w:id="3"/>
      </w:r>
      <w:r w:rsidRPr="00DD5646">
        <w:rPr>
          <w:rFonts w:ascii="Verdana" w:hAnsi="Verdana" w:cs="Arial"/>
        </w:rPr>
        <w:t xml:space="preserve">. </w:t>
      </w:r>
    </w:p>
    <w:p w:rsidR="00193110" w:rsidRPr="00DD5646" w:rsidP="00DD5646">
      <w:pPr>
        <w:rPr>
          <w:rFonts w:ascii="Verdana" w:hAnsi="Verdana" w:cs="Arial"/>
        </w:rPr>
      </w:pPr>
      <w:r w:rsidRPr="00DD5646">
        <w:rPr>
          <w:rFonts w:ascii="Verdana" w:hAnsi="Verdana" w:cs="Arial"/>
        </w:rPr>
        <w:t xml:space="preserve">Currently, 30 hours free childcare a week (for 38 weeks of the year) is </w:t>
      </w:r>
      <w:r w:rsidRPr="00DD5646" w:rsidR="00064CC0">
        <w:rPr>
          <w:rFonts w:ascii="Verdana" w:hAnsi="Verdana" w:cs="Arial"/>
        </w:rPr>
        <w:t xml:space="preserve">only </w:t>
      </w:r>
      <w:r w:rsidRPr="00DD5646">
        <w:rPr>
          <w:rFonts w:ascii="Verdana" w:hAnsi="Verdana" w:cs="Arial"/>
        </w:rPr>
        <w:t xml:space="preserve">offered for children aged 9 months to 5 years </w:t>
      </w:r>
      <w:r w:rsidRPr="00DD5646" w:rsidR="00FD03C4">
        <w:rPr>
          <w:rFonts w:ascii="Verdana" w:hAnsi="Verdana" w:cs="Arial"/>
        </w:rPr>
        <w:t xml:space="preserve">in </w:t>
      </w:r>
      <w:r w:rsidRPr="00DD5646">
        <w:rPr>
          <w:rFonts w:ascii="Verdana" w:hAnsi="Verdana" w:cs="Arial"/>
        </w:rPr>
        <w:t xml:space="preserve">families where both parents work (or for single parents who work). In families where parents are not working, eligibility is only 15 hours per week from age 3, or from age 2 if families are in recent of qualifying benefits. There </w:t>
      </w:r>
      <w:r w:rsidRPr="00DD5646" w:rsidR="007910D0">
        <w:rPr>
          <w:rFonts w:ascii="Verdana" w:hAnsi="Verdana" w:cs="Arial"/>
        </w:rPr>
        <w:t>are</w:t>
      </w:r>
      <w:r w:rsidRPr="00DD5646">
        <w:rPr>
          <w:rFonts w:ascii="Verdana" w:hAnsi="Verdana" w:cs="Arial"/>
        </w:rPr>
        <w:t xml:space="preserve"> known association</w:t>
      </w:r>
      <w:r w:rsidRPr="00DD5646" w:rsidR="007910D0">
        <w:rPr>
          <w:rFonts w:ascii="Verdana" w:hAnsi="Verdana" w:cs="Arial"/>
        </w:rPr>
        <w:t>s</w:t>
      </w:r>
      <w:r w:rsidRPr="00DD5646">
        <w:rPr>
          <w:rFonts w:ascii="Verdana" w:hAnsi="Verdana" w:cs="Arial"/>
        </w:rPr>
        <w:t xml:space="preserve"> between early development and parental income and </w:t>
      </w:r>
      <w:r w:rsidRPr="00DD5646">
        <w:rPr>
          <w:rFonts w:ascii="Verdana" w:hAnsi="Verdana" w:cs="Arial"/>
        </w:rPr>
        <w:t>education</w:t>
      </w:r>
      <w:r>
        <w:rPr>
          <w:rStyle w:val="FootnoteReference"/>
          <w:rFonts w:ascii="Verdana" w:hAnsi="Verdana" w:cs="Arial"/>
        </w:rPr>
        <w:footnoteReference w:id="4"/>
      </w:r>
      <w:r w:rsidRPr="00DD5646">
        <w:rPr>
          <w:rFonts w:ascii="Verdana" w:hAnsi="Verdana" w:cs="Arial"/>
        </w:rPr>
        <w:t xml:space="preserve">. This means that children who may benefit the most from high quality early education are missing out. </w:t>
      </w:r>
    </w:p>
    <w:p w:rsidR="00B63C88" w:rsidRPr="00DD5646" w:rsidP="00DD5646">
      <w:pPr>
        <w:rPr>
          <w:rFonts w:ascii="Verdana" w:hAnsi="Verdana" w:cs="Arial"/>
        </w:rPr>
      </w:pPr>
    </w:p>
    <w:p w:rsidR="00B63C88" w:rsidRPr="00DD5646" w:rsidP="00DD5646">
      <w:pPr>
        <w:spacing w:after="120"/>
        <w:rPr>
          <w:rFonts w:ascii="Verdana" w:hAnsi="Verdana" w:cs="Arial"/>
          <w:b/>
          <w:bCs/>
        </w:rPr>
      </w:pPr>
      <w:r w:rsidRPr="00DD5646">
        <w:rPr>
          <w:rFonts w:ascii="Verdana" w:hAnsi="Verdana" w:cs="Arial"/>
        </w:rPr>
        <w:t xml:space="preserve">3. </w:t>
      </w:r>
      <w:r w:rsidRPr="00DD5646">
        <w:rPr>
          <w:rFonts w:ascii="Verdana" w:hAnsi="Verdana" w:cs="Arial"/>
          <w:b/>
          <w:bCs/>
        </w:rPr>
        <w:t>National campaign on mathematical development for parents</w:t>
      </w:r>
    </w:p>
    <w:p w:rsidR="00C261CE" w:rsidP="00DD5646">
      <w:pPr>
        <w:rPr>
          <w:rFonts w:ascii="Verdana" w:hAnsi="Verdana" w:cs="Arial"/>
        </w:rPr>
      </w:pPr>
      <w:r w:rsidRPr="00DD5646">
        <w:rPr>
          <w:rFonts w:ascii="Verdana" w:hAnsi="Verdana" w:cs="Arial"/>
        </w:rPr>
        <w:t>Develop and fund national early maths campaigns that raise the profile of the home numeracy environment as a key driver of children's attainment, alongside literacy. Such campaigns should promote evidence-based, accessible home-learning resources and interventions</w:t>
      </w:r>
      <w:r>
        <w:rPr>
          <w:rStyle w:val="FootnoteReference"/>
          <w:rFonts w:ascii="Verdana" w:hAnsi="Verdana" w:cs="Arial"/>
        </w:rPr>
        <w:footnoteReference w:id="5"/>
      </w:r>
      <w:r w:rsidRPr="00DD5646">
        <w:rPr>
          <w:rFonts w:ascii="Verdana" w:hAnsi="Verdana" w:cs="Arial"/>
        </w:rPr>
        <w:t>, while prioritising outreach and maths support hubs for disadvantaged families and children at risk of mathematical learning difficulties to help reduce attainment gaps.</w:t>
      </w:r>
      <w:r w:rsidRPr="00DD5646" w:rsidR="00064CC0">
        <w:rPr>
          <w:rFonts w:ascii="Verdana" w:hAnsi="Verdana" w:cs="Arial"/>
        </w:rPr>
        <w:t xml:space="preserve"> Government guidance for parents (e.g. Best Start in Life) currently lacks reference to early mathematics.</w:t>
      </w:r>
    </w:p>
    <w:p w:rsidR="00C261CE" w:rsidP="00DD5646">
      <w:pPr>
        <w:rPr>
          <w:rFonts w:ascii="Verdana" w:hAnsi="Verdana" w:cs="Arial"/>
        </w:rPr>
      </w:pPr>
    </w:p>
    <w:p w:rsidR="00C261CE" w:rsidP="00DD5646">
      <w:pPr>
        <w:rPr>
          <w:rFonts w:ascii="Verdana" w:hAnsi="Verdana" w:cs="Arial"/>
        </w:rPr>
      </w:pPr>
    </w:p>
    <w:p w:rsidR="00B63C88" w:rsidRPr="002F5950" w:rsidP="00DD5646">
      <w:pPr>
        <w:rPr>
          <w:rFonts w:ascii="Verdana" w:hAnsi="Verdana" w:cs="Arial"/>
          <w:i/>
          <w:iCs/>
          <w:sz w:val="28"/>
          <w:szCs w:val="28"/>
        </w:rPr>
      </w:pPr>
      <w:r w:rsidRPr="002F5950">
        <w:rPr>
          <w:rFonts w:ascii="Verdana" w:hAnsi="Verdana" w:cs="Arial"/>
          <w:i/>
          <w:iCs/>
          <w:sz w:val="28"/>
          <w:szCs w:val="28"/>
        </w:rPr>
        <w:t>18 June 2026</w:t>
      </w:r>
      <w:r w:rsidRPr="002F5950" w:rsidR="00064CC0">
        <w:rPr>
          <w:rFonts w:ascii="Verdana" w:hAnsi="Verdana" w:cs="Arial"/>
          <w:i/>
          <w:iCs/>
          <w:sz w:val="28"/>
          <w:szCs w:val="28"/>
        </w:rPr>
        <w:t xml:space="preserve"> </w:t>
      </w:r>
    </w:p>
    <w:sectPr>
      <w:headerReference w:type="even" r:id="rId5"/>
      <w:headerReference w:type="default" r:id="rId6"/>
      <w:headerReference w:type="first" r:id="rI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02FE3" w:rsidP="00193110">
      <w:r>
        <w:separator/>
      </w:r>
    </w:p>
  </w:footnote>
  <w:footnote w:type="continuationSeparator" w:id="1">
    <w:p w:rsidR="00B02FE3" w:rsidP="00193110">
      <w:r>
        <w:continuationSeparator/>
      </w:r>
    </w:p>
  </w:footnote>
  <w:footnote w:id="2">
    <w:p w:rsidR="007910D0" w:rsidRPr="00DD5646">
      <w:pPr>
        <w:pStyle w:val="FootnoteText"/>
        <w:rPr>
          <w:rFonts w:ascii="Verdana" w:hAnsi="Verdana" w:cs="Arial"/>
        </w:rPr>
      </w:pPr>
      <w:r w:rsidRPr="00DD5646">
        <w:rPr>
          <w:rStyle w:val="FootnoteReference"/>
          <w:rFonts w:ascii="Verdana" w:hAnsi="Verdana" w:cs="Arial"/>
        </w:rPr>
        <w:footnoteRef/>
      </w:r>
      <w:r w:rsidRPr="00DD5646">
        <w:rPr>
          <w:rFonts w:ascii="Verdana" w:hAnsi="Verdana" w:cs="Arial"/>
        </w:rPr>
        <w:t xml:space="preserve"> ESRC Centre for Early Mathematics Learning Evidence </w:t>
      </w:r>
      <w:r w:rsidRPr="00DD5646" w:rsidR="00064CC0">
        <w:rPr>
          <w:rFonts w:ascii="Verdana" w:hAnsi="Verdana" w:cs="Arial"/>
        </w:rPr>
        <w:t xml:space="preserve">Briefing </w:t>
      </w:r>
      <w:r>
        <w:fldChar w:fldCharType="begin"/>
      </w:r>
      <w:r>
        <w:instrText xml:space="preserve"> HYPERLINK "https://doi.org/10.17028/rd.lboro.32086785" </w:instrText>
      </w:r>
      <w:r>
        <w:fldChar w:fldCharType="separate"/>
      </w:r>
      <w:r w:rsidRPr="00DD5646" w:rsidR="00064CC0">
        <w:rPr>
          <w:rStyle w:val="Hyperlink"/>
          <w:rFonts w:ascii="Verdana" w:hAnsi="Verdana" w:cs="Arial"/>
        </w:rPr>
        <w:t>https://doi.org/10.17028/rd.lboro.32086785</w:t>
      </w:r>
      <w:r>
        <w:fldChar w:fldCharType="end"/>
      </w:r>
    </w:p>
  </w:footnote>
  <w:footnote w:id="3">
    <w:p w:rsidR="00BF3DF7" w:rsidRPr="00DD5646">
      <w:pPr>
        <w:pStyle w:val="FootnoteText"/>
        <w:rPr>
          <w:rFonts w:ascii="Verdana" w:hAnsi="Verdana" w:cs="Arial"/>
        </w:rPr>
      </w:pPr>
      <w:r w:rsidRPr="00DD5646">
        <w:rPr>
          <w:rStyle w:val="FootnoteReference"/>
          <w:rFonts w:ascii="Verdana" w:hAnsi="Verdana" w:cs="Arial"/>
        </w:rPr>
        <w:footnoteRef/>
      </w:r>
      <w:r w:rsidRPr="00DD5646">
        <w:rPr>
          <w:rFonts w:ascii="Verdana" w:hAnsi="Verdana" w:cs="Arial"/>
        </w:rPr>
        <w:t xml:space="preserve"> Lui et al., 2025 https://doi.org/10.1037/edu0000925</w:t>
      </w:r>
    </w:p>
  </w:footnote>
  <w:footnote w:id="4">
    <w:p w:rsidR="007910D0" w:rsidRPr="00DD5646">
      <w:pPr>
        <w:pStyle w:val="FootnoteText"/>
        <w:rPr>
          <w:rFonts w:ascii="Verdana" w:hAnsi="Verdana"/>
        </w:rPr>
      </w:pPr>
      <w:r w:rsidRPr="00DD5646">
        <w:rPr>
          <w:rStyle w:val="FootnoteReference"/>
          <w:rFonts w:ascii="Verdana" w:hAnsi="Verdana" w:cs="Arial"/>
        </w:rPr>
        <w:footnoteRef/>
      </w:r>
      <w:r w:rsidRPr="00DD5646">
        <w:rPr>
          <w:rFonts w:ascii="Verdana" w:hAnsi="Verdana" w:cs="Arial"/>
        </w:rPr>
        <w:t xml:space="preserve"> Outhwaite, 2026 </w:t>
      </w:r>
      <w:r>
        <w:fldChar w:fldCharType="begin"/>
      </w:r>
      <w:r>
        <w:instrText xml:space="preserve"> HYPERLINK "https://doi.org/10.1111/bjdp.12569" </w:instrText>
      </w:r>
      <w:r>
        <w:fldChar w:fldCharType="separate"/>
      </w:r>
      <w:r w:rsidRPr="00DD5646">
        <w:rPr>
          <w:rStyle w:val="Hyperlink"/>
          <w:rFonts w:ascii="Verdana" w:hAnsi="Verdana" w:cs="Arial"/>
          <w:color w:val="auto"/>
          <w:u w:val="none"/>
        </w:rPr>
        <w:t>https://doi.org/10.1111/bjdp.12569</w:t>
      </w:r>
      <w:r>
        <w:fldChar w:fldCharType="end"/>
      </w:r>
    </w:p>
  </w:footnote>
  <w:footnote w:id="5">
    <w:p w:rsidR="00064CC0" w:rsidRPr="00DD5646">
      <w:pPr>
        <w:pStyle w:val="FootnoteText"/>
        <w:rPr>
          <w:rFonts w:ascii="Verdana" w:hAnsi="Verdana" w:cs="Arial"/>
        </w:rPr>
      </w:pPr>
      <w:r w:rsidRPr="00DD5646">
        <w:rPr>
          <w:rStyle w:val="FootnoteReference"/>
          <w:rFonts w:ascii="Verdana" w:hAnsi="Verdana" w:cs="Arial"/>
        </w:rPr>
        <w:footnoteRef/>
      </w:r>
      <w:r w:rsidRPr="00DD5646">
        <w:rPr>
          <w:rFonts w:ascii="Verdana" w:hAnsi="Verdana" w:cs="Arial"/>
        </w:rPr>
        <w:t xml:space="preserve"> For example, </w:t>
      </w:r>
      <w:r w:rsidRPr="00DD5646">
        <w:rPr>
          <w:rFonts w:ascii="Verdana" w:hAnsi="Verdana" w:cs="Arial"/>
        </w:rPr>
        <w:t>Maths@Home</w:t>
      </w:r>
      <w:r w:rsidRPr="00DD5646">
        <w:rPr>
          <w:rFonts w:ascii="Verdana" w:hAnsi="Verdana" w:cs="Arial"/>
        </w:rPr>
        <w:t xml:space="preserve"> https://www.ucl.ac.uk/ioe/departments-and-centres/psychology-and-human-development/research/child-development-and-learning-difficulties-lab/educational-technologies-and-apps/mathshome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005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005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00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3661ECE"/>
    <w:multiLevelType w:val="hybridMultilevel"/>
    <w:tmpl w:val="E5662E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1931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31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31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31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31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311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311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311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311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31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31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31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31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31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31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31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31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3110"/>
    <w:rPr>
      <w:rFonts w:eastAsiaTheme="majorEastAsia" w:cstheme="majorBidi"/>
      <w:color w:val="272727" w:themeColor="text1" w:themeTint="D8"/>
    </w:rPr>
  </w:style>
  <w:style w:type="paragraph" w:styleId="Title">
    <w:name w:val="Title"/>
    <w:basedOn w:val="Normal"/>
    <w:next w:val="Normal"/>
    <w:link w:val="TitleChar"/>
    <w:uiPriority w:val="10"/>
    <w:qFormat/>
    <w:rsid w:val="001931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31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311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31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311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93110"/>
    <w:rPr>
      <w:i/>
      <w:iCs/>
      <w:color w:val="404040" w:themeColor="text1" w:themeTint="BF"/>
    </w:rPr>
  </w:style>
  <w:style w:type="paragraph" w:styleId="ListParagraph">
    <w:name w:val="List Paragraph"/>
    <w:basedOn w:val="Normal"/>
    <w:uiPriority w:val="34"/>
    <w:qFormat/>
    <w:rsid w:val="00193110"/>
    <w:pPr>
      <w:ind w:left="720"/>
      <w:contextualSpacing/>
    </w:pPr>
  </w:style>
  <w:style w:type="character" w:styleId="IntenseEmphasis">
    <w:name w:val="Intense Emphasis"/>
    <w:basedOn w:val="DefaultParagraphFont"/>
    <w:uiPriority w:val="21"/>
    <w:qFormat/>
    <w:rsid w:val="00193110"/>
    <w:rPr>
      <w:i/>
      <w:iCs/>
      <w:color w:val="0F4761" w:themeColor="accent1" w:themeShade="BF"/>
    </w:rPr>
  </w:style>
  <w:style w:type="paragraph" w:styleId="IntenseQuote">
    <w:name w:val="Intense Quote"/>
    <w:basedOn w:val="Normal"/>
    <w:next w:val="Normal"/>
    <w:link w:val="IntenseQuoteChar"/>
    <w:uiPriority w:val="30"/>
    <w:qFormat/>
    <w:rsid w:val="001931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3110"/>
    <w:rPr>
      <w:i/>
      <w:iCs/>
      <w:color w:val="0F4761" w:themeColor="accent1" w:themeShade="BF"/>
    </w:rPr>
  </w:style>
  <w:style w:type="character" w:styleId="IntenseReference">
    <w:name w:val="Intense Reference"/>
    <w:basedOn w:val="DefaultParagraphFont"/>
    <w:uiPriority w:val="32"/>
    <w:qFormat/>
    <w:rsid w:val="00193110"/>
    <w:rPr>
      <w:b/>
      <w:bCs/>
      <w:smallCaps/>
      <w:color w:val="0F4761" w:themeColor="accent1" w:themeShade="BF"/>
      <w:spacing w:val="5"/>
    </w:rPr>
  </w:style>
  <w:style w:type="paragraph" w:styleId="FootnoteText">
    <w:name w:val="footnote text"/>
    <w:basedOn w:val="Normal"/>
    <w:link w:val="FootnoteTextChar"/>
    <w:uiPriority w:val="99"/>
    <w:semiHidden/>
    <w:unhideWhenUsed/>
    <w:rsid w:val="00193110"/>
    <w:rPr>
      <w:sz w:val="20"/>
      <w:szCs w:val="20"/>
    </w:rPr>
  </w:style>
  <w:style w:type="character" w:customStyle="1" w:styleId="FootnoteTextChar">
    <w:name w:val="Footnote Text Char"/>
    <w:basedOn w:val="DefaultParagraphFont"/>
    <w:link w:val="FootnoteText"/>
    <w:uiPriority w:val="99"/>
    <w:semiHidden/>
    <w:rsid w:val="00193110"/>
    <w:rPr>
      <w:sz w:val="20"/>
      <w:szCs w:val="20"/>
    </w:rPr>
  </w:style>
  <w:style w:type="character" w:styleId="FootnoteReference">
    <w:name w:val="footnote reference"/>
    <w:basedOn w:val="DefaultParagraphFont"/>
    <w:uiPriority w:val="99"/>
    <w:semiHidden/>
    <w:unhideWhenUsed/>
    <w:rsid w:val="00193110"/>
    <w:rPr>
      <w:vertAlign w:val="superscript"/>
    </w:rPr>
  </w:style>
  <w:style w:type="character" w:styleId="Hyperlink">
    <w:name w:val="Hyperlink"/>
    <w:basedOn w:val="DefaultParagraphFont"/>
    <w:uiPriority w:val="99"/>
    <w:unhideWhenUsed/>
    <w:rsid w:val="00193110"/>
    <w:rPr>
      <w:color w:val="467886" w:themeColor="hyperlink"/>
      <w:u w:val="single"/>
    </w:rPr>
  </w:style>
  <w:style w:type="character" w:styleId="FollowedHyperlink">
    <w:name w:val="FollowedHyperlink"/>
    <w:basedOn w:val="DefaultParagraphFont"/>
    <w:uiPriority w:val="99"/>
    <w:semiHidden/>
    <w:unhideWhenUsed/>
    <w:rsid w:val="00BF3DF7"/>
    <w:rPr>
      <w:color w:val="96607D" w:themeColor="followedHyperlink"/>
      <w:u w:val="single"/>
    </w:rPr>
  </w:style>
  <w:style w:type="character" w:customStyle="1" w:styleId="sr-only">
    <w:name w:val="sr-only"/>
    <w:basedOn w:val="DefaultParagraphFont"/>
    <w:rsid w:val="007910D0"/>
  </w:style>
  <w:style w:type="character" w:customStyle="1" w:styleId="UnresolvedMention">
    <w:name w:val="Unresolved Mention"/>
    <w:basedOn w:val="DefaultParagraphFont"/>
    <w:uiPriority w:val="99"/>
    <w:semiHidden/>
    <w:unhideWhenUsed/>
    <w:rsid w:val="007910D0"/>
    <w:rPr>
      <w:color w:val="605E5C"/>
      <w:shd w:val="clear" w:color="auto" w:fill="E1DFDD"/>
    </w:rPr>
  </w:style>
  <w:style w:type="paragraph" w:styleId="Revision">
    <w:name w:val="Revision"/>
    <w:hidden/>
    <w:uiPriority w:val="99"/>
    <w:semiHidden/>
    <w:rsid w:val="00B63C88"/>
  </w:style>
  <w:style w:type="paragraph" w:styleId="Header">
    <w:name w:val="header"/>
    <w:basedOn w:val="Normal"/>
    <w:link w:val="HeaderChar"/>
    <w:uiPriority w:val="99"/>
    <w:unhideWhenUsed/>
    <w:rsid w:val="004F0053"/>
    <w:pPr>
      <w:tabs>
        <w:tab w:val="center" w:pos="4513"/>
        <w:tab w:val="right" w:pos="9026"/>
      </w:tabs>
    </w:pPr>
  </w:style>
  <w:style w:type="character" w:customStyle="1" w:styleId="HeaderChar">
    <w:name w:val="Header Char"/>
    <w:basedOn w:val="DefaultParagraphFont"/>
    <w:link w:val="Header"/>
    <w:uiPriority w:val="99"/>
    <w:rsid w:val="004F0053"/>
  </w:style>
  <w:style w:type="paragraph" w:styleId="Footer">
    <w:name w:val="footer"/>
    <w:basedOn w:val="Normal"/>
    <w:link w:val="FooterChar"/>
    <w:uiPriority w:val="99"/>
    <w:semiHidden/>
    <w:unhideWhenUsed/>
    <w:rsid w:val="004F0053"/>
    <w:pPr>
      <w:tabs>
        <w:tab w:val="center" w:pos="4513"/>
        <w:tab w:val="right" w:pos="9026"/>
      </w:tabs>
    </w:pPr>
  </w:style>
  <w:style w:type="character" w:customStyle="1" w:styleId="FooterChar">
    <w:name w:val="Footer Char"/>
    <w:basedOn w:val="DefaultParagraphFont"/>
    <w:link w:val="Footer"/>
    <w:uiPriority w:val="99"/>
    <w:semiHidden/>
    <w:rsid w:val="004F00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NUM0071</dc:title>
  <cp:revision>0</cp:revision>
</cp:coreProperties>
</file>