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2215" w:rsidRPr="00A74810" w:rsidP="00A74810">
      <w:pPr>
        <w:pStyle w:val="BodyText"/>
        <w:jc w:val="center"/>
        <w:rPr>
          <w:rFonts w:asciiTheme="minorHAnsi" w:hAnsiTheme="minorHAnsi" w:cstheme="minorHAnsi"/>
          <w:b/>
          <w:bCs/>
          <w:iCs/>
          <w:sz w:val="28"/>
          <w:szCs w:val="28"/>
        </w:rPr>
      </w:pPr>
      <w:r w:rsidRPr="00A74810">
        <w:rPr>
          <w:rFonts w:asciiTheme="minorHAnsi" w:hAnsiTheme="minorHAnsi" w:cstheme="minorHAnsi"/>
          <w:b/>
          <w:bCs/>
          <w:iCs/>
          <w:sz w:val="28"/>
          <w:szCs w:val="28"/>
        </w:rPr>
        <w:t xml:space="preserve">Further written evidence submitted by the </w:t>
      </w:r>
      <w:r w:rsidRPr="00A74810">
        <w:rPr>
          <w:rFonts w:asciiTheme="minorHAnsi" w:hAnsiTheme="minorHAnsi" w:cstheme="minorHAnsi"/>
          <w:b/>
          <w:bCs/>
          <w:iCs/>
          <w:sz w:val="28"/>
          <w:szCs w:val="28"/>
        </w:rPr>
        <w:t>Motor Cycle</w:t>
      </w:r>
      <w:r w:rsidRPr="00A74810">
        <w:rPr>
          <w:rFonts w:asciiTheme="minorHAnsi" w:hAnsiTheme="minorHAnsi" w:cstheme="minorHAnsi"/>
          <w:b/>
          <w:bCs/>
          <w:iCs/>
          <w:sz w:val="28"/>
          <w:szCs w:val="28"/>
        </w:rPr>
        <w:t xml:space="preserve"> Industry Association (RSS0121)</w:t>
      </w:r>
    </w:p>
    <w:p w:rsidR="00A74810" w:rsidP="00A74810">
      <w:pPr>
        <w:pStyle w:val="Heading21"/>
        <w:ind w:left="0" w:right="162"/>
        <w:jc w:val="both"/>
        <w:rPr>
          <w:rFonts w:asciiTheme="minorHAnsi" w:hAnsiTheme="minorHAnsi" w:cstheme="minorHAnsi"/>
          <w:sz w:val="28"/>
          <w:szCs w:val="28"/>
        </w:rPr>
      </w:pPr>
    </w:p>
    <w:p w:rsidR="00922215" w:rsidRPr="00A74810" w:rsidP="00A74810">
      <w:pPr>
        <w:pStyle w:val="Heading21"/>
        <w:ind w:left="0" w:right="162"/>
        <w:jc w:val="both"/>
        <w:rPr>
          <w:rFonts w:asciiTheme="minorHAnsi" w:hAnsiTheme="minorHAnsi" w:cstheme="minorHAnsi"/>
          <w:sz w:val="28"/>
          <w:szCs w:val="28"/>
        </w:rPr>
      </w:pPr>
      <w:r w:rsidRPr="00A74810">
        <w:rPr>
          <w:rFonts w:asciiTheme="minorHAnsi" w:hAnsiTheme="minorHAnsi" w:cstheme="minorHAnsi"/>
          <w:sz w:val="28"/>
          <w:szCs w:val="28"/>
        </w:rPr>
        <w:t>Developing a Long-Term Policy Framework for Zero Emission L-Category Vehicles</w:t>
      </w:r>
    </w:p>
    <w:p w:rsidR="00922215" w:rsidRPr="00A74810" w:rsidP="00A74810">
      <w:pPr>
        <w:pStyle w:val="BodyText"/>
        <w:spacing w:before="66"/>
        <w:rPr>
          <w:rFonts w:asciiTheme="minorHAnsi" w:hAnsiTheme="minorHAnsi" w:cstheme="minorHAnsi"/>
          <w:b/>
          <w:sz w:val="28"/>
          <w:szCs w:val="28"/>
        </w:rPr>
      </w:pPr>
    </w:p>
    <w:p w:rsidR="00922215" w:rsidRPr="00A74810" w:rsidP="00A74810">
      <w:pPr>
        <w:pStyle w:val="Heading21"/>
        <w:jc w:val="both"/>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58240" behindDoc="1" locked="0" layoutInCell="1" allowOverlap="1">
                <wp:simplePos x="0" y="0"/>
                <wp:positionH relativeFrom="page">
                  <wp:posOffset>896416</wp:posOffset>
                </wp:positionH>
                <wp:positionV relativeFrom="paragraph">
                  <wp:posOffset>201190</wp:posOffset>
                </wp:positionV>
                <wp:extent cx="5769610" cy="635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25" style="height:0.48pt;margin-left:70.58pt;margin-top:15.84pt;mso-position-horizontal-relative:page;mso-wrap-distance-left:0;mso-wrap-distance-right:0;position:absolute;width:454.27pt;z-index:-251657216" fillcolor="black">
                <v:fill type="solid"/>
                <w10:wrap type="topAndBottom"/>
              </v:rect>
            </w:pict>
          </mc:Fallback>
        </mc:AlternateContent>
      </w:r>
      <w:r w:rsidRPr="00A74810">
        <w:rPr>
          <w:rFonts w:asciiTheme="minorHAnsi" w:hAnsiTheme="minorHAnsi" w:cstheme="minorHAnsi"/>
          <w:sz w:val="28"/>
          <w:szCs w:val="28"/>
        </w:rPr>
        <w:t>About</w:t>
      </w:r>
      <w:r w:rsidRPr="00A74810">
        <w:rPr>
          <w:rFonts w:asciiTheme="minorHAnsi" w:hAnsiTheme="minorHAnsi" w:cstheme="minorHAnsi"/>
          <w:spacing w:val="-3"/>
          <w:sz w:val="28"/>
          <w:szCs w:val="28"/>
        </w:rPr>
        <w:t xml:space="preserve"> </w:t>
      </w:r>
      <w:r w:rsidRPr="00A74810">
        <w:rPr>
          <w:rFonts w:asciiTheme="minorHAnsi" w:hAnsiTheme="minorHAnsi" w:cstheme="minorHAnsi"/>
          <w:spacing w:val="-4"/>
          <w:sz w:val="28"/>
          <w:szCs w:val="28"/>
        </w:rPr>
        <w:t>MCIA</w:t>
      </w:r>
    </w:p>
    <w:p w:rsidR="00922215" w:rsidRPr="00A74810" w:rsidP="00A74810">
      <w:pPr>
        <w:pStyle w:val="BodyText"/>
        <w:spacing w:before="161"/>
        <w:ind w:left="165" w:right="162"/>
        <w:jc w:val="both"/>
        <w:rPr>
          <w:rFonts w:asciiTheme="minorHAnsi" w:hAnsiTheme="minorHAnsi" w:cstheme="minorHAnsi"/>
          <w:sz w:val="28"/>
          <w:szCs w:val="28"/>
        </w:rPr>
      </w:pPr>
      <w:r w:rsidRPr="00A74810">
        <w:rPr>
          <w:rFonts w:asciiTheme="minorHAnsi" w:hAnsiTheme="minorHAnsi" w:cstheme="minorHAnsi"/>
          <w:sz w:val="28"/>
          <w:szCs w:val="28"/>
        </w:rPr>
        <w:t xml:space="preserve">MCIA is the trade association for ‘L-Category’ vehicles, which include powered two, three, and light four-wheeled vehicles (i.e., mopeds, motorcycles, tricycles, and quadricycles). Members include manufacturers of whole vehicles, </w:t>
      </w:r>
      <w:r w:rsidRPr="00A74810">
        <w:rPr>
          <w:rFonts w:asciiTheme="minorHAnsi" w:hAnsiTheme="minorHAnsi" w:cstheme="minorHAnsi"/>
          <w:sz w:val="28"/>
          <w:szCs w:val="28"/>
        </w:rPr>
        <w:t>accessory</w:t>
      </w:r>
      <w:r w:rsidRPr="00A74810">
        <w:rPr>
          <w:rFonts w:asciiTheme="minorHAnsi" w:hAnsiTheme="minorHAnsi" w:cstheme="minorHAnsi"/>
          <w:sz w:val="28"/>
          <w:szCs w:val="28"/>
        </w:rPr>
        <w:t xml:space="preserve"> and components and those providing associated services to the industry.</w:t>
      </w:r>
    </w:p>
    <w:p w:rsidR="00922215" w:rsidRPr="00A74810" w:rsidP="00A74810">
      <w:pPr>
        <w:pStyle w:val="BodyText"/>
        <w:spacing w:before="160"/>
        <w:ind w:left="165" w:right="161"/>
        <w:jc w:val="both"/>
        <w:rPr>
          <w:rFonts w:asciiTheme="minorHAnsi" w:hAnsiTheme="minorHAnsi" w:cstheme="minorHAnsi"/>
          <w:sz w:val="28"/>
          <w:szCs w:val="28"/>
        </w:rPr>
      </w:pPr>
      <w:r w:rsidRPr="00A74810">
        <w:rPr>
          <w:rFonts w:asciiTheme="minorHAnsi" w:hAnsiTheme="minorHAnsi" w:cstheme="minorHAnsi"/>
          <w:sz w:val="28"/>
          <w:szCs w:val="28"/>
        </w:rPr>
        <w:t>With</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mission</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promote</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protect</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industry,</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MCIA</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works</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tirelessly</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advance the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growth,</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safety,</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sustainability</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MCIA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plays</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vital</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role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 xml:space="preserve">in shaping policies and regulations that </w:t>
      </w:r>
      <w:r w:rsidRPr="00A74810">
        <w:rPr>
          <w:rFonts w:asciiTheme="minorHAnsi" w:hAnsiTheme="minorHAnsi" w:cstheme="minorHAnsi"/>
          <w:sz w:val="28"/>
          <w:szCs w:val="28"/>
        </w:rPr>
        <w:t>impact</w:t>
      </w:r>
      <w:r w:rsidRPr="00A74810">
        <w:rPr>
          <w:rFonts w:asciiTheme="minorHAnsi" w:hAnsiTheme="minorHAnsi" w:cstheme="minorHAnsi"/>
          <w:sz w:val="28"/>
          <w:szCs w:val="28"/>
        </w:rPr>
        <w:t xml:space="preserve"> the industry, working closely with Government bodies and other relevant stakeholders to ensure the potential of our vehicles is fully harnessed.</w:t>
      </w:r>
    </w:p>
    <w:p w:rsidR="00922215" w:rsidRPr="00A74810" w:rsidP="00A74810">
      <w:pPr>
        <w:pStyle w:val="BodyText"/>
        <w:spacing w:before="158"/>
        <w:ind w:left="165" w:right="163"/>
        <w:jc w:val="both"/>
        <w:rPr>
          <w:rFonts w:asciiTheme="minorHAnsi" w:hAnsiTheme="minorHAnsi" w:cstheme="minorHAnsi"/>
          <w:sz w:val="28"/>
          <w:szCs w:val="28"/>
        </w:rPr>
      </w:pPr>
      <w:r w:rsidRPr="00A74810">
        <w:rPr>
          <w:rFonts w:asciiTheme="minorHAnsi" w:hAnsiTheme="minorHAnsi" w:cstheme="minorHAnsi"/>
          <w:sz w:val="28"/>
          <w:szCs w:val="28"/>
        </w:rPr>
        <w:t>MCIA also actively promotes motorcycle safety, aiming to enhance awareness and education among users and the public. Through campaigns, initiatives, and partnerships, MCIA</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strives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to reduce accidents, improve rider</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skills, and advocate for the implementation of effective safety measures.</w:t>
      </w:r>
    </w:p>
    <w:p w:rsidR="00922215" w:rsidRPr="00A74810" w:rsidP="00A74810">
      <w:pPr>
        <w:pStyle w:val="BodyText"/>
        <w:rPr>
          <w:rFonts w:asciiTheme="minorHAnsi" w:hAnsiTheme="minorHAnsi" w:cstheme="minorHAnsi"/>
          <w:sz w:val="28"/>
          <w:szCs w:val="28"/>
        </w:rPr>
      </w:pPr>
    </w:p>
    <w:p w:rsidR="00922215" w:rsidRPr="00A74810" w:rsidP="00A74810">
      <w:pPr>
        <w:pStyle w:val="BodyText"/>
        <w:spacing w:before="66"/>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60288" behindDoc="1" locked="0" layoutInCell="1" allowOverlap="1">
                <wp:simplePos x="0" y="0"/>
                <wp:positionH relativeFrom="page">
                  <wp:posOffset>896416</wp:posOffset>
                </wp:positionH>
                <wp:positionV relativeFrom="paragraph">
                  <wp:posOffset>201000</wp:posOffset>
                </wp:positionV>
                <wp:extent cx="5769610" cy="635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26" style="height:0.48pt;margin-left:70.58pt;margin-top:15.83pt;mso-position-horizontal-relative:page;mso-wrap-distance-left:0;mso-wrap-distance-right:0;position:absolute;width:454.27pt;z-index:-251655168" fillcolor="black">
                <v:fill type="solid"/>
                <w10:wrap type="topAndBottom"/>
              </v:rect>
            </w:pict>
          </mc:Fallback>
        </mc:AlternateContent>
      </w:r>
      <w:r w:rsidRPr="00A74810">
        <w:rPr>
          <w:rFonts w:asciiTheme="minorHAnsi" w:hAnsiTheme="minorHAnsi" w:cstheme="minorHAnsi"/>
          <w:spacing w:val="-2"/>
          <w:sz w:val="28"/>
          <w:szCs w:val="28"/>
        </w:rPr>
        <w:t>Introduction</w:t>
      </w:r>
    </w:p>
    <w:p w:rsidR="00922215" w:rsidRPr="00A74810" w:rsidP="00A74810">
      <w:pPr>
        <w:pStyle w:val="ListParagraph"/>
        <w:numPr>
          <w:ilvl w:val="0"/>
          <w:numId w:val="3"/>
        </w:numPr>
        <w:tabs>
          <w:tab w:val="left" w:pos="525"/>
        </w:tabs>
        <w:spacing w:before="161"/>
        <w:ind w:right="160"/>
        <w:jc w:val="both"/>
        <w:rPr>
          <w:rFonts w:asciiTheme="minorHAnsi" w:hAnsiTheme="minorHAnsi" w:cstheme="minorHAnsi"/>
          <w:sz w:val="28"/>
          <w:szCs w:val="28"/>
        </w:rPr>
      </w:pPr>
      <w:r w:rsidRPr="00A74810">
        <w:rPr>
          <w:rFonts w:asciiTheme="minorHAnsi" w:hAnsiTheme="minorHAnsi" w:cstheme="minorHAnsi"/>
          <w:sz w:val="28"/>
          <w:szCs w:val="28"/>
        </w:rPr>
        <w:t xml:space="preserve">MCIA is providing supplementary evidence to the Transport Select Committee’s inquiry into </w:t>
      </w:r>
      <w:r w:rsidRPr="00A74810">
        <w:rPr>
          <w:rFonts w:asciiTheme="minorHAnsi" w:hAnsiTheme="minorHAnsi" w:cstheme="minorHAnsi"/>
          <w:i/>
          <w:sz w:val="28"/>
          <w:szCs w:val="28"/>
        </w:rPr>
        <w:t>Supercharging the EV Transition</w:t>
      </w:r>
      <w:r w:rsidRPr="00A74810">
        <w:rPr>
          <w:rFonts w:asciiTheme="minorHAnsi" w:hAnsiTheme="minorHAnsi" w:cstheme="minorHAnsi"/>
          <w:sz w:val="28"/>
          <w:szCs w:val="28"/>
        </w:rPr>
        <w:t>. This submission should be read alongside MCIA’s original evidence submitted earlier this year.</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jc w:val="both"/>
        <w:rPr>
          <w:rFonts w:asciiTheme="minorHAnsi" w:hAnsiTheme="minorHAnsi" w:cstheme="minorHAnsi"/>
          <w:sz w:val="28"/>
          <w:szCs w:val="28"/>
        </w:rPr>
      </w:pPr>
      <w:r w:rsidRPr="00A74810">
        <w:rPr>
          <w:rFonts w:asciiTheme="minorHAnsi" w:hAnsiTheme="minorHAnsi" w:cstheme="minorHAnsi"/>
          <w:sz w:val="28"/>
          <w:szCs w:val="28"/>
        </w:rPr>
        <w:t>Since that submission was provided, there have been significant developments affecting the transition to zero emission L-Category vehicles. Most notably, the Plug-in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Motorcycle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Grant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(PiMG)</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expired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April</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2026</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without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replacement,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leaving L-Category vehicles as the only segment of personal road transport without dedicated purchase support for zero emission uptake.</w:t>
      </w:r>
    </w:p>
    <w:p w:rsidR="00922215" w:rsidRPr="00A74810" w:rsidP="00A74810">
      <w:pPr>
        <w:pStyle w:val="BodyText"/>
        <w:spacing w:before="19"/>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82"/>
        <w:ind w:right="157"/>
        <w:jc w:val="both"/>
        <w:rPr>
          <w:rFonts w:asciiTheme="minorHAnsi" w:hAnsiTheme="minorHAnsi" w:cstheme="minorHAnsi"/>
          <w:sz w:val="28"/>
          <w:szCs w:val="28"/>
        </w:rPr>
      </w:pPr>
      <w:r w:rsidRPr="00A74810">
        <w:rPr>
          <w:rFonts w:asciiTheme="minorHAnsi" w:hAnsiTheme="minorHAnsi" w:cstheme="minorHAnsi"/>
          <w:sz w:val="28"/>
          <w:szCs w:val="28"/>
        </w:rPr>
        <w:t>The purpose of this supplementary submission is therefore twofold. Firstly, to update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Committee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on</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implications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grant’s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expiry</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for</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UK’s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electric L-Category market. Secondly, to outline how MCIA has responded by commissioning a broader programme of work to identify a long-term policy framework capable of supporting the sustainable growth of zero emission L-Category vehicles.</w:t>
      </w:r>
      <w:r w:rsidR="00A74810">
        <w:rPr>
          <w:rFonts w:asciiTheme="minorHAnsi" w:hAnsiTheme="minorHAnsi" w:cstheme="minorHAnsi"/>
          <w:sz w:val="28"/>
          <w:szCs w:val="28"/>
        </w:rPr>
        <w:t xml:space="preserve"> </w:t>
      </w:r>
      <w:r w:rsidRPr="00A74810">
        <w:rPr>
          <w:rFonts w:asciiTheme="minorHAnsi" w:hAnsiTheme="minorHAnsi" w:cstheme="minorHAnsi"/>
          <w:sz w:val="28"/>
          <w:szCs w:val="28"/>
        </w:rPr>
        <w:t>MCIA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recognises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Government</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taken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decision</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on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future</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PiMG. Accordingly,</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this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submission</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not</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intended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simply</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revisit</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decision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or</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 xml:space="preserve">argue for the reinstatement of the previous scheme. Instead, it seeks to highlight the wider policy consequences of the grant’s expiry and demonstrate why a more strategic, evidence-led approach to supporting the L-Category sector is now </w:t>
      </w:r>
      <w:r w:rsidRPr="00A74810">
        <w:rPr>
          <w:rFonts w:asciiTheme="minorHAnsi" w:hAnsiTheme="minorHAnsi" w:cstheme="minorHAnsi"/>
          <w:spacing w:val="-2"/>
          <w:sz w:val="28"/>
          <w:szCs w:val="28"/>
        </w:rPr>
        <w:t>required.</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58"/>
        <w:jc w:val="both"/>
        <w:rPr>
          <w:rFonts w:asciiTheme="minorHAnsi" w:hAnsiTheme="minorHAnsi" w:cstheme="minorHAnsi"/>
          <w:sz w:val="28"/>
          <w:szCs w:val="28"/>
        </w:rPr>
      </w:pPr>
      <w:r w:rsidRPr="00A74810">
        <w:rPr>
          <w:rFonts w:asciiTheme="minorHAnsi" w:hAnsiTheme="minorHAnsi" w:cstheme="minorHAnsi"/>
          <w:sz w:val="28"/>
          <w:szCs w:val="28"/>
        </w:rPr>
        <w:t>The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expiry</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PiMG</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exposed</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broader</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structural</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gap.</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While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electric cars</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vans</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continue</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benefit</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from</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fiscal</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regulatory</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measures</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designed</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to stimulate market uptake, there is currently no coherent framework supporting the development of the zero emission L-Category market. The result is that smaller, lighter and more affordable vehicles – which can contribute to decarbonisation, congestion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reduction,</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urban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mobility</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economic</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growth</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remain</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largely</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absent from the Government’s wider electric vehicle strategy.</w:t>
      </w:r>
    </w:p>
    <w:p w:rsidR="00922215" w:rsidRPr="00A74810" w:rsidP="00A74810">
      <w:pPr>
        <w:pStyle w:val="BodyText"/>
        <w:spacing w:before="19"/>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ind w:right="159"/>
        <w:jc w:val="both"/>
        <w:rPr>
          <w:rFonts w:asciiTheme="minorHAnsi" w:hAnsiTheme="minorHAnsi" w:cstheme="minorHAnsi"/>
          <w:sz w:val="28"/>
          <w:szCs w:val="28"/>
        </w:rPr>
      </w:pPr>
      <w:r w:rsidRPr="00A74810">
        <w:rPr>
          <w:rFonts w:asciiTheme="minorHAnsi" w:hAnsiTheme="minorHAnsi" w:cstheme="minorHAnsi"/>
          <w:sz w:val="28"/>
          <w:szCs w:val="28"/>
        </w:rPr>
        <w:t>This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particularly</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significant</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because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role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extends</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well beyond transport decarbonisation alone. They offer an affordable pathway into zero emission mobility, reduce pressure on increasingly congested urban road networks, require fewer raw materials and less energy than larger vehicles, and support a diverse UK industry encompassing manufacturers, retailers, training providers and the wider supply chain. They also have an increasingly important role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play</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providing</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legitimate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z w:val="28"/>
          <w:szCs w:val="28"/>
        </w:rPr>
        <w:t>lternatives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illegal</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non-compliant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 xml:space="preserve">e-bikes operating outside the regulatory framework but at similar levels of speed and </w:t>
      </w:r>
      <w:r w:rsidRPr="00A74810">
        <w:rPr>
          <w:rFonts w:asciiTheme="minorHAnsi" w:hAnsiTheme="minorHAnsi" w:cstheme="minorHAnsi"/>
          <w:spacing w:val="-2"/>
          <w:sz w:val="28"/>
          <w:szCs w:val="28"/>
        </w:rPr>
        <w:t>performance.</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59"/>
        <w:jc w:val="both"/>
        <w:rPr>
          <w:rFonts w:asciiTheme="minorHAnsi" w:hAnsiTheme="minorHAnsi" w:cstheme="minorHAnsi"/>
          <w:sz w:val="28"/>
          <w:szCs w:val="28"/>
        </w:rPr>
      </w:pP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Committee’s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inquiry</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provides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timely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opportunity</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consider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whether</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UK’s wider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electric</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vehicle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transition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sufficiently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inclusive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all</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vehicle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classes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capable of contributing towards Government objectives. MCIA believes that future policy should</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move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beyond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predominantly</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car-centric</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approach</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instead</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recognise the role that all zero emission vehicle categories can play in delivering a cleaner, more productive and more integrated transport system.</w:t>
      </w:r>
    </w:p>
    <w:p w:rsidR="00922215" w:rsidRPr="00A74810" w:rsidP="00A74810">
      <w:pPr>
        <w:pStyle w:val="BodyText"/>
        <w:spacing w:before="64"/>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62336" behindDoc="1" locked="0" layoutInCell="1" allowOverlap="1">
                <wp:simplePos x="0" y="0"/>
                <wp:positionH relativeFrom="page">
                  <wp:posOffset>896416</wp:posOffset>
                </wp:positionH>
                <wp:positionV relativeFrom="paragraph">
                  <wp:posOffset>202810</wp:posOffset>
                </wp:positionV>
                <wp:extent cx="5769610" cy="635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27" style="height:0.48pt;margin-left:70.58pt;margin-top:15.97pt;mso-position-horizontal-relative:page;mso-wrap-distance-left:0;mso-wrap-distance-right:0;position:absolute;width:454.27pt;z-index:-251653120" fillcolor="black">
                <v:fill type="solid"/>
                <w10:wrap type="topAndBottom"/>
              </v:rect>
            </w:pict>
          </mc:Fallback>
        </mc:AlternateContent>
      </w:r>
      <w:r w:rsidRPr="00A74810">
        <w:rPr>
          <w:rFonts w:asciiTheme="minorHAnsi" w:hAnsiTheme="minorHAnsi" w:cstheme="minorHAnsi"/>
          <w:sz w:val="28"/>
          <w:szCs w:val="28"/>
        </w:rPr>
        <w:t>The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Expiry</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Plug-in</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Motorcycle</w:t>
      </w:r>
      <w:r w:rsidRPr="00A74810">
        <w:rPr>
          <w:rFonts w:asciiTheme="minorHAnsi" w:hAnsiTheme="minorHAnsi" w:cstheme="minorHAnsi"/>
          <w:spacing w:val="-1"/>
          <w:sz w:val="28"/>
          <w:szCs w:val="28"/>
        </w:rPr>
        <w:t xml:space="preserve"> </w:t>
      </w:r>
      <w:r w:rsidRPr="00A74810">
        <w:rPr>
          <w:rFonts w:asciiTheme="minorHAnsi" w:hAnsiTheme="minorHAnsi" w:cstheme="minorHAnsi"/>
          <w:spacing w:val="-2"/>
          <w:sz w:val="28"/>
          <w:szCs w:val="28"/>
        </w:rPr>
        <w:t>Grant</w:t>
      </w:r>
    </w:p>
    <w:p w:rsidR="00922215" w:rsidRPr="00A74810" w:rsidP="00A74810">
      <w:pPr>
        <w:pStyle w:val="ListParagraph"/>
        <w:numPr>
          <w:ilvl w:val="0"/>
          <w:numId w:val="3"/>
        </w:numPr>
        <w:tabs>
          <w:tab w:val="left" w:pos="525"/>
        </w:tabs>
        <w:spacing w:before="161"/>
        <w:ind w:right="155"/>
        <w:jc w:val="both"/>
        <w:rPr>
          <w:rFonts w:asciiTheme="minorHAnsi" w:hAnsiTheme="minorHAnsi" w:cstheme="minorHAnsi"/>
          <w:sz w:val="28"/>
          <w:szCs w:val="28"/>
        </w:rPr>
      </w:pPr>
      <w:r w:rsidRPr="00A74810">
        <w:rPr>
          <w:rFonts w:asciiTheme="minorHAnsi" w:hAnsiTheme="minorHAnsi" w:cstheme="minorHAnsi"/>
          <w:sz w:val="28"/>
          <w:szCs w:val="28"/>
        </w:rPr>
        <w:t>The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PiMG</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expired</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end</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2025/26</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financial</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year.</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Prior</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its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expiry,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MCIA coordinated</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a coalition</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of manufacturers,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retailers,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logistics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operators, road safety organisations and transport stakeholders calling on Government to extend the scheme while a longer-term policy framework for zero emission L-Category vehicles was developed.</w:t>
      </w:r>
    </w:p>
    <w:p w:rsidR="00922215" w:rsidRPr="00A74810" w:rsidP="00A74810">
      <w:pPr>
        <w:pStyle w:val="BodyText"/>
        <w:spacing w:before="20"/>
        <w:rPr>
          <w:rFonts w:asciiTheme="minorHAnsi" w:hAnsiTheme="minorHAnsi" w:cstheme="minorHAnsi"/>
          <w:sz w:val="28"/>
          <w:szCs w:val="28"/>
        </w:rPr>
      </w:pPr>
    </w:p>
    <w:p w:rsidR="00922215" w:rsidP="00A74810">
      <w:pPr>
        <w:pStyle w:val="ListParagraph"/>
        <w:numPr>
          <w:ilvl w:val="0"/>
          <w:numId w:val="3"/>
        </w:numPr>
        <w:tabs>
          <w:tab w:val="left" w:pos="525"/>
        </w:tabs>
        <w:ind w:right="163"/>
        <w:jc w:val="both"/>
        <w:rPr>
          <w:rFonts w:asciiTheme="minorHAnsi" w:hAnsiTheme="minorHAnsi" w:cstheme="minorHAnsi"/>
          <w:sz w:val="28"/>
          <w:szCs w:val="28"/>
        </w:rPr>
      </w:pPr>
      <w:r w:rsidRPr="00A74810">
        <w:rPr>
          <w:rFonts w:asciiTheme="minorHAnsi" w:hAnsiTheme="minorHAnsi" w:cstheme="minorHAnsi"/>
          <w:sz w:val="28"/>
          <w:szCs w:val="28"/>
        </w:rPr>
        <w:t>Although Government ultimately decided not to continue the grant, the decision represents more than the conclusion of a single financial support mechanism. It marks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point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which</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became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only</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segment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personal road transport without any dedicated purchase support for zero emission uptake.</w:t>
      </w:r>
    </w:p>
    <w:p w:rsidR="00922215" w:rsidRPr="00A74810" w:rsidP="00A74810">
      <w:pPr>
        <w:pStyle w:val="ListParagraph"/>
        <w:numPr>
          <w:ilvl w:val="0"/>
          <w:numId w:val="3"/>
        </w:numPr>
        <w:tabs>
          <w:tab w:val="left" w:pos="525"/>
        </w:tabs>
        <w:spacing w:before="82"/>
        <w:ind w:right="167"/>
        <w:jc w:val="both"/>
        <w:rPr>
          <w:rFonts w:asciiTheme="minorHAnsi" w:hAnsiTheme="minorHAnsi" w:cstheme="minorHAnsi"/>
          <w:sz w:val="28"/>
          <w:szCs w:val="28"/>
        </w:rPr>
      </w:pPr>
      <w:r w:rsidRPr="00A74810">
        <w:rPr>
          <w:rFonts w:asciiTheme="minorHAnsi" w:hAnsiTheme="minorHAnsi" w:cstheme="minorHAnsi"/>
          <w:sz w:val="28"/>
          <w:szCs w:val="28"/>
        </w:rPr>
        <w:t>Government has justified this decision on the basis that mopeds and motorcycles account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for</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relatively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small</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proportion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total</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transport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emissions</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limited public funding should therefore be prioritised towards those vehicle categories capable of delivering the greatest absolute emissions reductions.</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59"/>
        <w:jc w:val="both"/>
        <w:rPr>
          <w:rFonts w:asciiTheme="minorHAnsi" w:hAnsiTheme="minorHAnsi" w:cstheme="minorHAnsi"/>
          <w:sz w:val="28"/>
          <w:szCs w:val="28"/>
        </w:rPr>
      </w:pPr>
      <w:r w:rsidRPr="00A74810">
        <w:rPr>
          <w:rFonts w:asciiTheme="minorHAnsi" w:hAnsiTheme="minorHAnsi" w:cstheme="minorHAnsi"/>
          <w:sz w:val="28"/>
          <w:szCs w:val="28"/>
        </w:rPr>
        <w:t>While MCIA recognises this rationale, we believe it risks overlooking the wider contribution that L-Category vehicles can make to Government priorities. Their value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should</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not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be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assessed</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solely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through</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lens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carbon</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emissions</w:t>
      </w:r>
      <w:r w:rsidRPr="00A74810">
        <w:rPr>
          <w:rFonts w:asciiTheme="minorHAnsi" w:hAnsiTheme="minorHAnsi" w:cstheme="minorHAnsi"/>
          <w:sz w:val="28"/>
          <w:szCs w:val="28"/>
        </w:rPr>
        <w:t>.</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Rather, they offer multiple</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 xml:space="preserve">policy benefits simultaneously, including improved affordability, reduced congestion, more efficient use of road space, enhanced urban mobility, lower resource consumption, support for domestic industry and greater transport </w:t>
      </w:r>
      <w:r w:rsidRPr="00A74810">
        <w:rPr>
          <w:rFonts w:asciiTheme="minorHAnsi" w:hAnsiTheme="minorHAnsi" w:cstheme="minorHAnsi"/>
          <w:spacing w:val="-2"/>
          <w:sz w:val="28"/>
          <w:szCs w:val="28"/>
        </w:rPr>
        <w:t>choice.</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59"/>
        <w:jc w:val="both"/>
        <w:rPr>
          <w:rFonts w:asciiTheme="minorHAnsi" w:hAnsiTheme="minorHAnsi" w:cstheme="minorHAnsi"/>
          <w:sz w:val="28"/>
          <w:szCs w:val="28"/>
        </w:rPr>
      </w:pPr>
      <w:r w:rsidRPr="00A74810">
        <w:rPr>
          <w:rFonts w:asciiTheme="minorHAnsi" w:hAnsiTheme="minorHAnsi" w:cstheme="minorHAnsi"/>
          <w:sz w:val="28"/>
          <w:szCs w:val="28"/>
        </w:rPr>
        <w:t xml:space="preserve">The decision to allow </w:t>
      </w:r>
      <w:r w:rsidRPr="00A74810">
        <w:rPr>
          <w:rFonts w:asciiTheme="minorHAnsi" w:hAnsiTheme="minorHAnsi" w:cstheme="minorHAnsi"/>
          <w:sz w:val="28"/>
          <w:szCs w:val="28"/>
        </w:rPr>
        <w:t>the PiMG</w:t>
      </w:r>
      <w:r w:rsidRPr="00A74810">
        <w:rPr>
          <w:rFonts w:asciiTheme="minorHAnsi" w:hAnsiTheme="minorHAnsi" w:cstheme="minorHAnsi"/>
          <w:sz w:val="28"/>
          <w:szCs w:val="28"/>
        </w:rPr>
        <w:t xml:space="preserve"> to lapse should therefore be viewed not as an isolated</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decision,</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but</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as</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symptomatic</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absence</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coherent</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strategy for developing the zero emission L-Category market. As subsequent sections of this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submission</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demonstrate,</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issue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no</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longer</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simply</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whether</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grant</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should exist,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but</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how</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Government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can</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create</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long-term</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framework</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supports</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market development in a fiscally responsible and evidence-led manner.</w:t>
      </w:r>
    </w:p>
    <w:p w:rsidR="00922215" w:rsidRPr="00A74810" w:rsidP="00A74810">
      <w:pPr>
        <w:pStyle w:val="BodyText"/>
        <w:spacing w:before="65"/>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64384" behindDoc="1" locked="0" layoutInCell="1" allowOverlap="1">
                <wp:simplePos x="0" y="0"/>
                <wp:positionH relativeFrom="page">
                  <wp:posOffset>896416</wp:posOffset>
                </wp:positionH>
                <wp:positionV relativeFrom="paragraph">
                  <wp:posOffset>201018</wp:posOffset>
                </wp:positionV>
                <wp:extent cx="5769610" cy="635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28" style="height:0.48pt;margin-left:70.58pt;margin-top:15.83pt;mso-position-horizontal-relative:page;mso-wrap-distance-left:0;mso-wrap-distance-right:0;position:absolute;width:454.27pt;z-index:-251651072" fillcolor="black">
                <v:fill type="solid"/>
                <w10:wrap type="topAndBottom"/>
              </v:rect>
            </w:pict>
          </mc:Fallback>
        </mc:AlternateContent>
      </w:r>
      <w:r w:rsidRPr="00A74810">
        <w:rPr>
          <w:rFonts w:asciiTheme="minorHAnsi" w:hAnsiTheme="minorHAnsi" w:cstheme="minorHAnsi"/>
          <w:sz w:val="28"/>
          <w:szCs w:val="28"/>
        </w:rPr>
        <w:t>Economic</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Consequences</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Grant’s</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Expiry</w:t>
      </w:r>
    </w:p>
    <w:p w:rsidR="00922215" w:rsidRPr="00A74810" w:rsidP="00A74810">
      <w:pPr>
        <w:pStyle w:val="ListParagraph"/>
        <w:numPr>
          <w:ilvl w:val="0"/>
          <w:numId w:val="3"/>
        </w:numPr>
        <w:tabs>
          <w:tab w:val="left" w:pos="525"/>
        </w:tabs>
        <w:spacing w:before="161"/>
        <w:ind w:right="160"/>
        <w:jc w:val="both"/>
        <w:rPr>
          <w:rFonts w:asciiTheme="minorHAnsi" w:hAnsiTheme="minorHAnsi" w:cstheme="minorHAnsi"/>
          <w:sz w:val="28"/>
          <w:szCs w:val="28"/>
        </w:rPr>
      </w:pPr>
      <w:r w:rsidRPr="00A74810">
        <w:rPr>
          <w:rFonts w:asciiTheme="minorHAnsi" w:hAnsiTheme="minorHAnsi" w:cstheme="minorHAnsi"/>
          <w:sz w:val="28"/>
          <w:szCs w:val="28"/>
        </w:rPr>
        <w:t xml:space="preserve">MCIA commissioned independent economic analysis from WPI Economics </w:t>
      </w:r>
      <w:r w:rsidRPr="00A74810">
        <w:rPr>
          <w:rFonts w:asciiTheme="minorHAnsi" w:hAnsiTheme="minorHAnsi" w:cstheme="minorHAnsi"/>
          <w:sz w:val="28"/>
          <w:szCs w:val="28"/>
        </w:rPr>
        <w:t>to assess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likely</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consequences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allowing</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PiMG</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lapse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without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replacement. The purpose of the research was not simply to assess the value of the previous grant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scheme,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but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understand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wider</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implications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withdrawing</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support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 xml:space="preserve">from a market that remains at a relatively early stage of development. Unlike the passenger car market, the transition to zero emission L-Category vehicles is still maturing and remains highly responsive to changes in policy and consumer </w:t>
      </w:r>
      <w:r w:rsidRPr="00A74810">
        <w:rPr>
          <w:rFonts w:asciiTheme="minorHAnsi" w:hAnsiTheme="minorHAnsi" w:cstheme="minorHAnsi"/>
          <w:spacing w:val="-2"/>
          <w:sz w:val="28"/>
          <w:szCs w:val="28"/>
        </w:rPr>
        <w:t>confidence.</w:t>
      </w:r>
    </w:p>
    <w:p w:rsidR="00922215" w:rsidRPr="00A74810" w:rsidP="00A74810">
      <w:pPr>
        <w:pStyle w:val="BodyText"/>
        <w:spacing w:before="16"/>
        <w:rPr>
          <w:rFonts w:asciiTheme="minorHAnsi" w:hAnsiTheme="minorHAnsi" w:cstheme="minorHAnsi"/>
          <w:sz w:val="28"/>
          <w:szCs w:val="28"/>
        </w:rPr>
      </w:pPr>
    </w:p>
    <w:p w:rsidR="00350CF9" w:rsidRPr="00A74810" w:rsidP="00A74810">
      <w:pPr>
        <w:pStyle w:val="ListParagraph"/>
        <w:numPr>
          <w:ilvl w:val="0"/>
          <w:numId w:val="3"/>
        </w:numPr>
        <w:tabs>
          <w:tab w:val="left" w:pos="525"/>
        </w:tabs>
        <w:ind w:right="157"/>
        <w:jc w:val="both"/>
        <w:rPr>
          <w:rFonts w:asciiTheme="minorHAnsi" w:hAnsiTheme="minorHAnsi" w:cstheme="minorHAnsi"/>
          <w:sz w:val="28"/>
          <w:szCs w:val="28"/>
        </w:rPr>
      </w:pPr>
      <w:r w:rsidRPr="00A74810">
        <w:rPr>
          <w:rFonts w:asciiTheme="minorHAnsi" w:hAnsiTheme="minorHAnsi" w:cstheme="minorHAnsi"/>
          <w:sz w:val="28"/>
          <w:szCs w:val="28"/>
        </w:rPr>
        <w:t>The resulting analysis</w:t>
      </w:r>
      <w:r>
        <w:rPr>
          <w:rStyle w:val="EndnoteReference"/>
          <w:rFonts w:asciiTheme="minorHAnsi" w:hAnsiTheme="minorHAnsi" w:cstheme="minorHAnsi"/>
          <w:sz w:val="28"/>
          <w:szCs w:val="28"/>
        </w:rPr>
        <w:endnoteReference w:id="2"/>
      </w:r>
      <w:r>
        <w:fldChar w:fldCharType="begin"/>
      </w:r>
      <w:r>
        <w:instrText xml:space="preserve"> HYPERLINK \l "_bookmark0" </w:instrText>
      </w:r>
      <w:r>
        <w:fldChar w:fldCharType="separate"/>
      </w:r>
      <w:r w:rsidRPr="00A74810">
        <w:rPr>
          <w:rFonts w:asciiTheme="minorHAnsi" w:hAnsiTheme="minorHAnsi" w:cstheme="minorHAnsi"/>
          <w:position w:val="8"/>
          <w:sz w:val="28"/>
          <w:szCs w:val="28"/>
        </w:rPr>
        <w:t>1</w:t>
      </w:r>
      <w:r>
        <w:fldChar w:fldCharType="end"/>
      </w:r>
      <w:r w:rsidRPr="00A74810">
        <w:rPr>
          <w:rFonts w:asciiTheme="minorHAnsi" w:hAnsiTheme="minorHAnsi" w:cstheme="minorHAnsi"/>
          <w:spacing w:val="24"/>
          <w:position w:val="8"/>
          <w:sz w:val="28"/>
          <w:szCs w:val="28"/>
        </w:rPr>
        <w:t xml:space="preserve"> </w:t>
      </w:r>
      <w:r w:rsidRPr="00A74810">
        <w:rPr>
          <w:rFonts w:asciiTheme="minorHAnsi" w:hAnsiTheme="minorHAnsi" w:cstheme="minorHAnsi"/>
          <w:sz w:val="28"/>
          <w:szCs w:val="28"/>
        </w:rPr>
        <w:t xml:space="preserve">demonstrates that the withdrawal of the </w:t>
      </w:r>
      <w:r w:rsidRPr="00A74810">
        <w:rPr>
          <w:rFonts w:asciiTheme="minorHAnsi" w:hAnsiTheme="minorHAnsi" w:cstheme="minorHAnsi"/>
          <w:sz w:val="28"/>
          <w:szCs w:val="28"/>
        </w:rPr>
        <w:t>PiMG</w:t>
      </w:r>
      <w:r w:rsidRPr="00A74810">
        <w:rPr>
          <w:rFonts w:asciiTheme="minorHAnsi" w:hAnsiTheme="minorHAnsi" w:cstheme="minorHAnsi"/>
          <w:sz w:val="28"/>
          <w:szCs w:val="28"/>
        </w:rPr>
        <w:t xml:space="preserve"> is expected to have significant consequences for the UK’s electric L-Category market. WPI Economics forecasts that allowing the scheme to expire could remove approximately £50 million from the market over the coming years, significantly reducing uptake of zero emission motorcycles and mopeds, and delaying market development during a critical period of the transition.</w:t>
      </w:r>
    </w:p>
    <w:p w:rsidR="00350CF9" w:rsidRPr="00A74810" w:rsidP="00A74810">
      <w:pPr>
        <w:pStyle w:val="BodyText"/>
        <w:spacing w:before="22"/>
        <w:rPr>
          <w:rFonts w:asciiTheme="minorHAnsi" w:hAnsiTheme="minorHAnsi" w:cstheme="minorHAnsi"/>
          <w:sz w:val="28"/>
          <w:szCs w:val="28"/>
        </w:rPr>
      </w:pPr>
    </w:p>
    <w:p w:rsidR="00350CF9" w:rsidRPr="00A74810" w:rsidP="00A74810">
      <w:pPr>
        <w:pStyle w:val="ListParagraph"/>
        <w:numPr>
          <w:ilvl w:val="0"/>
          <w:numId w:val="3"/>
        </w:numPr>
        <w:tabs>
          <w:tab w:val="left" w:pos="525"/>
        </w:tabs>
        <w:ind w:right="156"/>
        <w:jc w:val="both"/>
        <w:rPr>
          <w:rFonts w:asciiTheme="minorHAnsi" w:hAnsiTheme="minorHAnsi" w:cstheme="minorHAnsi"/>
          <w:sz w:val="28"/>
          <w:szCs w:val="28"/>
        </w:rPr>
      </w:pPr>
      <w:r w:rsidRPr="00A74810">
        <w:rPr>
          <w:rFonts w:asciiTheme="minorHAnsi" w:hAnsiTheme="minorHAnsi" w:cstheme="minorHAnsi"/>
          <w:sz w:val="28"/>
          <w:szCs w:val="28"/>
        </w:rPr>
        <w:t>These findings are consistent with the sector’s own experience. Previous amendments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PiMG</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resulted</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immediate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market</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responses,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demonstrating that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consumer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demand</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remains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highly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sensitive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changes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purchase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incentives. As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market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continues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mature,</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certainty</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investor</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confidence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remain important determinants of future growth.</w:t>
      </w:r>
    </w:p>
    <w:p w:rsidR="00350CF9" w:rsidRPr="00A74810" w:rsidP="00A74810">
      <w:pPr>
        <w:pStyle w:val="ListParagraph"/>
        <w:tabs>
          <w:tab w:val="left" w:pos="525"/>
        </w:tabs>
        <w:ind w:right="156" w:firstLine="0"/>
        <w:rPr>
          <w:rFonts w:asciiTheme="minorHAnsi" w:hAnsiTheme="minorHAnsi" w:cstheme="minorHAnsi"/>
          <w:sz w:val="28"/>
          <w:szCs w:val="28"/>
        </w:rPr>
      </w:pPr>
    </w:p>
    <w:p w:rsidR="00350CF9" w:rsidRPr="00A74810" w:rsidP="00A74810">
      <w:pPr>
        <w:pStyle w:val="ListParagraph"/>
        <w:numPr>
          <w:ilvl w:val="0"/>
          <w:numId w:val="3"/>
        </w:numPr>
        <w:tabs>
          <w:tab w:val="left" w:pos="525"/>
        </w:tabs>
        <w:spacing w:before="80"/>
        <w:ind w:right="160"/>
        <w:jc w:val="both"/>
        <w:rPr>
          <w:rFonts w:asciiTheme="minorHAnsi" w:hAnsiTheme="minorHAnsi" w:cstheme="minorHAnsi"/>
          <w:sz w:val="28"/>
          <w:szCs w:val="28"/>
        </w:rPr>
      </w:pPr>
      <w:bookmarkStart w:id="0" w:name="_bookmark0"/>
      <w:bookmarkEnd w:id="0"/>
      <w:r w:rsidRPr="00A74810">
        <w:rPr>
          <w:rFonts w:asciiTheme="minorHAnsi" w:hAnsiTheme="minorHAnsi" w:cstheme="minorHAnsi"/>
          <w:sz w:val="28"/>
          <w:szCs w:val="28"/>
        </w:rPr>
        <w:t>Importantly, the analysis suggests that the consequences of withdrawing support extend</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beyond</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vehicle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registrations</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alone. Slower</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market</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growth</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 xml:space="preserve">implications for investment, innovation, consumer confidence, dealer networks, supply chains and the wider competitiveness of the UK’s L-Category sector. In this respect, the expiry of the </w:t>
      </w:r>
      <w:r w:rsidRPr="00A74810">
        <w:rPr>
          <w:rFonts w:asciiTheme="minorHAnsi" w:hAnsiTheme="minorHAnsi" w:cstheme="minorHAnsi"/>
          <w:sz w:val="28"/>
          <w:szCs w:val="28"/>
        </w:rPr>
        <w:t>PiMG</w:t>
      </w:r>
      <w:r w:rsidRPr="00A74810">
        <w:rPr>
          <w:rFonts w:asciiTheme="minorHAnsi" w:hAnsiTheme="minorHAnsi" w:cstheme="minorHAnsi"/>
          <w:sz w:val="28"/>
          <w:szCs w:val="28"/>
        </w:rPr>
        <w:t xml:space="preserve"> should be viewed not simply as the removal of a consumer incentive, but as a signal that influences confidence across the wider market.</w:t>
      </w:r>
    </w:p>
    <w:p w:rsidR="00350CF9"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0"/>
        <w:jc w:val="both"/>
        <w:rPr>
          <w:rFonts w:asciiTheme="minorHAnsi" w:hAnsiTheme="minorHAnsi" w:cstheme="minorHAnsi"/>
          <w:sz w:val="28"/>
          <w:szCs w:val="28"/>
        </w:rPr>
      </w:pPr>
      <w:r w:rsidRPr="00A74810">
        <w:rPr>
          <w:rFonts w:asciiTheme="minorHAnsi" w:hAnsiTheme="minorHAnsi" w:cstheme="minorHAnsi"/>
          <w:sz w:val="28"/>
          <w:szCs w:val="28"/>
        </w:rPr>
        <w:t xml:space="preserve">This is particularly noteworthy when considered alongside the total public investment made through the scheme. Since its introduction in 2017, the </w:t>
      </w:r>
      <w:r w:rsidRPr="00A74810">
        <w:rPr>
          <w:rFonts w:asciiTheme="minorHAnsi" w:hAnsiTheme="minorHAnsi" w:cstheme="minorHAnsi"/>
          <w:sz w:val="28"/>
          <w:szCs w:val="28"/>
        </w:rPr>
        <w:t>PiMG</w:t>
      </w:r>
      <w:r w:rsidRPr="00A74810">
        <w:rPr>
          <w:rFonts w:asciiTheme="minorHAnsi" w:hAnsiTheme="minorHAnsi" w:cstheme="minorHAnsi"/>
          <w:sz w:val="28"/>
          <w:szCs w:val="28"/>
        </w:rPr>
        <w:t xml:space="preserve"> supported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purchase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over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15,500</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estimated</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cost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£10</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million</w:t>
      </w:r>
      <w:r>
        <w:rPr>
          <w:rStyle w:val="EndnoteReference"/>
          <w:rFonts w:asciiTheme="minorHAnsi" w:hAnsiTheme="minorHAnsi" w:cstheme="minorHAnsi"/>
          <w:sz w:val="28"/>
          <w:szCs w:val="28"/>
        </w:rPr>
        <w:endnoteReference w:id="3"/>
      </w:r>
      <w:r>
        <w:fldChar w:fldCharType="begin"/>
      </w:r>
      <w:r>
        <w:instrText xml:space="preserve"> HYPERLINK \l "_bookmark1" </w:instrText>
      </w:r>
      <w:r>
        <w:fldChar w:fldCharType="separate"/>
      </w:r>
      <w:r w:rsidRPr="00A74810">
        <w:rPr>
          <w:rFonts w:asciiTheme="minorHAnsi" w:hAnsiTheme="minorHAnsi" w:cstheme="minorHAnsi"/>
          <w:position w:val="8"/>
          <w:sz w:val="28"/>
          <w:szCs w:val="28"/>
        </w:rPr>
        <w:t>2</w:t>
      </w:r>
      <w:r>
        <w:fldChar w:fldCharType="end"/>
      </w:r>
      <w:r w:rsidRPr="00A74810" w:rsidR="007017F2">
        <w:rPr>
          <w:rFonts w:asciiTheme="minorHAnsi" w:hAnsiTheme="minorHAnsi" w:cstheme="minorHAnsi"/>
          <w:position w:val="8"/>
          <w:sz w:val="28"/>
          <w:szCs w:val="28"/>
        </w:rPr>
        <w:t xml:space="preserve"> </w:t>
      </w:r>
      <w:r w:rsidRPr="00A74810" w:rsidR="007017F2">
        <w:rPr>
          <w:rFonts w:asciiTheme="minorHAnsi" w:hAnsiTheme="minorHAnsi" w:cstheme="minorHAnsi"/>
          <w:sz w:val="28"/>
          <w:szCs w:val="28"/>
        </w:rPr>
        <w:t>to the taxpayer.</w:t>
      </w:r>
      <w:r w:rsidRPr="00A74810" w:rsidR="007017F2">
        <w:rPr>
          <w:rFonts w:asciiTheme="minorHAnsi" w:hAnsiTheme="minorHAnsi" w:cstheme="minorHAnsi"/>
          <w:spacing w:val="-5"/>
          <w:sz w:val="28"/>
          <w:szCs w:val="28"/>
        </w:rPr>
        <w:t xml:space="preserve"> </w:t>
      </w:r>
      <w:r w:rsidRPr="00A74810" w:rsidR="007017F2">
        <w:rPr>
          <w:rFonts w:asciiTheme="minorHAnsi" w:hAnsiTheme="minorHAnsi" w:cstheme="minorHAnsi"/>
          <w:sz w:val="28"/>
          <w:szCs w:val="28"/>
        </w:rPr>
        <w:t>Against this, WPI Economics forecasts that allowing the scheme to</w:t>
      </w:r>
      <w:r w:rsidRPr="00A74810" w:rsidR="007017F2">
        <w:rPr>
          <w:rFonts w:asciiTheme="minorHAnsi" w:hAnsiTheme="minorHAnsi" w:cstheme="minorHAnsi"/>
          <w:spacing w:val="-16"/>
          <w:sz w:val="28"/>
          <w:szCs w:val="28"/>
        </w:rPr>
        <w:t xml:space="preserve"> </w:t>
      </w:r>
      <w:r w:rsidRPr="00A74810" w:rsidR="007017F2">
        <w:rPr>
          <w:rFonts w:asciiTheme="minorHAnsi" w:hAnsiTheme="minorHAnsi" w:cstheme="minorHAnsi"/>
          <w:sz w:val="28"/>
          <w:szCs w:val="28"/>
        </w:rPr>
        <w:t>lapse</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could</w:t>
      </w:r>
      <w:r w:rsidRPr="00A74810" w:rsidR="007017F2">
        <w:rPr>
          <w:rFonts w:asciiTheme="minorHAnsi" w:hAnsiTheme="minorHAnsi" w:cstheme="minorHAnsi"/>
          <w:spacing w:val="-16"/>
          <w:sz w:val="28"/>
          <w:szCs w:val="28"/>
        </w:rPr>
        <w:t xml:space="preserve"> </w:t>
      </w:r>
      <w:r w:rsidRPr="00A74810" w:rsidR="007017F2">
        <w:rPr>
          <w:rFonts w:asciiTheme="minorHAnsi" w:hAnsiTheme="minorHAnsi" w:cstheme="minorHAnsi"/>
          <w:sz w:val="28"/>
          <w:szCs w:val="28"/>
        </w:rPr>
        <w:t>remove</w:t>
      </w:r>
      <w:r w:rsidRPr="00A74810" w:rsidR="007017F2">
        <w:rPr>
          <w:rFonts w:asciiTheme="minorHAnsi" w:hAnsiTheme="minorHAnsi" w:cstheme="minorHAnsi"/>
          <w:spacing w:val="-17"/>
          <w:sz w:val="28"/>
          <w:szCs w:val="28"/>
        </w:rPr>
        <w:t xml:space="preserve"> </w:t>
      </w:r>
      <w:r w:rsidRPr="00A74810" w:rsidR="007017F2">
        <w:rPr>
          <w:rFonts w:asciiTheme="minorHAnsi" w:hAnsiTheme="minorHAnsi" w:cstheme="minorHAnsi"/>
          <w:sz w:val="28"/>
          <w:szCs w:val="28"/>
        </w:rPr>
        <w:t>around</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£50</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million</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from</w:t>
      </w:r>
      <w:r w:rsidRPr="00A74810" w:rsidR="007017F2">
        <w:rPr>
          <w:rFonts w:asciiTheme="minorHAnsi" w:hAnsiTheme="minorHAnsi" w:cstheme="minorHAnsi"/>
          <w:spacing w:val="-17"/>
          <w:sz w:val="28"/>
          <w:szCs w:val="28"/>
        </w:rPr>
        <w:t xml:space="preserve"> </w:t>
      </w:r>
      <w:r w:rsidRPr="00A74810" w:rsidR="007017F2">
        <w:rPr>
          <w:rFonts w:asciiTheme="minorHAnsi" w:hAnsiTheme="minorHAnsi" w:cstheme="minorHAnsi"/>
          <w:sz w:val="28"/>
          <w:szCs w:val="28"/>
        </w:rPr>
        <w:t>the</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UK’s</w:t>
      </w:r>
      <w:r w:rsidRPr="00A74810" w:rsidR="007017F2">
        <w:rPr>
          <w:rFonts w:asciiTheme="minorHAnsi" w:hAnsiTheme="minorHAnsi" w:cstheme="minorHAnsi"/>
          <w:spacing w:val="-17"/>
          <w:sz w:val="28"/>
          <w:szCs w:val="28"/>
        </w:rPr>
        <w:t xml:space="preserve"> </w:t>
      </w:r>
      <w:r w:rsidRPr="00A74810" w:rsidR="007017F2">
        <w:rPr>
          <w:rFonts w:asciiTheme="minorHAnsi" w:hAnsiTheme="minorHAnsi" w:cstheme="minorHAnsi"/>
          <w:sz w:val="28"/>
          <w:szCs w:val="28"/>
        </w:rPr>
        <w:t>electric</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motorcycle</w:t>
      </w:r>
      <w:r w:rsidRPr="00A74810" w:rsidR="007017F2">
        <w:rPr>
          <w:rFonts w:asciiTheme="minorHAnsi" w:hAnsiTheme="minorHAnsi" w:cstheme="minorHAnsi"/>
          <w:spacing w:val="-15"/>
          <w:sz w:val="28"/>
          <w:szCs w:val="28"/>
        </w:rPr>
        <w:t xml:space="preserve"> </w:t>
      </w:r>
      <w:r w:rsidRPr="00A74810" w:rsidR="007017F2">
        <w:rPr>
          <w:rFonts w:asciiTheme="minorHAnsi" w:hAnsiTheme="minorHAnsi" w:cstheme="minorHAnsi"/>
          <w:sz w:val="28"/>
          <w:szCs w:val="28"/>
        </w:rPr>
        <w:t>market.</w:t>
      </w:r>
    </w:p>
    <w:p w:rsidR="00922215" w:rsidRPr="00A74810" w:rsidP="00A74810">
      <w:pPr>
        <w:pStyle w:val="BodyText"/>
        <w:spacing w:before="29"/>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6"/>
        <w:jc w:val="both"/>
        <w:rPr>
          <w:rFonts w:asciiTheme="minorHAnsi" w:hAnsiTheme="minorHAnsi" w:cstheme="minorHAnsi"/>
          <w:sz w:val="28"/>
          <w:szCs w:val="28"/>
        </w:rPr>
      </w:pPr>
      <w:r w:rsidRPr="00A74810">
        <w:rPr>
          <w:rFonts w:asciiTheme="minorHAnsi" w:hAnsiTheme="minorHAnsi" w:cstheme="minorHAnsi"/>
          <w:sz w:val="28"/>
          <w:szCs w:val="28"/>
        </w:rPr>
        <w:t>MCIA recognises that Government must balance competing demands on public finances and prioritise interventions that deliver the greatest overall value. However,</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these</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findings</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suggest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relatively</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modest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public</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investment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can</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have 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disproportionately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large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influence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market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confidence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consumer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behaviour within an emerging vehicle market.</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jc w:val="both"/>
        <w:rPr>
          <w:rFonts w:asciiTheme="minorHAnsi" w:hAnsiTheme="minorHAnsi" w:cstheme="minorHAnsi"/>
          <w:sz w:val="28"/>
          <w:szCs w:val="28"/>
        </w:rPr>
      </w:pPr>
      <w:r w:rsidRPr="00A74810">
        <w:rPr>
          <w:rFonts w:asciiTheme="minorHAnsi" w:hAnsiTheme="minorHAnsi" w:cstheme="minorHAnsi"/>
          <w:sz w:val="28"/>
          <w:szCs w:val="28"/>
        </w:rPr>
        <w:t>More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fundamentally,</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research</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highlights</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principal</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challenge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facing</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 xml:space="preserve">the L-Category sector is not simply the absence of one </w:t>
      </w:r>
      <w:r w:rsidRPr="00A74810">
        <w:rPr>
          <w:rFonts w:asciiTheme="minorHAnsi" w:hAnsiTheme="minorHAnsi" w:cstheme="minorHAnsi"/>
          <w:sz w:val="28"/>
          <w:szCs w:val="28"/>
        </w:rPr>
        <w:t>particular grant</w:t>
      </w:r>
      <w:r w:rsidRPr="00A74810">
        <w:rPr>
          <w:rFonts w:asciiTheme="minorHAnsi" w:hAnsiTheme="minorHAnsi" w:cstheme="minorHAnsi"/>
          <w:sz w:val="28"/>
          <w:szCs w:val="28"/>
        </w:rPr>
        <w:t xml:space="preserve"> scheme. Rather, it reflects the absence of a coherent, long-term policy framework capable of</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supporting</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market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development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sector</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transitions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towards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zero</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 xml:space="preserve">emission </w:t>
      </w:r>
      <w:r w:rsidRPr="00A74810">
        <w:rPr>
          <w:rFonts w:asciiTheme="minorHAnsi" w:hAnsiTheme="minorHAnsi" w:cstheme="minorHAnsi"/>
          <w:spacing w:val="-2"/>
          <w:sz w:val="28"/>
          <w:szCs w:val="28"/>
        </w:rPr>
        <w:t>technologies.</w:t>
      </w:r>
    </w:p>
    <w:p w:rsidR="00922215" w:rsidRPr="00A74810" w:rsidP="00A74810">
      <w:pPr>
        <w:pStyle w:val="BodyText"/>
        <w:spacing w:before="19"/>
        <w:rPr>
          <w:rFonts w:asciiTheme="minorHAnsi" w:hAnsiTheme="minorHAnsi" w:cstheme="minorHAnsi"/>
          <w:sz w:val="28"/>
          <w:szCs w:val="28"/>
        </w:rPr>
      </w:pPr>
    </w:p>
    <w:p w:rsidR="00922215" w:rsidRPr="00A74810" w:rsidP="00A74810">
      <w:pPr>
        <w:pStyle w:val="ListParagraph"/>
        <w:numPr>
          <w:ilvl w:val="0"/>
          <w:numId w:val="3"/>
        </w:numPr>
        <w:tabs>
          <w:tab w:val="left" w:pos="525"/>
        </w:tabs>
        <w:jc w:val="both"/>
        <w:rPr>
          <w:rFonts w:asciiTheme="minorHAnsi" w:hAnsiTheme="minorHAnsi" w:cstheme="minorHAnsi"/>
          <w:sz w:val="28"/>
          <w:szCs w:val="28"/>
        </w:rPr>
      </w:pPr>
      <w:r w:rsidRPr="00A74810">
        <w:rPr>
          <w:rFonts w:asciiTheme="minorHAnsi" w:hAnsiTheme="minorHAnsi" w:cstheme="minorHAnsi"/>
          <w:sz w:val="28"/>
          <w:szCs w:val="28"/>
        </w:rPr>
        <w:t>It is this question that has shaped the next phase of MCIA’s work. Rather than seeking simply to revisit the previous grant scheme, MCIA has commissioned a broader</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programme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analysis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identify</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which</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fiscal</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interventions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are most likely to stimulate uptake of zero emission L-Category vehicles while supporting wider Government objectives, including economic growth, transport decarbonisation, affordable mobility and productivity.</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ind w:right="165"/>
        <w:jc w:val="both"/>
        <w:rPr>
          <w:rFonts w:asciiTheme="minorHAnsi" w:hAnsiTheme="minorHAnsi" w:cstheme="minorHAnsi"/>
          <w:sz w:val="28"/>
          <w:szCs w:val="28"/>
        </w:rPr>
      </w:pPr>
      <w:r w:rsidRPr="00A74810">
        <w:rPr>
          <w:rFonts w:asciiTheme="minorHAnsi" w:hAnsiTheme="minorHAnsi" w:cstheme="minorHAnsi"/>
          <w:sz w:val="28"/>
          <w:szCs w:val="28"/>
        </w:rPr>
        <w:t>In</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doing</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so,</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MCIA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deliberately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shifted</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discussion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away</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from</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single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policy instrument towards a broader consideration of how Government can most effectively develop the zero emission L-Category market over the longer term.</w:t>
      </w:r>
    </w:p>
    <w:p w:rsidR="00922215" w:rsidRPr="00A74810" w:rsidP="00A74810">
      <w:pPr>
        <w:pStyle w:val="BodyText"/>
        <w:spacing w:before="66"/>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66432" behindDoc="1" locked="0" layoutInCell="1" allowOverlap="1">
                <wp:simplePos x="0" y="0"/>
                <wp:positionH relativeFrom="page">
                  <wp:posOffset>896416</wp:posOffset>
                </wp:positionH>
                <wp:positionV relativeFrom="paragraph">
                  <wp:posOffset>201143</wp:posOffset>
                </wp:positionV>
                <wp:extent cx="5769610" cy="635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29" style="height:0.48pt;margin-left:70.58pt;margin-top:15.84pt;mso-position-horizontal-relative:page;mso-wrap-distance-left:0;mso-wrap-distance-right:0;position:absolute;width:454.27pt;z-index:-251649024" fillcolor="black">
                <v:fill type="solid"/>
                <w10:wrap type="topAndBottom"/>
              </v:rect>
            </w:pict>
          </mc:Fallback>
        </mc:AlternateContent>
      </w:r>
      <w:r w:rsidRPr="00A74810">
        <w:rPr>
          <w:rFonts w:asciiTheme="minorHAnsi" w:hAnsiTheme="minorHAnsi" w:cstheme="minorHAnsi"/>
          <w:sz w:val="28"/>
          <w:szCs w:val="28"/>
        </w:rPr>
        <w:t>From</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Individual</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Grants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Long-Term</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Framework</w:t>
      </w:r>
    </w:p>
    <w:p w:rsidR="00922215" w:rsidRPr="00A74810" w:rsidP="00A74810">
      <w:pPr>
        <w:pStyle w:val="ListParagraph"/>
        <w:numPr>
          <w:ilvl w:val="0"/>
          <w:numId w:val="3"/>
        </w:numPr>
        <w:tabs>
          <w:tab w:val="left" w:pos="525"/>
        </w:tabs>
        <w:spacing w:before="161"/>
        <w:ind w:right="159"/>
        <w:jc w:val="both"/>
        <w:rPr>
          <w:rFonts w:asciiTheme="minorHAnsi" w:hAnsiTheme="minorHAnsi" w:cstheme="minorHAnsi"/>
          <w:sz w:val="28"/>
          <w:szCs w:val="28"/>
        </w:rPr>
      </w:pPr>
      <w:r w:rsidRPr="00A74810">
        <w:rPr>
          <w:rFonts w:asciiTheme="minorHAnsi" w:hAnsiTheme="minorHAnsi" w:cstheme="minorHAnsi"/>
          <w:sz w:val="28"/>
          <w:szCs w:val="28"/>
        </w:rPr>
        <w:t>The expiry of the PiMG has prompted a broader reconsideration of how Government supports the transition to zero emission L-Category vehicles. While MCIA does think that the withdrawal of the PiMG was premature without a successor scheme in place, we also recognise that the wider policy challenge extends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beyond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continuation</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single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grant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scheme.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more fundamental</w:t>
      </w:r>
      <w:r w:rsidRPr="00A74810" w:rsidR="00E91626">
        <w:rPr>
          <w:rFonts w:asciiTheme="minorHAnsi" w:hAnsiTheme="minorHAnsi" w:cstheme="minorHAnsi"/>
          <w:sz w:val="28"/>
          <w:szCs w:val="28"/>
        </w:rPr>
        <w:t xml:space="preserve"> </w:t>
      </w:r>
    </w:p>
    <w:p w:rsidR="00922215" w:rsidRPr="00A74810" w:rsidP="00A74810">
      <w:pPr>
        <w:rPr>
          <w:rFonts w:asciiTheme="minorHAnsi" w:hAnsiTheme="minorHAnsi" w:cstheme="minorHAnsi"/>
          <w:sz w:val="28"/>
          <w:szCs w:val="28"/>
        </w:rPr>
        <w:sectPr w:rsidSect="00A74810">
          <w:footerReference w:type="default" r:id="rId6"/>
          <w:pgSz w:w="11910" w:h="16840"/>
          <w:pgMar w:top="1440" w:right="1440" w:bottom="1440" w:left="1440" w:header="0" w:footer="1000" w:gutter="0"/>
          <w:cols w:space="720"/>
          <w:docGrid w:linePitch="299"/>
        </w:sectPr>
      </w:pPr>
    </w:p>
    <w:p w:rsidR="00922215" w:rsidRPr="00A74810" w:rsidP="00A74810">
      <w:pPr>
        <w:pStyle w:val="BodyText"/>
        <w:spacing w:before="82"/>
        <w:ind w:left="525" w:right="163"/>
        <w:jc w:val="both"/>
        <w:rPr>
          <w:rFonts w:asciiTheme="minorHAnsi" w:hAnsiTheme="minorHAnsi" w:cstheme="minorHAnsi"/>
          <w:sz w:val="28"/>
          <w:szCs w:val="28"/>
        </w:rPr>
      </w:pPr>
      <w:r w:rsidRPr="00A74810">
        <w:rPr>
          <w:rFonts w:asciiTheme="minorHAnsi" w:hAnsiTheme="minorHAnsi" w:cstheme="minorHAnsi"/>
          <w:sz w:val="28"/>
          <w:szCs w:val="28"/>
        </w:rPr>
        <w:t>q</w:t>
      </w:r>
      <w:r w:rsidRPr="00A74810">
        <w:rPr>
          <w:rFonts w:asciiTheme="minorHAnsi" w:hAnsiTheme="minorHAnsi" w:cstheme="minorHAnsi"/>
          <w:sz w:val="28"/>
          <w:szCs w:val="28"/>
        </w:rPr>
        <w:t>uestions</w:t>
      </w:r>
      <w:r w:rsidRPr="00A74810">
        <w:rPr>
          <w:rFonts w:asciiTheme="minorHAnsi" w:hAnsiTheme="minorHAnsi" w:cstheme="minorHAnsi"/>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z w:val="28"/>
          <w:szCs w:val="28"/>
        </w:rPr>
        <w:t xml:space="preserve"> how Government can most effectively encourage the transition towards zero emission L-Category vehicles in a manner that is economically sustainable, fiscally proportionate and aligned with wider transport and industrial </w:t>
      </w:r>
      <w:r w:rsidRPr="00A74810">
        <w:rPr>
          <w:rFonts w:asciiTheme="minorHAnsi" w:hAnsiTheme="minorHAnsi" w:cstheme="minorHAnsi"/>
          <w:spacing w:val="-2"/>
          <w:sz w:val="28"/>
          <w:szCs w:val="28"/>
        </w:rPr>
        <w:t>objectives.</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0"/>
        <w:jc w:val="both"/>
        <w:rPr>
          <w:rFonts w:asciiTheme="minorHAnsi" w:hAnsiTheme="minorHAnsi" w:cstheme="minorHAnsi"/>
          <w:sz w:val="28"/>
          <w:szCs w:val="28"/>
        </w:rPr>
      </w:pPr>
      <w:r w:rsidRPr="00A74810">
        <w:rPr>
          <w:rFonts w:asciiTheme="minorHAnsi" w:hAnsiTheme="minorHAnsi" w:cstheme="minorHAnsi"/>
          <w:sz w:val="28"/>
          <w:szCs w:val="28"/>
        </w:rPr>
        <w:t>MCIA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therefore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moved</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beyond</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advocating</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for</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single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intervention</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now developing an evidence-led policy framework that considers a full range of fiscal and policy levers available to Government.</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ind w:right="168"/>
        <w:jc w:val="both"/>
        <w:rPr>
          <w:rFonts w:asciiTheme="minorHAnsi" w:hAnsiTheme="minorHAnsi" w:cstheme="minorHAnsi"/>
          <w:sz w:val="28"/>
          <w:szCs w:val="28"/>
        </w:rPr>
      </w:pPr>
      <w:r w:rsidRPr="00A74810">
        <w:rPr>
          <w:rFonts w:asciiTheme="minorHAnsi" w:hAnsiTheme="minorHAnsi" w:cstheme="minorHAnsi"/>
          <w:sz w:val="28"/>
          <w:szCs w:val="28"/>
        </w:rPr>
        <w:t>To support this work, MCIA has commissioned a second phase of independent economic analysis examining a broad suite of potential interventions capable of stimulating market development across the wider L-Category sector.</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jc w:val="both"/>
        <w:rPr>
          <w:rFonts w:asciiTheme="minorHAnsi" w:hAnsiTheme="minorHAnsi" w:cstheme="minorHAnsi"/>
          <w:sz w:val="28"/>
          <w:szCs w:val="28"/>
        </w:rPr>
      </w:pPr>
      <w:r w:rsidRPr="00A74810">
        <w:rPr>
          <w:rFonts w:asciiTheme="minorHAnsi" w:hAnsiTheme="minorHAnsi" w:cstheme="minorHAnsi"/>
          <w:sz w:val="28"/>
          <w:szCs w:val="28"/>
        </w:rPr>
        <w:t>The objective is not necessarily to identify a single preferred policy, but to determine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which</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intervention,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or</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combination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interventions,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likely</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deliver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 greatest overall benefit for consumers, industry and Government.</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4"/>
        <w:jc w:val="both"/>
        <w:rPr>
          <w:rFonts w:asciiTheme="minorHAnsi" w:hAnsiTheme="minorHAnsi" w:cstheme="minorHAnsi"/>
          <w:sz w:val="28"/>
          <w:szCs w:val="28"/>
        </w:rPr>
      </w:pPr>
      <w:r w:rsidRPr="00A74810">
        <w:rPr>
          <w:rFonts w:asciiTheme="minorHAnsi" w:hAnsiTheme="minorHAnsi" w:cstheme="minorHAnsi"/>
          <w:sz w:val="28"/>
          <w:szCs w:val="28"/>
        </w:rPr>
        <w:t xml:space="preserve">This work considers a broad range of potential measures, including purchase incentives, taxation, salary sacrifice arrangements, capital allowances, fleet </w:t>
      </w:r>
      <w:r w:rsidRPr="00A74810">
        <w:rPr>
          <w:rFonts w:asciiTheme="minorHAnsi" w:hAnsiTheme="minorHAnsi" w:cstheme="minorHAnsi"/>
          <w:spacing w:val="-2"/>
          <w:sz w:val="28"/>
          <w:szCs w:val="28"/>
        </w:rPr>
        <w:t>incentives,</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Benefit-in-Kind</w:t>
      </w:r>
      <w:r w:rsidRPr="00A74810">
        <w:rPr>
          <w:rFonts w:asciiTheme="minorHAnsi" w:hAnsiTheme="minorHAnsi" w:cstheme="minorHAnsi"/>
          <w:spacing w:val="-3"/>
          <w:sz w:val="28"/>
          <w:szCs w:val="28"/>
        </w:rPr>
        <w:t xml:space="preserve"> </w:t>
      </w:r>
      <w:r w:rsidRPr="00A74810">
        <w:rPr>
          <w:rFonts w:asciiTheme="minorHAnsi" w:hAnsiTheme="minorHAnsi" w:cstheme="minorHAnsi"/>
          <w:spacing w:val="-2"/>
          <w:sz w:val="28"/>
          <w:szCs w:val="28"/>
        </w:rPr>
        <w:t>reforms,</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Vehicle</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Excise</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Duty,</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wider</w:t>
      </w:r>
      <w:r w:rsidRPr="00A74810">
        <w:rPr>
          <w:rFonts w:asciiTheme="minorHAnsi" w:hAnsiTheme="minorHAnsi" w:cstheme="minorHAnsi"/>
          <w:spacing w:val="-6"/>
          <w:sz w:val="28"/>
          <w:szCs w:val="28"/>
        </w:rPr>
        <w:t xml:space="preserve"> </w:t>
      </w:r>
      <w:r w:rsidRPr="00A74810">
        <w:rPr>
          <w:rFonts w:asciiTheme="minorHAnsi" w:hAnsiTheme="minorHAnsi" w:cstheme="minorHAnsi"/>
          <w:spacing w:val="-2"/>
          <w:sz w:val="28"/>
          <w:szCs w:val="28"/>
        </w:rPr>
        <w:t>fiscal</w:t>
      </w:r>
      <w:r w:rsidRPr="00A74810">
        <w:rPr>
          <w:rFonts w:asciiTheme="minorHAnsi" w:hAnsiTheme="minorHAnsi" w:cstheme="minorHAnsi"/>
          <w:spacing w:val="-6"/>
          <w:sz w:val="28"/>
          <w:szCs w:val="28"/>
        </w:rPr>
        <w:t xml:space="preserve"> </w:t>
      </w:r>
      <w:r w:rsidRPr="00A74810">
        <w:rPr>
          <w:rFonts w:asciiTheme="minorHAnsi" w:hAnsiTheme="minorHAnsi" w:cstheme="minorHAnsi"/>
          <w:spacing w:val="-2"/>
          <w:sz w:val="28"/>
          <w:szCs w:val="28"/>
        </w:rPr>
        <w:t>measures</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 xml:space="preserve">and </w:t>
      </w:r>
      <w:r w:rsidRPr="00A74810">
        <w:rPr>
          <w:rFonts w:asciiTheme="minorHAnsi" w:hAnsiTheme="minorHAnsi" w:cstheme="minorHAnsi"/>
          <w:sz w:val="28"/>
          <w:szCs w:val="28"/>
        </w:rPr>
        <w:t>locally delivered transport initiatives.</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8"/>
        <w:jc w:val="both"/>
        <w:rPr>
          <w:rFonts w:asciiTheme="minorHAnsi" w:hAnsiTheme="minorHAnsi" w:cstheme="minorHAnsi"/>
          <w:sz w:val="28"/>
          <w:szCs w:val="28"/>
        </w:rPr>
      </w:pPr>
      <w:r w:rsidRPr="00A74810">
        <w:rPr>
          <w:rFonts w:asciiTheme="minorHAnsi" w:hAnsiTheme="minorHAnsi" w:cstheme="minorHAnsi"/>
          <w:sz w:val="28"/>
          <w:szCs w:val="28"/>
        </w:rPr>
        <w:t xml:space="preserve">Importantly, this represents a significant shift in emphasis. The debate should no longer be framed solely around whether a grant scheme should exist. Instead, it should focus on identifying those interventions that </w:t>
      </w:r>
      <w:r w:rsidRPr="00A74810">
        <w:rPr>
          <w:rFonts w:asciiTheme="minorHAnsi" w:hAnsiTheme="minorHAnsi" w:cstheme="minorHAnsi"/>
          <w:sz w:val="28"/>
          <w:szCs w:val="28"/>
        </w:rPr>
        <w:t>are capable of delivering</w:t>
      </w:r>
      <w:r w:rsidRPr="00A74810">
        <w:rPr>
          <w:rFonts w:asciiTheme="minorHAnsi" w:hAnsiTheme="minorHAnsi" w:cstheme="minorHAnsi"/>
          <w:sz w:val="28"/>
          <w:szCs w:val="28"/>
        </w:rPr>
        <w:t xml:space="preserve"> the greatest public value relative to their cost.</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ind w:right="162"/>
        <w:jc w:val="both"/>
        <w:rPr>
          <w:rFonts w:asciiTheme="minorHAnsi" w:hAnsiTheme="minorHAnsi" w:cstheme="minorHAnsi"/>
          <w:sz w:val="28"/>
          <w:szCs w:val="28"/>
        </w:rPr>
      </w:pPr>
      <w:r w:rsidRPr="00A74810">
        <w:rPr>
          <w:rFonts w:asciiTheme="minorHAnsi" w:hAnsiTheme="minorHAnsi" w:cstheme="minorHAnsi"/>
          <w:sz w:val="28"/>
          <w:szCs w:val="28"/>
        </w:rPr>
        <w:t xml:space="preserve">The ongoing analysis </w:t>
      </w:r>
      <w:r w:rsidRPr="00A74810">
        <w:rPr>
          <w:rFonts w:asciiTheme="minorHAnsi" w:hAnsiTheme="minorHAnsi" w:cstheme="minorHAnsi"/>
          <w:sz w:val="28"/>
          <w:szCs w:val="28"/>
        </w:rPr>
        <w:t>is assessing</w:t>
      </w:r>
      <w:r w:rsidRPr="00A74810">
        <w:rPr>
          <w:rFonts w:asciiTheme="minorHAnsi" w:hAnsiTheme="minorHAnsi" w:cstheme="minorHAnsi"/>
          <w:sz w:val="28"/>
          <w:szCs w:val="28"/>
        </w:rPr>
        <w:t xml:space="preserve"> potential interventions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against a consistent set of criteria, including their deliverability, cost-effectiveness, ability to stimulate behavioural change, impacts on total cost of ownership, Exchequer implications and wider public benefits.</w:t>
      </w:r>
    </w:p>
    <w:p w:rsidR="00922215" w:rsidRPr="00A74810" w:rsidP="00A74810">
      <w:pPr>
        <w:pStyle w:val="BodyText"/>
        <w:spacing w:before="19"/>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62"/>
        <w:jc w:val="both"/>
        <w:rPr>
          <w:rFonts w:asciiTheme="minorHAnsi" w:hAnsiTheme="minorHAnsi" w:cstheme="minorHAnsi"/>
          <w:sz w:val="28"/>
          <w:szCs w:val="28"/>
        </w:rPr>
      </w:pPr>
      <w:r w:rsidRPr="00A74810">
        <w:rPr>
          <w:rFonts w:asciiTheme="minorHAnsi" w:hAnsiTheme="minorHAnsi" w:cstheme="minorHAnsi"/>
          <w:sz w:val="28"/>
          <w:szCs w:val="28"/>
        </w:rPr>
        <w:t>This approach reflects the need to ensure that future policy is not only environmentally effective, but also economically robust and capable of delivering value for money for the taxpayer.</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3"/>
        </w:numPr>
        <w:tabs>
          <w:tab w:val="left" w:pos="525"/>
        </w:tabs>
        <w:ind w:right="158"/>
        <w:jc w:val="both"/>
        <w:rPr>
          <w:rFonts w:asciiTheme="minorHAnsi" w:hAnsiTheme="minorHAnsi" w:cstheme="minorHAnsi"/>
          <w:sz w:val="28"/>
          <w:szCs w:val="28"/>
        </w:rPr>
      </w:pPr>
      <w:r w:rsidRPr="00A74810">
        <w:rPr>
          <w:rFonts w:asciiTheme="minorHAnsi" w:hAnsiTheme="minorHAnsi" w:cstheme="minorHAnsi"/>
          <w:sz w:val="28"/>
          <w:szCs w:val="28"/>
        </w:rPr>
        <w:t xml:space="preserve">Importantly, the potential benefits extend well beyond emissions reduction. The work takes a holistic approach, and considers how different </w:t>
      </w:r>
      <w:r w:rsidRPr="00A74810">
        <w:rPr>
          <w:rFonts w:asciiTheme="minorHAnsi" w:hAnsiTheme="minorHAnsi" w:cstheme="minorHAnsi"/>
          <w:sz w:val="28"/>
          <w:szCs w:val="28"/>
        </w:rPr>
        <w:t>policy interventions could contribute towards a range of Government objectives, including:</w:t>
      </w:r>
    </w:p>
    <w:p w:rsidR="00922215" w:rsidRPr="00A74810" w:rsidP="00A74810">
      <w:pPr>
        <w:pStyle w:val="ListParagraph"/>
        <w:numPr>
          <w:ilvl w:val="1"/>
          <w:numId w:val="3"/>
        </w:numPr>
        <w:tabs>
          <w:tab w:val="left" w:pos="885"/>
        </w:tabs>
        <w:spacing w:before="2"/>
        <w:ind w:right="0"/>
        <w:jc w:val="left"/>
        <w:rPr>
          <w:rFonts w:asciiTheme="minorHAnsi" w:hAnsiTheme="minorHAnsi" w:cstheme="minorHAnsi"/>
          <w:sz w:val="28"/>
          <w:szCs w:val="28"/>
        </w:rPr>
      </w:pPr>
      <w:r w:rsidRPr="00A74810">
        <w:rPr>
          <w:rFonts w:asciiTheme="minorHAnsi" w:hAnsiTheme="minorHAnsi" w:cstheme="minorHAnsi"/>
          <w:sz w:val="28"/>
          <w:szCs w:val="28"/>
        </w:rPr>
        <w:t>Supporting</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economic</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growth</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4"/>
          <w:sz w:val="28"/>
          <w:szCs w:val="28"/>
        </w:rPr>
        <w:t xml:space="preserve"> </w:t>
      </w:r>
      <w:r w:rsidRPr="00A74810">
        <w:rPr>
          <w:rFonts w:asciiTheme="minorHAnsi" w:hAnsiTheme="minorHAnsi" w:cstheme="minorHAnsi"/>
          <w:spacing w:val="-2"/>
          <w:sz w:val="28"/>
          <w:szCs w:val="28"/>
        </w:rPr>
        <w:t>investment;</w:t>
      </w:r>
    </w:p>
    <w:p w:rsidR="00922215" w:rsidRPr="00A74810" w:rsidP="00A74810">
      <w:pPr>
        <w:pStyle w:val="ListParagraph"/>
        <w:numPr>
          <w:ilvl w:val="1"/>
          <w:numId w:val="3"/>
        </w:numPr>
        <w:tabs>
          <w:tab w:val="left" w:pos="885"/>
        </w:tabs>
        <w:spacing w:before="20"/>
        <w:ind w:right="167"/>
        <w:jc w:val="left"/>
        <w:rPr>
          <w:rFonts w:asciiTheme="minorHAnsi" w:hAnsiTheme="minorHAnsi" w:cstheme="minorHAnsi"/>
          <w:sz w:val="28"/>
          <w:szCs w:val="28"/>
        </w:rPr>
      </w:pPr>
      <w:r w:rsidRPr="00A74810">
        <w:rPr>
          <w:rFonts w:asciiTheme="minorHAnsi" w:hAnsiTheme="minorHAnsi" w:cstheme="minorHAnsi"/>
          <w:sz w:val="28"/>
          <w:szCs w:val="28"/>
        </w:rPr>
        <w:t>Strengthening</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UK’s</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manufacturing,</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retail</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supply</w:t>
      </w:r>
      <w:r w:rsidRPr="00A74810">
        <w:rPr>
          <w:rFonts w:asciiTheme="minorHAnsi" w:hAnsiTheme="minorHAnsi" w:cstheme="minorHAnsi"/>
          <w:spacing w:val="40"/>
          <w:sz w:val="28"/>
          <w:szCs w:val="28"/>
        </w:rPr>
        <w:t xml:space="preserve"> </w:t>
      </w:r>
      <w:r w:rsidRPr="00A74810">
        <w:rPr>
          <w:rFonts w:asciiTheme="minorHAnsi" w:hAnsiTheme="minorHAnsi" w:cstheme="minorHAnsi"/>
          <w:sz w:val="28"/>
          <w:szCs w:val="28"/>
        </w:rPr>
        <w:t xml:space="preserve">chain </w:t>
      </w:r>
      <w:r w:rsidRPr="00A74810">
        <w:rPr>
          <w:rFonts w:asciiTheme="minorHAnsi" w:hAnsiTheme="minorHAnsi" w:cstheme="minorHAnsi"/>
          <w:spacing w:val="-2"/>
          <w:sz w:val="28"/>
          <w:szCs w:val="28"/>
        </w:rPr>
        <w:t>sectors;</w:t>
      </w:r>
    </w:p>
    <w:p w:rsidR="00922215" w:rsidRPr="00A74810" w:rsidP="00A74810">
      <w:pPr>
        <w:pStyle w:val="ListParagraph"/>
        <w:numPr>
          <w:ilvl w:val="1"/>
          <w:numId w:val="3"/>
        </w:numPr>
        <w:tabs>
          <w:tab w:val="left" w:pos="885"/>
        </w:tabs>
        <w:spacing w:before="6"/>
        <w:ind w:right="0"/>
        <w:jc w:val="left"/>
        <w:rPr>
          <w:rFonts w:asciiTheme="minorHAnsi" w:hAnsiTheme="minorHAnsi" w:cstheme="minorHAnsi"/>
          <w:sz w:val="28"/>
          <w:szCs w:val="28"/>
        </w:rPr>
      </w:pPr>
      <w:r w:rsidRPr="00A74810">
        <w:rPr>
          <w:rFonts w:asciiTheme="minorHAnsi" w:hAnsiTheme="minorHAnsi" w:cstheme="minorHAnsi"/>
          <w:sz w:val="28"/>
          <w:szCs w:val="28"/>
        </w:rPr>
        <w:t>Improving</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urban</w:t>
      </w:r>
      <w:r w:rsidRPr="00A74810">
        <w:rPr>
          <w:rFonts w:asciiTheme="minorHAnsi" w:hAnsiTheme="minorHAnsi" w:cstheme="minorHAnsi"/>
          <w:spacing w:val="-6"/>
          <w:sz w:val="28"/>
          <w:szCs w:val="28"/>
        </w:rPr>
        <w:t xml:space="preserve"> </w:t>
      </w:r>
      <w:r w:rsidRPr="00A74810">
        <w:rPr>
          <w:rFonts w:asciiTheme="minorHAnsi" w:hAnsiTheme="minorHAnsi" w:cstheme="minorHAnsi"/>
          <w:spacing w:val="-2"/>
          <w:sz w:val="28"/>
          <w:szCs w:val="28"/>
        </w:rPr>
        <w:t>mobility;</w:t>
      </w:r>
    </w:p>
    <w:p w:rsidR="00922215" w:rsidRPr="00A74810" w:rsidP="00A74810">
      <w:pPr>
        <w:pStyle w:val="ListParagraph"/>
        <w:numPr>
          <w:ilvl w:val="1"/>
          <w:numId w:val="3"/>
        </w:numPr>
        <w:tabs>
          <w:tab w:val="left" w:pos="885"/>
        </w:tabs>
        <w:spacing w:before="20"/>
        <w:ind w:right="0"/>
        <w:jc w:val="left"/>
        <w:rPr>
          <w:rFonts w:asciiTheme="minorHAnsi" w:hAnsiTheme="minorHAnsi" w:cstheme="minorHAnsi"/>
          <w:sz w:val="28"/>
          <w:szCs w:val="28"/>
        </w:rPr>
      </w:pPr>
      <w:r w:rsidRPr="00A74810">
        <w:rPr>
          <w:rFonts w:asciiTheme="minorHAnsi" w:hAnsiTheme="minorHAnsi" w:cstheme="minorHAnsi"/>
          <w:sz w:val="28"/>
          <w:szCs w:val="28"/>
        </w:rPr>
        <w:t>Reducing</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congestion;</w:t>
      </w:r>
    </w:p>
    <w:p w:rsidR="00922215" w:rsidRPr="00A74810" w:rsidP="00A74810">
      <w:pPr>
        <w:pStyle w:val="ListParagraph"/>
        <w:numPr>
          <w:ilvl w:val="1"/>
          <w:numId w:val="3"/>
        </w:numPr>
        <w:tabs>
          <w:tab w:val="left" w:pos="885"/>
        </w:tabs>
        <w:spacing w:before="20"/>
        <w:ind w:right="0"/>
        <w:jc w:val="left"/>
        <w:rPr>
          <w:rFonts w:asciiTheme="minorHAnsi" w:hAnsiTheme="minorHAnsi" w:cstheme="minorHAnsi"/>
          <w:sz w:val="28"/>
          <w:szCs w:val="28"/>
        </w:rPr>
      </w:pPr>
      <w:r w:rsidRPr="00A74810">
        <w:rPr>
          <w:rFonts w:asciiTheme="minorHAnsi" w:hAnsiTheme="minorHAnsi" w:cstheme="minorHAnsi"/>
          <w:sz w:val="28"/>
          <w:szCs w:val="28"/>
        </w:rPr>
        <w:t>Increasing</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transport</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affordability;</w:t>
      </w:r>
    </w:p>
    <w:p w:rsidR="00A74810" w:rsidRPr="00A74810" w:rsidP="00A74810">
      <w:pPr>
        <w:pStyle w:val="ListParagraph"/>
        <w:numPr>
          <w:ilvl w:val="1"/>
          <w:numId w:val="3"/>
        </w:numPr>
        <w:tabs>
          <w:tab w:val="left" w:pos="885"/>
        </w:tabs>
        <w:spacing w:before="83"/>
        <w:ind w:right="0"/>
        <w:jc w:val="left"/>
        <w:rPr>
          <w:rFonts w:asciiTheme="minorHAnsi" w:hAnsiTheme="minorHAnsi" w:cstheme="minorHAnsi"/>
          <w:sz w:val="28"/>
          <w:szCs w:val="28"/>
        </w:rPr>
      </w:pPr>
      <w:r w:rsidRPr="00A74810">
        <w:rPr>
          <w:rFonts w:asciiTheme="minorHAnsi" w:hAnsiTheme="minorHAnsi" w:cstheme="minorHAnsi"/>
          <w:sz w:val="28"/>
          <w:szCs w:val="28"/>
        </w:rPr>
        <w:t>Supporting</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fleet</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decarbonisation</w:t>
      </w:r>
      <w:r w:rsidRPr="00A74810">
        <w:rPr>
          <w:rFonts w:asciiTheme="minorHAnsi" w:hAnsiTheme="minorHAnsi" w:cstheme="minorHAnsi"/>
          <w:spacing w:val="-2"/>
          <w:sz w:val="28"/>
          <w:szCs w:val="28"/>
        </w:rPr>
        <w:t>;</w:t>
      </w:r>
    </w:p>
    <w:p w:rsidR="00922215" w:rsidRPr="00A74810" w:rsidP="00A74810">
      <w:pPr>
        <w:pStyle w:val="ListParagraph"/>
        <w:numPr>
          <w:ilvl w:val="1"/>
          <w:numId w:val="3"/>
        </w:numPr>
        <w:tabs>
          <w:tab w:val="left" w:pos="885"/>
        </w:tabs>
        <w:spacing w:before="83"/>
        <w:ind w:right="0"/>
        <w:jc w:val="left"/>
        <w:rPr>
          <w:rFonts w:asciiTheme="minorHAnsi" w:hAnsiTheme="minorHAnsi" w:cstheme="minorHAnsi"/>
          <w:sz w:val="28"/>
          <w:szCs w:val="28"/>
        </w:rPr>
      </w:pPr>
      <w:r w:rsidRPr="00A74810">
        <w:rPr>
          <w:rFonts w:asciiTheme="minorHAnsi" w:hAnsiTheme="minorHAnsi" w:cstheme="minorHAnsi"/>
          <w:sz w:val="28"/>
          <w:szCs w:val="28"/>
        </w:rPr>
        <w:t>Encouraging</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modal</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shift</w:t>
      </w:r>
      <w:r w:rsidRPr="00A74810">
        <w:rPr>
          <w:rFonts w:asciiTheme="minorHAnsi" w:hAnsiTheme="minorHAnsi" w:cstheme="minorHAnsi"/>
          <w:spacing w:val="-4"/>
          <w:sz w:val="28"/>
          <w:szCs w:val="28"/>
        </w:rPr>
        <w:t xml:space="preserve"> </w:t>
      </w:r>
      <w:r w:rsidRPr="00A74810">
        <w:rPr>
          <w:rFonts w:asciiTheme="minorHAnsi" w:hAnsiTheme="minorHAnsi" w:cstheme="minorHAnsi"/>
          <w:sz w:val="28"/>
          <w:szCs w:val="28"/>
        </w:rPr>
        <w:t>where</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appropriate;</w:t>
      </w:r>
      <w:r w:rsidRPr="00A74810">
        <w:rPr>
          <w:rFonts w:asciiTheme="minorHAnsi" w:hAnsiTheme="minorHAnsi" w:cstheme="minorHAnsi"/>
          <w:spacing w:val="-3"/>
          <w:sz w:val="28"/>
          <w:szCs w:val="28"/>
        </w:rPr>
        <w:t xml:space="preserve"> </w:t>
      </w:r>
      <w:r w:rsidRPr="00A74810">
        <w:rPr>
          <w:rFonts w:asciiTheme="minorHAnsi" w:hAnsiTheme="minorHAnsi" w:cstheme="minorHAnsi"/>
          <w:spacing w:val="-5"/>
          <w:sz w:val="28"/>
          <w:szCs w:val="28"/>
        </w:rPr>
        <w:t>and</w:t>
      </w:r>
    </w:p>
    <w:p w:rsidR="00922215" w:rsidRPr="00A74810" w:rsidP="00A74810">
      <w:pPr>
        <w:pStyle w:val="ListParagraph"/>
        <w:numPr>
          <w:ilvl w:val="1"/>
          <w:numId w:val="3"/>
        </w:numPr>
        <w:tabs>
          <w:tab w:val="left" w:pos="885"/>
        </w:tabs>
        <w:spacing w:before="20"/>
        <w:ind w:right="0"/>
        <w:jc w:val="left"/>
        <w:rPr>
          <w:rFonts w:asciiTheme="minorHAnsi" w:hAnsiTheme="minorHAnsi" w:cstheme="minorHAnsi"/>
          <w:sz w:val="28"/>
          <w:szCs w:val="28"/>
        </w:rPr>
      </w:pPr>
      <w:r w:rsidRPr="00A74810">
        <w:rPr>
          <w:rFonts w:asciiTheme="minorHAnsi" w:hAnsiTheme="minorHAnsi" w:cstheme="minorHAnsi"/>
          <w:sz w:val="28"/>
          <w:szCs w:val="28"/>
        </w:rPr>
        <w:t>Improving</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access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legitimate</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zero</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emission</w:t>
      </w:r>
      <w:r w:rsidRPr="00A74810">
        <w:rPr>
          <w:rFonts w:asciiTheme="minorHAnsi" w:hAnsiTheme="minorHAnsi" w:cstheme="minorHAnsi"/>
          <w:spacing w:val="-5"/>
          <w:sz w:val="28"/>
          <w:szCs w:val="28"/>
        </w:rPr>
        <w:t xml:space="preserve"> </w:t>
      </w:r>
      <w:r w:rsidRPr="00A74810">
        <w:rPr>
          <w:rFonts w:asciiTheme="minorHAnsi" w:hAnsiTheme="minorHAnsi" w:cstheme="minorHAnsi"/>
          <w:spacing w:val="-2"/>
          <w:sz w:val="28"/>
          <w:szCs w:val="28"/>
        </w:rPr>
        <w:t>mobility.</w:t>
      </w:r>
    </w:p>
    <w:p w:rsidR="00922215" w:rsidRPr="00A74810" w:rsidP="00A74810">
      <w:pPr>
        <w:pStyle w:val="BodyText"/>
        <w:spacing w:before="41"/>
        <w:rPr>
          <w:rFonts w:asciiTheme="minorHAnsi" w:hAnsiTheme="minorHAnsi" w:cstheme="minorHAnsi"/>
          <w:sz w:val="28"/>
          <w:szCs w:val="28"/>
        </w:rPr>
      </w:pPr>
    </w:p>
    <w:p w:rsidR="00922215" w:rsidRPr="00A74810" w:rsidP="00A74810">
      <w:pPr>
        <w:pStyle w:val="ListParagraph"/>
        <w:numPr>
          <w:ilvl w:val="0"/>
          <w:numId w:val="3"/>
        </w:numPr>
        <w:tabs>
          <w:tab w:val="left" w:pos="525"/>
        </w:tabs>
        <w:spacing w:before="1"/>
        <w:jc w:val="both"/>
        <w:rPr>
          <w:rFonts w:asciiTheme="minorHAnsi" w:hAnsiTheme="minorHAnsi" w:cstheme="minorHAnsi"/>
          <w:sz w:val="28"/>
          <w:szCs w:val="28"/>
        </w:rPr>
      </w:pPr>
      <w:r w:rsidRPr="00A74810">
        <w:rPr>
          <w:rFonts w:asciiTheme="minorHAnsi" w:hAnsiTheme="minorHAnsi" w:cstheme="minorHAnsi"/>
          <w:sz w:val="28"/>
          <w:szCs w:val="28"/>
        </w:rPr>
        <w:t>MCIA believes this broader perspective is essential. Historically, discussions surrounding L-Category vehicles have tended to focus narrowly on transport emissions.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While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decarbonisation</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remains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important</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objective,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it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should not</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be the sole measure against which policy is assessed.</w:t>
      </w:r>
    </w:p>
    <w:p w:rsidR="00922215" w:rsidRPr="00A74810" w:rsidP="00A74810">
      <w:pPr>
        <w:pStyle w:val="BodyText"/>
        <w:spacing w:before="19"/>
        <w:rPr>
          <w:rFonts w:asciiTheme="minorHAnsi" w:hAnsiTheme="minorHAnsi" w:cstheme="minorHAnsi"/>
          <w:sz w:val="28"/>
          <w:szCs w:val="28"/>
        </w:rPr>
      </w:pPr>
    </w:p>
    <w:p w:rsidR="00922215" w:rsidRPr="00A74810" w:rsidP="00A74810">
      <w:pPr>
        <w:pStyle w:val="BodyText"/>
        <w:ind w:left="525" w:right="165" w:hanging="360"/>
        <w:jc w:val="both"/>
        <w:rPr>
          <w:rFonts w:asciiTheme="minorHAnsi" w:hAnsiTheme="minorHAnsi" w:cstheme="minorHAnsi"/>
          <w:sz w:val="28"/>
          <w:szCs w:val="28"/>
        </w:rPr>
      </w:pPr>
      <w:r w:rsidRPr="00A74810">
        <w:rPr>
          <w:rFonts w:asciiTheme="minorHAnsi" w:hAnsiTheme="minorHAnsi" w:cstheme="minorHAnsi"/>
          <w:sz w:val="28"/>
          <w:szCs w:val="28"/>
        </w:rPr>
        <w:t>32.</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vehicles occupy a unique position within the transport system. They consume fewer resources than larger vehicles, require less road space, offer affordable mobility solutions, support economic productivity and can reduce pressure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increasingly</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congested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urban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networks.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Future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should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therefore recognise the full range of economic, transport and societal benefits that these vehicles can deliver.</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2"/>
        </w:numPr>
        <w:tabs>
          <w:tab w:val="left" w:pos="525"/>
        </w:tabs>
        <w:ind w:right="153"/>
        <w:jc w:val="both"/>
        <w:rPr>
          <w:rFonts w:asciiTheme="minorHAnsi" w:hAnsiTheme="minorHAnsi" w:cstheme="minorHAnsi"/>
          <w:sz w:val="28"/>
          <w:szCs w:val="28"/>
        </w:rPr>
      </w:pPr>
      <w:r w:rsidRPr="00A74810">
        <w:rPr>
          <w:rFonts w:asciiTheme="minorHAnsi" w:hAnsiTheme="minorHAnsi" w:cstheme="minorHAnsi"/>
          <w:sz w:val="28"/>
          <w:szCs w:val="28"/>
        </w:rPr>
        <w:t>The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outputs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from</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this</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programme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work</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will</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be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shared</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with</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Government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later</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this year and are intended to support future decision-making across the Department for Transport, HM Treasury and the Department for Business and Trade. MCIA hopes the work will provide an evidence base for a genuinely vehicle-inclusive approach to the UK’s electric vehicle transition, one that reflects not only environmental ambition, but also economic growth, productivity, affordability and long-term market development.</w:t>
      </w:r>
    </w:p>
    <w:p w:rsidR="00922215" w:rsidRPr="00A74810" w:rsidP="00A74810">
      <w:pPr>
        <w:pStyle w:val="BodyText"/>
        <w:spacing w:before="65"/>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68480" behindDoc="1" locked="0" layoutInCell="1" allowOverlap="1">
                <wp:simplePos x="0" y="0"/>
                <wp:positionH relativeFrom="page">
                  <wp:posOffset>896416</wp:posOffset>
                </wp:positionH>
                <wp:positionV relativeFrom="paragraph">
                  <wp:posOffset>200876</wp:posOffset>
                </wp:positionV>
                <wp:extent cx="5769610" cy="635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30" style="height:0.48pt;margin-left:70.58pt;margin-top:15.82pt;mso-position-horizontal-relative:page;mso-wrap-distance-left:0;mso-wrap-distance-right:0;position:absolute;width:454.27pt;z-index:-251646976" fillcolor="black">
                <v:fill type="solid"/>
                <w10:wrap type="topAndBottom"/>
              </v:rect>
            </w:pict>
          </mc:Fallback>
        </mc:AlternateContent>
      </w:r>
      <w:r w:rsidRPr="00A74810">
        <w:rPr>
          <w:rFonts w:asciiTheme="minorHAnsi" w:hAnsiTheme="minorHAnsi" w:cstheme="minorHAnsi"/>
          <w:sz w:val="28"/>
          <w:szCs w:val="28"/>
        </w:rPr>
        <w:t>Why</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Vehicle-Inclusive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EV</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Transition</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Matters</w:t>
      </w:r>
    </w:p>
    <w:p w:rsidR="00922215" w:rsidRPr="00A74810" w:rsidP="00A74810">
      <w:pPr>
        <w:pStyle w:val="ListParagraph"/>
        <w:numPr>
          <w:ilvl w:val="0"/>
          <w:numId w:val="2"/>
        </w:numPr>
        <w:tabs>
          <w:tab w:val="left" w:pos="525"/>
        </w:tabs>
        <w:spacing w:before="161"/>
        <w:jc w:val="both"/>
        <w:rPr>
          <w:rFonts w:asciiTheme="minorHAnsi" w:hAnsiTheme="minorHAnsi" w:cstheme="minorHAnsi"/>
          <w:sz w:val="28"/>
          <w:szCs w:val="28"/>
        </w:rPr>
      </w:pPr>
      <w:r w:rsidRPr="00A74810">
        <w:rPr>
          <w:rFonts w:asciiTheme="minorHAnsi" w:hAnsiTheme="minorHAnsi" w:cstheme="minorHAnsi"/>
          <w:sz w:val="28"/>
          <w:szCs w:val="28"/>
        </w:rPr>
        <w:t>MCIA believes that one of the principal challenges facing the current electric vehicle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transition</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become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overwhelmingly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centred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on</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passenger cars.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While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cars</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will</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naturally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remain</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central</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achieving</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UK’s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decarbonisation objectives,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should</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not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represent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sole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focus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Government</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Different vehicle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categories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fulfil</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different</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transport</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needs,</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successful</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transition</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net</w:t>
      </w:r>
      <w:r w:rsidRPr="00A74810">
        <w:rPr>
          <w:rFonts w:asciiTheme="minorHAnsi" w:hAnsiTheme="minorHAnsi" w:cstheme="minorHAnsi"/>
          <w:sz w:val="28"/>
          <w:szCs w:val="28"/>
        </w:rPr>
        <w:t xml:space="preserve"> zero requires a transport system that offers consumers a range of affordable and practical zero emission options.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BodyText"/>
        <w:ind w:left="525" w:right="162" w:hanging="360"/>
        <w:jc w:val="both"/>
        <w:rPr>
          <w:rFonts w:asciiTheme="minorHAnsi" w:hAnsiTheme="minorHAnsi" w:cstheme="minorHAnsi"/>
          <w:sz w:val="28"/>
          <w:szCs w:val="28"/>
        </w:rPr>
      </w:pPr>
      <w:r w:rsidRPr="00A74810">
        <w:rPr>
          <w:rFonts w:asciiTheme="minorHAnsi" w:hAnsiTheme="minorHAnsi" w:cstheme="minorHAnsi"/>
          <w:sz w:val="28"/>
          <w:szCs w:val="28"/>
        </w:rPr>
        <w:t>35.</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occupy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distinctive position within that</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system.</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They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provide lower-cost access to zero emission mobility, require substantially fewer raw materials during manufacture, consume significantly less energy throughout their lifetime, occupy less road space, and can help reduce congestion within increasingly constrained urban environments.</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7"/>
        <w:jc w:val="both"/>
        <w:rPr>
          <w:rFonts w:asciiTheme="minorHAnsi" w:hAnsiTheme="minorHAnsi" w:cstheme="minorHAnsi"/>
          <w:sz w:val="28"/>
          <w:szCs w:val="28"/>
        </w:rPr>
        <w:sectPr w:rsidSect="00A74810">
          <w:pgSz w:w="11910" w:h="16840"/>
          <w:pgMar w:top="1440" w:right="1440" w:bottom="1440" w:left="1440" w:header="0" w:footer="1000" w:gutter="0"/>
          <w:cols w:space="720"/>
          <w:docGrid w:linePitch="299"/>
        </w:sectPr>
      </w:pPr>
      <w:r w:rsidRPr="00A74810">
        <w:rPr>
          <w:rFonts w:asciiTheme="minorHAnsi" w:hAnsiTheme="minorHAnsi" w:cstheme="minorHAnsi"/>
          <w:sz w:val="28"/>
          <w:szCs w:val="28"/>
        </w:rPr>
        <w:t>They also provide an important mobility option for groups whose transport needs are not always well served by larger vehicles or public transport, including commuters, small businesses, delivery operators and those requiring affordable personal transport. The current policy landscape, however, does not adequately reflect these wider benefits.</w:t>
      </w:r>
    </w:p>
    <w:p w:rsidR="00922215" w:rsidRPr="00A74810" w:rsidP="00A74810">
      <w:pPr>
        <w:pStyle w:val="ListParagraph"/>
        <w:numPr>
          <w:ilvl w:val="0"/>
          <w:numId w:val="1"/>
        </w:numPr>
        <w:tabs>
          <w:tab w:val="left" w:pos="525"/>
        </w:tabs>
        <w:spacing w:before="82"/>
        <w:ind w:right="160"/>
        <w:jc w:val="both"/>
        <w:rPr>
          <w:rFonts w:asciiTheme="minorHAnsi" w:hAnsiTheme="minorHAnsi" w:cstheme="minorHAnsi"/>
          <w:sz w:val="28"/>
          <w:szCs w:val="28"/>
        </w:rPr>
      </w:pPr>
      <w:r w:rsidRPr="00A74810">
        <w:rPr>
          <w:rFonts w:asciiTheme="minorHAnsi" w:hAnsiTheme="minorHAnsi" w:cstheme="minorHAnsi"/>
          <w:sz w:val="28"/>
          <w:szCs w:val="28"/>
        </w:rPr>
        <w:t>The absence of a coherent framework supporting zero emission L-Category vehicles risks creating unintended distortions within the wider transport market. While Government has invested considerable effort in accelerating the transition towards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zero</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emission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cars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vans,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comparatively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little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attention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has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been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given to ensuring that smaller vehicle classes can make a proportionate contribution towards the same objectives.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8"/>
        <w:jc w:val="both"/>
        <w:rPr>
          <w:rFonts w:asciiTheme="minorHAnsi" w:hAnsiTheme="minorHAnsi" w:cstheme="minorHAnsi"/>
          <w:sz w:val="28"/>
          <w:szCs w:val="28"/>
        </w:rPr>
      </w:pPr>
      <w:r w:rsidRPr="00A74810">
        <w:rPr>
          <w:rFonts w:asciiTheme="minorHAnsi" w:hAnsiTheme="minorHAnsi" w:cstheme="minorHAnsi"/>
          <w:sz w:val="28"/>
          <w:szCs w:val="28"/>
        </w:rPr>
        <w:t>This becomes increasingly significant when considered alongside wider transport challenges. For example, MCIA has become increasingly concerned about the relationship between affordability, legitimate vehicle access and the growing prevalence of illegal high-powered e-bikes.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5"/>
        <w:jc w:val="both"/>
        <w:rPr>
          <w:rFonts w:asciiTheme="minorHAnsi" w:hAnsiTheme="minorHAnsi" w:cstheme="minorHAnsi"/>
          <w:sz w:val="28"/>
          <w:szCs w:val="28"/>
        </w:rPr>
      </w:pPr>
      <w:r w:rsidRPr="00A74810">
        <w:rPr>
          <w:rFonts w:asciiTheme="minorHAnsi" w:hAnsiTheme="minorHAnsi" w:cstheme="minorHAnsi"/>
          <w:sz w:val="28"/>
          <w:szCs w:val="28"/>
        </w:rPr>
        <w:t>Through</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MCIA’s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engagement</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with</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police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forces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across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UK,</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consistent</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theme has</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emerged: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enforcement</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is</w:t>
      </w:r>
      <w:r w:rsidRPr="00A74810">
        <w:rPr>
          <w:rFonts w:asciiTheme="minorHAnsi" w:hAnsiTheme="minorHAnsi" w:cstheme="minorHAnsi"/>
          <w:spacing w:val="-6"/>
          <w:sz w:val="28"/>
          <w:szCs w:val="28"/>
        </w:rPr>
        <w:t xml:space="preserve"> </w:t>
      </w:r>
      <w:r w:rsidRPr="00A74810">
        <w:rPr>
          <w:rFonts w:asciiTheme="minorHAnsi" w:hAnsiTheme="minorHAnsi" w:cstheme="minorHAnsi"/>
          <w:sz w:val="28"/>
          <w:szCs w:val="28"/>
        </w:rPr>
        <w:t>essential,</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but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enforcement</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alone</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cannot</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resolve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the issue. Many individuals using illegal vehicles are seeking affordable, practical mobility solutions. Where legitimate zero emission mopeds and motorcycles remain financially inaccessible, or where barriers to accessing compliant vehicles remain unnecessarily high, there is a risk that some users will instead gravitate towards unregulated alternatives operating outside the existing legal framework.</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2"/>
        <w:jc w:val="both"/>
        <w:rPr>
          <w:rFonts w:asciiTheme="minorHAnsi" w:hAnsiTheme="minorHAnsi" w:cstheme="minorHAnsi"/>
          <w:sz w:val="28"/>
          <w:szCs w:val="28"/>
        </w:rPr>
      </w:pPr>
      <w:r w:rsidRPr="00A74810">
        <w:rPr>
          <w:rFonts w:asciiTheme="minorHAnsi" w:hAnsiTheme="minorHAnsi" w:cstheme="minorHAnsi"/>
          <w:sz w:val="28"/>
          <w:szCs w:val="28"/>
        </w:rPr>
        <w:t>Equally, the Government’s ongoing review of motorcycle and moped licensing presents</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opportunity</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improve</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access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legitimate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while</w:t>
      </w:r>
      <w:r w:rsidRPr="00A74810">
        <w:rPr>
          <w:rFonts w:asciiTheme="minorHAnsi" w:hAnsiTheme="minorHAnsi" w:cstheme="minorHAnsi"/>
          <w:spacing w:val="-7"/>
          <w:sz w:val="28"/>
          <w:szCs w:val="28"/>
        </w:rPr>
        <w:t xml:space="preserve"> </w:t>
      </w:r>
      <w:r w:rsidRPr="00A74810">
        <w:rPr>
          <w:rFonts w:asciiTheme="minorHAnsi" w:hAnsiTheme="minorHAnsi" w:cstheme="minorHAnsi"/>
          <w:sz w:val="28"/>
          <w:szCs w:val="28"/>
        </w:rPr>
        <w:t>maintaining and</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enhancing rider</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safety. From</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MCIA’s</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perspective,</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these issues should</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not be considered independently.</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48"/>
        <w:jc w:val="both"/>
        <w:rPr>
          <w:rFonts w:asciiTheme="minorHAnsi" w:hAnsiTheme="minorHAnsi" w:cstheme="minorHAnsi"/>
          <w:sz w:val="28"/>
          <w:szCs w:val="28"/>
        </w:rPr>
      </w:pPr>
      <w:r w:rsidRPr="00A74810">
        <w:rPr>
          <w:rFonts w:asciiTheme="minorHAnsi" w:hAnsiTheme="minorHAnsi" w:cstheme="minorHAnsi"/>
          <w:sz w:val="28"/>
          <w:szCs w:val="28"/>
        </w:rPr>
        <w:t>Future fiscal policy, licensing reform and action to tackle illegal e-bikes are increasingly interconnected components of the same wider policy challenge: ensuring that legitimate zero emission L-Category vehicles are accessible, attractive and capable of meeting future transport needs. This is why MCIA believes future Government policy should move beyond individual interventions and instead adopt a genuinely joined-up approach across departments.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2"/>
        <w:jc w:val="both"/>
        <w:rPr>
          <w:rFonts w:asciiTheme="minorHAnsi" w:hAnsiTheme="minorHAnsi" w:cstheme="minorHAnsi"/>
          <w:sz w:val="28"/>
          <w:szCs w:val="28"/>
        </w:rPr>
      </w:pPr>
      <w:r w:rsidRPr="00A74810">
        <w:rPr>
          <w:rFonts w:asciiTheme="minorHAnsi" w:hAnsiTheme="minorHAnsi" w:cstheme="minorHAnsi"/>
          <w:sz w:val="28"/>
          <w:szCs w:val="28"/>
        </w:rPr>
        <w:t>Transport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decarbonisation,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industrial</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strategy,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fiscal</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urban</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mobility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road safety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all</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intersect</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within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L-Category</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sector.</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Decisions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taken</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one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 xml:space="preserve">area inevitably influence outcomes in another. A more integrated approach would therefore not only support progress towards net zero, but also contribute to wider priorities including economic </w:t>
      </w:r>
      <w:r w:rsidRPr="00A74810">
        <w:rPr>
          <w:rFonts w:asciiTheme="minorHAnsi" w:hAnsiTheme="minorHAnsi" w:cstheme="minorHAnsi"/>
          <w:sz w:val="28"/>
          <w:szCs w:val="28"/>
        </w:rPr>
        <w:t>growth, productivity, congestion reduction, safer roads and improved access to affordable mobility.</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5"/>
        <w:jc w:val="both"/>
        <w:rPr>
          <w:rFonts w:asciiTheme="minorHAnsi" w:hAnsiTheme="minorHAnsi" w:cstheme="minorHAnsi"/>
          <w:sz w:val="28"/>
          <w:szCs w:val="28"/>
        </w:rPr>
      </w:pPr>
      <w:r w:rsidRPr="00A74810">
        <w:rPr>
          <w:rFonts w:asciiTheme="minorHAnsi" w:hAnsiTheme="minorHAnsi" w:cstheme="minorHAnsi"/>
          <w:sz w:val="28"/>
          <w:szCs w:val="28"/>
        </w:rPr>
        <w:t>In MCIA’s view, this represents the greatest opportunity arising from the current programme of work. It is an opportunity not simply to replace one grant scheme, but to establish a coherent, long-term policy framework that properly reflects the role L-Category vehicles can play within the UK’s future transport system.</w:t>
      </w:r>
    </w:p>
    <w:p w:rsidR="00922215" w:rsidRPr="00A74810" w:rsidP="00A74810">
      <w:pPr>
        <w:pStyle w:val="BodyText"/>
        <w:spacing w:before="63"/>
        <w:rPr>
          <w:rFonts w:asciiTheme="minorHAnsi" w:hAnsiTheme="minorHAnsi" w:cstheme="minorHAnsi"/>
          <w:sz w:val="28"/>
          <w:szCs w:val="28"/>
        </w:rPr>
      </w:pPr>
    </w:p>
    <w:p w:rsidR="00922215" w:rsidRPr="00A74810" w:rsidP="00A74810">
      <w:pPr>
        <w:pStyle w:val="Heading21"/>
        <w:rPr>
          <w:rFonts w:asciiTheme="minorHAnsi" w:hAnsiTheme="minorHAnsi" w:cstheme="minorHAnsi"/>
          <w:sz w:val="28"/>
          <w:szCs w:val="28"/>
        </w:rPr>
      </w:pPr>
      <w:r w:rsidRPr="00A74810">
        <w:rPr>
          <w:rFonts w:asciiTheme="minorHAnsi" w:hAnsiTheme="minorHAnsi" w:cstheme="minorHAnsi"/>
          <w:noProof/>
          <w:sz w:val="28"/>
          <w:szCs w:val="28"/>
        </w:rPr>
        <mc:AlternateContent>
          <mc:Choice Requires="wps">
            <w:drawing>
              <wp:anchor distT="0" distB="0" distL="0" distR="0" simplePos="0" relativeHeight="251670528" behindDoc="1" locked="0" layoutInCell="1" allowOverlap="1">
                <wp:simplePos x="0" y="0"/>
                <wp:positionH relativeFrom="page">
                  <wp:posOffset>896416</wp:posOffset>
                </wp:positionH>
                <wp:positionV relativeFrom="paragraph">
                  <wp:posOffset>193093</wp:posOffset>
                </wp:positionV>
                <wp:extent cx="5769610" cy="635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id="_x0000_s1031" style="height:0.48pt;margin-left:70.58pt;margin-top:15.2pt;mso-position-horizontal-relative:page;mso-wrap-distance-left:0;mso-wrap-distance-right:0;position:absolute;width:454.27pt;z-index:-251644928" fillcolor="black">
                <v:fill type="solid"/>
                <w10:wrap type="topAndBottom"/>
              </v:rect>
            </w:pict>
          </mc:Fallback>
        </mc:AlternateContent>
      </w:r>
      <w:r w:rsidRPr="00A74810">
        <w:rPr>
          <w:rFonts w:asciiTheme="minorHAnsi" w:hAnsiTheme="minorHAnsi" w:cstheme="minorHAnsi"/>
          <w:spacing w:val="-2"/>
          <w:sz w:val="28"/>
          <w:szCs w:val="28"/>
        </w:rPr>
        <w:t>Conclusion</w:t>
      </w:r>
    </w:p>
    <w:p w:rsidR="00922215" w:rsidRPr="00A74810" w:rsidP="00A74810">
      <w:pPr>
        <w:pStyle w:val="ListParagraph"/>
        <w:numPr>
          <w:ilvl w:val="0"/>
          <w:numId w:val="1"/>
        </w:numPr>
        <w:tabs>
          <w:tab w:val="left" w:pos="525"/>
        </w:tabs>
        <w:spacing w:before="82"/>
        <w:jc w:val="both"/>
        <w:rPr>
          <w:rFonts w:asciiTheme="minorHAnsi" w:hAnsiTheme="minorHAnsi" w:cstheme="minorHAnsi"/>
          <w:sz w:val="28"/>
          <w:szCs w:val="28"/>
        </w:rPr>
      </w:pPr>
      <w:r w:rsidRPr="00A74810">
        <w:rPr>
          <w:rFonts w:asciiTheme="minorHAnsi" w:hAnsiTheme="minorHAnsi" w:cstheme="minorHAnsi"/>
          <w:sz w:val="28"/>
          <w:szCs w:val="28"/>
        </w:rPr>
        <w:t>Since</w:t>
      </w:r>
      <w:r w:rsidRPr="00A74810">
        <w:rPr>
          <w:rFonts w:asciiTheme="minorHAnsi" w:hAnsiTheme="minorHAnsi" w:cstheme="minorHAnsi"/>
          <w:spacing w:val="-2"/>
          <w:sz w:val="28"/>
          <w:szCs w:val="28"/>
        </w:rPr>
        <w:t xml:space="preserve"> </w:t>
      </w:r>
      <w:r w:rsidRPr="00A74810">
        <w:rPr>
          <w:rFonts w:asciiTheme="minorHAnsi" w:hAnsiTheme="minorHAnsi" w:cstheme="minorHAnsi"/>
          <w:sz w:val="28"/>
          <w:szCs w:val="28"/>
        </w:rPr>
        <w:t>MCIA</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submitted</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its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original</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evidence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5"/>
          <w:sz w:val="28"/>
          <w:szCs w:val="28"/>
        </w:rPr>
        <w:t xml:space="preserve"> </w:t>
      </w:r>
      <w:r w:rsidRPr="00A74810">
        <w:rPr>
          <w:rFonts w:asciiTheme="minorHAnsi" w:hAnsiTheme="minorHAnsi" w:cstheme="minorHAnsi"/>
          <w:sz w:val="28"/>
          <w:szCs w:val="28"/>
        </w:rPr>
        <w:t>this</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inquiry,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policy</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landscape</w:t>
      </w:r>
      <w:r w:rsidRPr="00A74810">
        <w:rPr>
          <w:rFonts w:asciiTheme="minorHAnsi" w:hAnsiTheme="minorHAnsi" w:cstheme="minorHAnsi"/>
          <w:spacing w:val="-3"/>
          <w:sz w:val="28"/>
          <w:szCs w:val="28"/>
        </w:rPr>
        <w:t xml:space="preserve"> </w:t>
      </w:r>
      <w:r w:rsidRPr="00A74810">
        <w:rPr>
          <w:rFonts w:asciiTheme="minorHAnsi" w:hAnsiTheme="minorHAnsi" w:cstheme="minorHAnsi"/>
          <w:sz w:val="28"/>
          <w:szCs w:val="28"/>
        </w:rPr>
        <w:t>for zero emission L-Category vehicles has changed significantly. The expiry of the PiMG has highlighted that, while Government has developed an increasingly comprehensive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framework</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support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transition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of</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cars</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vans,</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there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 xml:space="preserve">remains no equivalent long-term strategy for smaller, lighter and more affordable vehicle </w:t>
      </w:r>
      <w:r w:rsidRPr="00A74810">
        <w:rPr>
          <w:rFonts w:asciiTheme="minorHAnsi" w:hAnsiTheme="minorHAnsi" w:cstheme="minorHAnsi"/>
          <w:spacing w:val="-2"/>
          <w:sz w:val="28"/>
          <w:szCs w:val="28"/>
        </w:rPr>
        <w:t>classes.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jc w:val="both"/>
        <w:rPr>
          <w:rFonts w:asciiTheme="minorHAnsi" w:hAnsiTheme="minorHAnsi" w:cstheme="minorHAnsi"/>
          <w:sz w:val="28"/>
          <w:szCs w:val="28"/>
        </w:rPr>
      </w:pPr>
      <w:r w:rsidRPr="00A74810">
        <w:rPr>
          <w:rFonts w:asciiTheme="minorHAnsi" w:hAnsiTheme="minorHAnsi" w:cstheme="minorHAnsi"/>
          <w:sz w:val="28"/>
          <w:szCs w:val="28"/>
        </w:rPr>
        <w:t>Independent economic analysis demonstrates that the withdrawal of the PiMG is likely to suppress uptake of zero emission L-Category vehicles, weaken investor confidence and reduce growth in an emerging market. More fundamentally, however, it has exposed the absence of a coherent policy framework capable of supporting the long-term development of the sector.</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6"/>
        <w:jc w:val="both"/>
        <w:rPr>
          <w:rFonts w:asciiTheme="minorHAnsi" w:hAnsiTheme="minorHAnsi" w:cstheme="minorHAnsi"/>
          <w:sz w:val="28"/>
          <w:szCs w:val="28"/>
        </w:rPr>
      </w:pPr>
      <w:r w:rsidRPr="00A74810">
        <w:rPr>
          <w:rFonts w:asciiTheme="minorHAnsi" w:hAnsiTheme="minorHAnsi" w:cstheme="minorHAnsi"/>
          <w:spacing w:val="-2"/>
          <w:sz w:val="28"/>
          <w:szCs w:val="28"/>
        </w:rPr>
        <w:t>MCIA</w:t>
      </w:r>
      <w:r w:rsidRPr="00A74810">
        <w:rPr>
          <w:rFonts w:asciiTheme="minorHAnsi" w:hAnsiTheme="minorHAnsi" w:cstheme="minorHAnsi"/>
          <w:spacing w:val="-15"/>
          <w:sz w:val="28"/>
          <w:szCs w:val="28"/>
        </w:rPr>
        <w:t xml:space="preserve"> </w:t>
      </w:r>
      <w:r w:rsidRPr="00A74810">
        <w:rPr>
          <w:rFonts w:asciiTheme="minorHAnsi" w:hAnsiTheme="minorHAnsi" w:cstheme="minorHAnsi"/>
          <w:spacing w:val="-2"/>
          <w:sz w:val="28"/>
          <w:szCs w:val="28"/>
        </w:rPr>
        <w:t>believes</w:t>
      </w:r>
      <w:r w:rsidRPr="00A74810">
        <w:rPr>
          <w:rFonts w:asciiTheme="minorHAnsi" w:hAnsiTheme="minorHAnsi" w:cstheme="minorHAnsi"/>
          <w:spacing w:val="-15"/>
          <w:sz w:val="28"/>
          <w:szCs w:val="28"/>
        </w:rPr>
        <w:t xml:space="preserve"> </w:t>
      </w:r>
      <w:r w:rsidRPr="00A74810">
        <w:rPr>
          <w:rFonts w:asciiTheme="minorHAnsi" w:hAnsiTheme="minorHAnsi" w:cstheme="minorHAnsi"/>
          <w:spacing w:val="-2"/>
          <w:sz w:val="28"/>
          <w:szCs w:val="28"/>
        </w:rPr>
        <w:t>the</w:t>
      </w:r>
      <w:r w:rsidRPr="00A74810">
        <w:rPr>
          <w:rFonts w:asciiTheme="minorHAnsi" w:hAnsiTheme="minorHAnsi" w:cstheme="minorHAnsi"/>
          <w:spacing w:val="-13"/>
          <w:sz w:val="28"/>
          <w:szCs w:val="28"/>
        </w:rPr>
        <w:t xml:space="preserve"> </w:t>
      </w:r>
      <w:r w:rsidRPr="00A74810">
        <w:rPr>
          <w:rFonts w:asciiTheme="minorHAnsi" w:hAnsiTheme="minorHAnsi" w:cstheme="minorHAnsi"/>
          <w:spacing w:val="-2"/>
          <w:sz w:val="28"/>
          <w:szCs w:val="28"/>
        </w:rPr>
        <w:t>debate</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should</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now</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move</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beyond</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whether</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a</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single</w:t>
      </w:r>
      <w:r w:rsidRPr="00A74810">
        <w:rPr>
          <w:rFonts w:asciiTheme="minorHAnsi" w:hAnsiTheme="minorHAnsi" w:cstheme="minorHAnsi"/>
          <w:spacing w:val="-10"/>
          <w:sz w:val="28"/>
          <w:szCs w:val="28"/>
        </w:rPr>
        <w:t xml:space="preserve"> </w:t>
      </w:r>
      <w:r w:rsidRPr="00A74810">
        <w:rPr>
          <w:rFonts w:asciiTheme="minorHAnsi" w:hAnsiTheme="minorHAnsi" w:cstheme="minorHAnsi"/>
          <w:spacing w:val="-2"/>
          <w:sz w:val="28"/>
          <w:szCs w:val="28"/>
        </w:rPr>
        <w:t>grant</w:t>
      </w:r>
      <w:r w:rsidRPr="00A74810">
        <w:rPr>
          <w:rFonts w:asciiTheme="minorHAnsi" w:hAnsiTheme="minorHAnsi" w:cstheme="minorHAnsi"/>
          <w:spacing w:val="-8"/>
          <w:sz w:val="28"/>
          <w:szCs w:val="28"/>
        </w:rPr>
        <w:t xml:space="preserve"> </w:t>
      </w:r>
      <w:r w:rsidRPr="00A74810">
        <w:rPr>
          <w:rFonts w:asciiTheme="minorHAnsi" w:hAnsiTheme="minorHAnsi" w:cstheme="minorHAnsi"/>
          <w:spacing w:val="-2"/>
          <w:sz w:val="28"/>
          <w:szCs w:val="28"/>
        </w:rPr>
        <w:t xml:space="preserve">scheme </w:t>
      </w:r>
      <w:r w:rsidRPr="00A74810">
        <w:rPr>
          <w:rFonts w:asciiTheme="minorHAnsi" w:hAnsiTheme="minorHAnsi" w:cstheme="minorHAnsi"/>
          <w:sz w:val="28"/>
          <w:szCs w:val="28"/>
        </w:rPr>
        <w:t xml:space="preserve">should be reinstated. The more important question is how Government can develop a comprehensive, evidence-led framework that encourages uptake of legitimate zero emission L-Category vehicles while delivering wider public policy </w:t>
      </w:r>
      <w:r w:rsidRPr="00A74810">
        <w:rPr>
          <w:rFonts w:asciiTheme="minorHAnsi" w:hAnsiTheme="minorHAnsi" w:cstheme="minorHAnsi"/>
          <w:spacing w:val="-2"/>
          <w:sz w:val="28"/>
          <w:szCs w:val="28"/>
        </w:rPr>
        <w:t>objectives.</w:t>
      </w:r>
    </w:p>
    <w:p w:rsidR="00922215" w:rsidRPr="00A74810" w:rsidP="00A74810">
      <w:pPr>
        <w:pStyle w:val="BodyText"/>
        <w:spacing w:before="22"/>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4"/>
        <w:jc w:val="both"/>
        <w:rPr>
          <w:rFonts w:asciiTheme="minorHAnsi" w:hAnsiTheme="minorHAnsi" w:cstheme="minorHAnsi"/>
          <w:sz w:val="28"/>
          <w:szCs w:val="28"/>
        </w:rPr>
      </w:pPr>
      <w:r w:rsidRPr="00A74810">
        <w:rPr>
          <w:rFonts w:asciiTheme="minorHAnsi" w:hAnsiTheme="minorHAnsi" w:cstheme="minorHAnsi"/>
          <w:sz w:val="28"/>
          <w:szCs w:val="28"/>
        </w:rPr>
        <w:t>The work currently being undertaken by MCIA</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and WPI Economics is intended to contribute</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positively</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discussion.</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Rather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than</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advocating</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for</w:t>
      </w:r>
      <w:r w:rsidRPr="00A74810">
        <w:rPr>
          <w:rFonts w:asciiTheme="minorHAnsi" w:hAnsiTheme="minorHAnsi" w:cstheme="minorHAnsi"/>
          <w:spacing w:val="-17"/>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predetermined solution, it seeks to identify those fiscal and policy interventions that deliver the greatest overall benefit in terms of market development, economic growth, transport</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decarbonisation,</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affordability,</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congestion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reduction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value</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for</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money.</w:t>
      </w:r>
    </w:p>
    <w:p w:rsidR="00922215" w:rsidRPr="00A74810" w:rsidP="00A74810">
      <w:pPr>
        <w:pStyle w:val="BodyText"/>
        <w:spacing w:before="20"/>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2"/>
        <w:jc w:val="both"/>
        <w:rPr>
          <w:rFonts w:asciiTheme="minorHAnsi" w:hAnsiTheme="minorHAnsi" w:cstheme="minorHAnsi"/>
          <w:sz w:val="28"/>
          <w:szCs w:val="28"/>
        </w:rPr>
      </w:pPr>
      <w:r w:rsidRPr="00A74810">
        <w:rPr>
          <w:rFonts w:asciiTheme="minorHAnsi" w:hAnsiTheme="minorHAnsi" w:cstheme="minorHAnsi"/>
          <w:sz w:val="28"/>
          <w:szCs w:val="28"/>
        </w:rPr>
        <w:t>The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Committee’s</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inquiry</w:t>
      </w:r>
      <w:r w:rsidRPr="00A74810">
        <w:rPr>
          <w:rFonts w:asciiTheme="minorHAnsi" w:hAnsiTheme="minorHAnsi" w:cstheme="minorHAnsi"/>
          <w:spacing w:val="-9"/>
          <w:sz w:val="28"/>
          <w:szCs w:val="28"/>
        </w:rPr>
        <w:t xml:space="preserve"> </w:t>
      </w:r>
      <w:r w:rsidRPr="00A74810">
        <w:rPr>
          <w:rFonts w:asciiTheme="minorHAnsi" w:hAnsiTheme="minorHAnsi" w:cstheme="minorHAnsi"/>
          <w:sz w:val="28"/>
          <w:szCs w:val="28"/>
        </w:rPr>
        <w:t>presents</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important</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opportunity</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ensure</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the</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 xml:space="preserve">UK’s electric vehicle transition becomes genuinely </w:t>
      </w:r>
      <w:r w:rsidRPr="00A74810">
        <w:rPr>
          <w:rFonts w:asciiTheme="minorHAnsi" w:hAnsiTheme="minorHAnsi" w:cstheme="minorHAnsi"/>
          <w:sz w:val="28"/>
          <w:szCs w:val="28"/>
        </w:rPr>
        <w:t>vehicle-inclusive</w:t>
      </w:r>
      <w:r w:rsidRPr="00A74810">
        <w:rPr>
          <w:rFonts w:asciiTheme="minorHAnsi" w:hAnsiTheme="minorHAnsi" w:cstheme="minorHAnsi"/>
          <w:sz w:val="28"/>
          <w:szCs w:val="28"/>
        </w:rPr>
        <w:t xml:space="preserve">. </w:t>
      </w:r>
      <w:r w:rsidRPr="00A74810">
        <w:rPr>
          <w:rFonts w:asciiTheme="minorHAnsi" w:hAnsiTheme="minorHAnsi" w:cstheme="minorHAnsi"/>
          <w:sz w:val="28"/>
          <w:szCs w:val="28"/>
        </w:rPr>
        <w:t>While passenger cars will inevitably remain central to the transition, they should not represent the sole focus of Government policy. A successful transition requires a transport system that provides consumers, businesses and public services with a range of affordable, practical and efficient zero emission mobility options.</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5"/>
        <w:jc w:val="both"/>
        <w:rPr>
          <w:rFonts w:asciiTheme="minorHAnsi" w:hAnsiTheme="minorHAnsi" w:cstheme="minorHAnsi"/>
          <w:sz w:val="28"/>
          <w:szCs w:val="28"/>
        </w:rPr>
      </w:pPr>
      <w:r w:rsidRPr="00A74810">
        <w:rPr>
          <w:rFonts w:asciiTheme="minorHAnsi" w:hAnsiTheme="minorHAnsi" w:cstheme="minorHAnsi"/>
          <w:sz w:val="28"/>
          <w:szCs w:val="28"/>
        </w:rPr>
        <w:t>MCIA</w:t>
      </w:r>
      <w:r w:rsidRPr="00A74810">
        <w:rPr>
          <w:rFonts w:asciiTheme="minorHAnsi" w:hAnsiTheme="minorHAnsi" w:cstheme="minorHAnsi"/>
          <w:spacing w:val="-1"/>
          <w:sz w:val="28"/>
          <w:szCs w:val="28"/>
        </w:rPr>
        <w:t xml:space="preserve"> </w:t>
      </w:r>
      <w:r w:rsidRPr="00A74810">
        <w:rPr>
          <w:rFonts w:asciiTheme="minorHAnsi" w:hAnsiTheme="minorHAnsi" w:cstheme="minorHAnsi"/>
          <w:sz w:val="28"/>
          <w:szCs w:val="28"/>
        </w:rPr>
        <w:t>remains committed to working constructively with Government, Parliament and stakeholders to ensure that L-Category vehicles play their full role within the UK’s future transport system.</w:t>
      </w:r>
    </w:p>
    <w:p w:rsidR="00922215" w:rsidRPr="00A74810" w:rsidP="00A74810">
      <w:pPr>
        <w:pStyle w:val="BodyText"/>
        <w:spacing w:before="21"/>
        <w:rPr>
          <w:rFonts w:asciiTheme="minorHAnsi" w:hAnsiTheme="minorHAnsi" w:cstheme="minorHAnsi"/>
          <w:sz w:val="28"/>
          <w:szCs w:val="28"/>
        </w:rPr>
      </w:pPr>
    </w:p>
    <w:p w:rsidR="00922215" w:rsidRPr="00A74810" w:rsidP="00A74810">
      <w:pPr>
        <w:pStyle w:val="ListParagraph"/>
        <w:numPr>
          <w:ilvl w:val="0"/>
          <w:numId w:val="1"/>
        </w:numPr>
        <w:tabs>
          <w:tab w:val="left" w:pos="525"/>
        </w:tabs>
        <w:ind w:right="163"/>
        <w:jc w:val="both"/>
        <w:rPr>
          <w:rFonts w:asciiTheme="minorHAnsi" w:hAnsiTheme="minorHAnsi" w:cstheme="minorHAnsi"/>
          <w:sz w:val="28"/>
          <w:szCs w:val="28"/>
        </w:rPr>
      </w:pPr>
      <w:r w:rsidRPr="00A74810">
        <w:rPr>
          <w:rFonts w:asciiTheme="minorHAnsi" w:hAnsiTheme="minorHAnsi" w:cstheme="minorHAnsi"/>
          <w:sz w:val="28"/>
          <w:szCs w:val="28"/>
        </w:rPr>
        <w:t>The transition to net zero should not be viewed simply as the replacement of one vehicle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technology</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with</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another.</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It</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should</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also</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be</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seen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as</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opportunity</w:t>
      </w:r>
      <w:r w:rsidRPr="00A74810">
        <w:rPr>
          <w:rFonts w:asciiTheme="minorHAnsi" w:hAnsiTheme="minorHAnsi" w:cstheme="minorHAnsi"/>
          <w:spacing w:val="-10"/>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1"/>
          <w:sz w:val="28"/>
          <w:szCs w:val="28"/>
        </w:rPr>
        <w:t xml:space="preserve"> </w:t>
      </w:r>
      <w:r w:rsidRPr="00A74810">
        <w:rPr>
          <w:rFonts w:asciiTheme="minorHAnsi" w:hAnsiTheme="minorHAnsi" w:cstheme="minorHAnsi"/>
          <w:sz w:val="28"/>
          <w:szCs w:val="28"/>
        </w:rPr>
        <w:t xml:space="preserve">rethink </w:t>
      </w:r>
      <w:r w:rsidRPr="00A74810">
        <w:rPr>
          <w:rFonts w:asciiTheme="minorHAnsi" w:hAnsiTheme="minorHAnsi" w:cstheme="minorHAnsi"/>
          <w:spacing w:val="-2"/>
          <w:sz w:val="28"/>
          <w:szCs w:val="28"/>
        </w:rPr>
        <w:t>how</w:t>
      </w:r>
      <w:r w:rsidRPr="00A74810">
        <w:rPr>
          <w:rFonts w:asciiTheme="minorHAnsi" w:hAnsiTheme="minorHAnsi" w:cstheme="minorHAnsi"/>
          <w:spacing w:val="-10"/>
          <w:sz w:val="28"/>
          <w:szCs w:val="28"/>
        </w:rPr>
        <w:t xml:space="preserve"> </w:t>
      </w:r>
      <w:r w:rsidRPr="00A74810">
        <w:rPr>
          <w:rFonts w:asciiTheme="minorHAnsi" w:hAnsiTheme="minorHAnsi" w:cstheme="minorHAnsi"/>
          <w:spacing w:val="-2"/>
          <w:sz w:val="28"/>
          <w:szCs w:val="28"/>
        </w:rPr>
        <w:t>people</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and</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goods</w:t>
      </w:r>
      <w:r w:rsidRPr="00A74810">
        <w:rPr>
          <w:rFonts w:asciiTheme="minorHAnsi" w:hAnsiTheme="minorHAnsi" w:cstheme="minorHAnsi"/>
          <w:spacing w:val="-12"/>
          <w:sz w:val="28"/>
          <w:szCs w:val="28"/>
        </w:rPr>
        <w:t xml:space="preserve"> </w:t>
      </w:r>
      <w:r w:rsidRPr="00A74810">
        <w:rPr>
          <w:rFonts w:asciiTheme="minorHAnsi" w:hAnsiTheme="minorHAnsi" w:cstheme="minorHAnsi"/>
          <w:spacing w:val="-2"/>
          <w:sz w:val="28"/>
          <w:szCs w:val="28"/>
        </w:rPr>
        <w:t>move</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around</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our</w:t>
      </w:r>
      <w:r w:rsidRPr="00A74810">
        <w:rPr>
          <w:rFonts w:asciiTheme="minorHAnsi" w:hAnsiTheme="minorHAnsi" w:cstheme="minorHAnsi"/>
          <w:spacing w:val="-10"/>
          <w:sz w:val="28"/>
          <w:szCs w:val="28"/>
        </w:rPr>
        <w:t xml:space="preserve"> </w:t>
      </w:r>
      <w:r w:rsidRPr="00A74810">
        <w:rPr>
          <w:rFonts w:asciiTheme="minorHAnsi" w:hAnsiTheme="minorHAnsi" w:cstheme="minorHAnsi"/>
          <w:spacing w:val="-2"/>
          <w:sz w:val="28"/>
          <w:szCs w:val="28"/>
        </w:rPr>
        <w:t>towns</w:t>
      </w:r>
      <w:r w:rsidRPr="00A74810">
        <w:rPr>
          <w:rFonts w:asciiTheme="minorHAnsi" w:hAnsiTheme="minorHAnsi" w:cstheme="minorHAnsi"/>
          <w:spacing w:val="-10"/>
          <w:sz w:val="28"/>
          <w:szCs w:val="28"/>
        </w:rPr>
        <w:t xml:space="preserve"> </w:t>
      </w:r>
      <w:r w:rsidRPr="00A74810">
        <w:rPr>
          <w:rFonts w:asciiTheme="minorHAnsi" w:hAnsiTheme="minorHAnsi" w:cstheme="minorHAnsi"/>
          <w:spacing w:val="-2"/>
          <w:sz w:val="28"/>
          <w:szCs w:val="28"/>
        </w:rPr>
        <w:t>and</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cities.</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Smaller,</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lighter</w:t>
      </w:r>
      <w:r w:rsidRPr="00A74810">
        <w:rPr>
          <w:rFonts w:asciiTheme="minorHAnsi" w:hAnsiTheme="minorHAnsi" w:cstheme="minorHAnsi"/>
          <w:spacing w:val="-10"/>
          <w:sz w:val="28"/>
          <w:szCs w:val="28"/>
        </w:rPr>
        <w:t xml:space="preserve"> </w:t>
      </w:r>
      <w:r w:rsidRPr="00A74810">
        <w:rPr>
          <w:rFonts w:asciiTheme="minorHAnsi" w:hAnsiTheme="minorHAnsi" w:cstheme="minorHAnsi"/>
          <w:spacing w:val="-2"/>
          <w:sz w:val="28"/>
          <w:szCs w:val="28"/>
        </w:rPr>
        <w:t>and</w:t>
      </w:r>
      <w:r w:rsidRPr="00A74810">
        <w:rPr>
          <w:rFonts w:asciiTheme="minorHAnsi" w:hAnsiTheme="minorHAnsi" w:cstheme="minorHAnsi"/>
          <w:spacing w:val="-9"/>
          <w:sz w:val="28"/>
          <w:szCs w:val="28"/>
        </w:rPr>
        <w:t xml:space="preserve"> </w:t>
      </w:r>
      <w:r w:rsidRPr="00A74810">
        <w:rPr>
          <w:rFonts w:asciiTheme="minorHAnsi" w:hAnsiTheme="minorHAnsi" w:cstheme="minorHAnsi"/>
          <w:spacing w:val="-2"/>
          <w:sz w:val="28"/>
          <w:szCs w:val="28"/>
        </w:rPr>
        <w:t xml:space="preserve">more </w:t>
      </w:r>
      <w:r w:rsidRPr="00A74810">
        <w:rPr>
          <w:rFonts w:asciiTheme="minorHAnsi" w:hAnsiTheme="minorHAnsi" w:cstheme="minorHAnsi"/>
          <w:sz w:val="28"/>
          <w:szCs w:val="28"/>
        </w:rPr>
        <w:t>efficient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vehicles</w:t>
      </w:r>
      <w:r w:rsidRPr="00A74810">
        <w:rPr>
          <w:rFonts w:asciiTheme="minorHAnsi" w:hAnsiTheme="minorHAnsi" w:cstheme="minorHAnsi"/>
          <w:spacing w:val="-15"/>
          <w:sz w:val="28"/>
          <w:szCs w:val="28"/>
        </w:rPr>
        <w:t xml:space="preserve"> </w:t>
      </w:r>
      <w:r w:rsidRPr="00A74810">
        <w:rPr>
          <w:rFonts w:asciiTheme="minorHAnsi" w:hAnsiTheme="minorHAnsi" w:cstheme="minorHAnsi"/>
          <w:sz w:val="28"/>
          <w:szCs w:val="28"/>
        </w:rPr>
        <w:t>have</w:t>
      </w:r>
      <w:r w:rsidRPr="00A74810">
        <w:rPr>
          <w:rFonts w:asciiTheme="minorHAnsi" w:hAnsiTheme="minorHAnsi" w:cstheme="minorHAnsi"/>
          <w:spacing w:val="-16"/>
          <w:sz w:val="28"/>
          <w:szCs w:val="28"/>
        </w:rPr>
        <w:t xml:space="preserve"> </w:t>
      </w:r>
      <w:r w:rsidRPr="00A74810">
        <w:rPr>
          <w:rFonts w:asciiTheme="minorHAnsi" w:hAnsiTheme="minorHAnsi" w:cstheme="minorHAnsi"/>
          <w:sz w:val="28"/>
          <w:szCs w:val="28"/>
        </w:rPr>
        <w:t>an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important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role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to</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play</w:t>
      </w:r>
      <w:r w:rsidRPr="00A74810">
        <w:rPr>
          <w:rFonts w:asciiTheme="minorHAnsi" w:hAnsiTheme="minorHAnsi" w:cstheme="minorHAnsi"/>
          <w:spacing w:val="-13"/>
          <w:sz w:val="28"/>
          <w:szCs w:val="28"/>
        </w:rPr>
        <w:t xml:space="preserve"> </w:t>
      </w:r>
      <w:r w:rsidRPr="00A74810">
        <w:rPr>
          <w:rFonts w:asciiTheme="minorHAnsi" w:hAnsiTheme="minorHAnsi" w:cstheme="minorHAnsi"/>
          <w:sz w:val="28"/>
          <w:szCs w:val="28"/>
        </w:rPr>
        <w:t>in</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that</w:t>
      </w:r>
      <w:r w:rsidRPr="00A74810">
        <w:rPr>
          <w:rFonts w:asciiTheme="minorHAnsi" w:hAnsiTheme="minorHAnsi" w:cstheme="minorHAnsi"/>
          <w:spacing w:val="-8"/>
          <w:sz w:val="28"/>
          <w:szCs w:val="28"/>
        </w:rPr>
        <w:t xml:space="preserve"> </w:t>
      </w:r>
      <w:r w:rsidRPr="00A74810">
        <w:rPr>
          <w:rFonts w:asciiTheme="minorHAnsi" w:hAnsiTheme="minorHAnsi" w:cstheme="minorHAnsi"/>
          <w:sz w:val="28"/>
          <w:szCs w:val="28"/>
        </w:rPr>
        <w:t>future,</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and</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a</w:t>
      </w:r>
      <w:r w:rsidRPr="00A74810">
        <w:rPr>
          <w:rFonts w:asciiTheme="minorHAnsi" w:hAnsiTheme="minorHAnsi" w:cstheme="minorHAnsi"/>
          <w:spacing w:val="-14"/>
          <w:sz w:val="28"/>
          <w:szCs w:val="28"/>
        </w:rPr>
        <w:t xml:space="preserve"> </w:t>
      </w:r>
      <w:r w:rsidRPr="00A74810">
        <w:rPr>
          <w:rFonts w:asciiTheme="minorHAnsi" w:hAnsiTheme="minorHAnsi" w:cstheme="minorHAnsi"/>
          <w:sz w:val="28"/>
          <w:szCs w:val="28"/>
        </w:rPr>
        <w:t>coherent</w:t>
      </w:r>
      <w:r w:rsidRPr="00A74810">
        <w:rPr>
          <w:rFonts w:asciiTheme="minorHAnsi" w:hAnsiTheme="minorHAnsi" w:cstheme="minorHAnsi"/>
          <w:spacing w:val="-12"/>
          <w:sz w:val="28"/>
          <w:szCs w:val="28"/>
        </w:rPr>
        <w:t xml:space="preserve"> </w:t>
      </w:r>
      <w:r w:rsidRPr="00A74810">
        <w:rPr>
          <w:rFonts w:asciiTheme="minorHAnsi" w:hAnsiTheme="minorHAnsi" w:cstheme="minorHAnsi"/>
          <w:sz w:val="28"/>
          <w:szCs w:val="28"/>
        </w:rPr>
        <w:t xml:space="preserve">policy framework will be essential if their potential is to be fully </w:t>
      </w:r>
      <w:r w:rsidRPr="00A74810">
        <w:rPr>
          <w:rFonts w:asciiTheme="minorHAnsi" w:hAnsiTheme="minorHAnsi" w:cstheme="minorHAnsi"/>
          <w:sz w:val="28"/>
          <w:szCs w:val="28"/>
        </w:rPr>
        <w:t>realised</w:t>
      </w:r>
      <w:r w:rsidRPr="00A74810">
        <w:rPr>
          <w:rFonts w:asciiTheme="minorHAnsi" w:hAnsiTheme="minorHAnsi" w:cstheme="minorHAnsi"/>
          <w:sz w:val="28"/>
          <w:szCs w:val="28"/>
        </w:rPr>
        <w:t>.</w:t>
      </w:r>
    </w:p>
    <w:p w:rsidR="00A74810" w:rsidRPr="00A74810" w:rsidP="00A74810">
      <w:pPr>
        <w:tabs>
          <w:tab w:val="left" w:pos="525"/>
        </w:tabs>
        <w:ind w:right="163"/>
        <w:rPr>
          <w:rFonts w:asciiTheme="minorHAnsi" w:hAnsiTheme="minorHAnsi" w:cstheme="minorHAnsi"/>
          <w:sz w:val="28"/>
          <w:szCs w:val="28"/>
        </w:rPr>
      </w:pPr>
    </w:p>
    <w:p w:rsidR="00A74810" w:rsidRPr="00A74810" w:rsidP="00A74810">
      <w:pPr>
        <w:tabs>
          <w:tab w:val="left" w:pos="525"/>
        </w:tabs>
        <w:ind w:right="163"/>
        <w:rPr>
          <w:rFonts w:asciiTheme="minorHAnsi" w:hAnsiTheme="minorHAnsi" w:cstheme="minorHAnsi"/>
          <w:sz w:val="28"/>
          <w:szCs w:val="28"/>
        </w:rPr>
      </w:pPr>
    </w:p>
    <w:p w:rsidR="00A74810" w:rsidP="00A74810">
      <w:pPr>
        <w:tabs>
          <w:tab w:val="left" w:pos="525"/>
        </w:tabs>
        <w:ind w:right="163"/>
        <w:rPr>
          <w:rFonts w:asciiTheme="minorHAnsi" w:hAnsiTheme="minorHAnsi" w:cstheme="minorHAnsi"/>
          <w:sz w:val="28"/>
          <w:szCs w:val="28"/>
        </w:rPr>
      </w:pPr>
      <w:r w:rsidRPr="00A74810">
        <w:rPr>
          <w:rFonts w:asciiTheme="minorHAnsi" w:hAnsiTheme="minorHAnsi" w:cstheme="minorHAnsi"/>
          <w:sz w:val="28"/>
          <w:szCs w:val="28"/>
        </w:rPr>
        <w:t>July 2026</w:t>
      </w:r>
    </w:p>
    <w:p w:rsidR="00350CF9" w:rsidP="00A74810">
      <w:pPr>
        <w:tabs>
          <w:tab w:val="left" w:pos="525"/>
        </w:tabs>
        <w:ind w:right="163"/>
        <w:rPr>
          <w:rFonts w:asciiTheme="minorHAnsi" w:hAnsiTheme="minorHAnsi" w:cstheme="minorHAnsi"/>
          <w:sz w:val="28"/>
          <w:szCs w:val="28"/>
        </w:rPr>
      </w:pPr>
    </w:p>
    <w:p w:rsidR="00350CF9" w:rsidRPr="00350CF9" w:rsidP="00A74810">
      <w:pPr>
        <w:tabs>
          <w:tab w:val="left" w:pos="525"/>
        </w:tabs>
        <w:ind w:right="163"/>
        <w:rPr>
          <w:rFonts w:asciiTheme="minorHAnsi" w:hAnsiTheme="minorHAnsi" w:cstheme="minorHAnsi"/>
          <w:sz w:val="28"/>
          <w:szCs w:val="28"/>
        </w:rPr>
      </w:pPr>
      <w:r>
        <w:rPr>
          <w:rFonts w:asciiTheme="minorHAnsi" w:hAnsiTheme="minorHAnsi" w:cstheme="minorHAnsi"/>
          <w:b/>
          <w:bCs/>
          <w:sz w:val="28"/>
          <w:szCs w:val="28"/>
        </w:rPr>
        <w:t>Endnotes</w:t>
      </w:r>
    </w:p>
    <w:sectPr w:rsidSect="00A74810">
      <w:endnotePr>
        <w:numFmt w:val="decimal"/>
      </w:endnotePr>
      <w:pgSz w:w="11910" w:h="16840"/>
      <w:pgMar w:top="1440" w:right="1440" w:bottom="1440" w:left="1440" w:header="0" w:footer="100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7017F2">
      <w:r>
        <w:separator/>
      </w:r>
    </w:p>
  </w:endnote>
  <w:endnote w:type="continuationSeparator" w:id="1">
    <w:p w:rsidR="007017F2">
      <w:r>
        <w:continuationSeparator/>
      </w:r>
    </w:p>
  </w:endnote>
  <w:endnote w:id="2">
    <w:p w:rsidR="00350CF9" w:rsidP="00350CF9">
      <w:pPr>
        <w:spacing w:before="102"/>
        <w:rPr>
          <w:rFonts w:ascii="Calibri"/>
          <w:i/>
          <w:sz w:val="20"/>
        </w:rPr>
      </w:pPr>
      <w:r>
        <w:rPr>
          <w:rStyle w:val="EndnoteReference"/>
        </w:rPr>
        <w:endnoteRef/>
      </w:r>
      <w:r>
        <w:t xml:space="preserve"> </w:t>
      </w:r>
      <w:r>
        <w:rPr>
          <w:rFonts w:ascii="Calibri"/>
          <w:sz w:val="20"/>
        </w:rPr>
        <w:t>WPI</w:t>
      </w:r>
      <w:r>
        <w:rPr>
          <w:rFonts w:ascii="Calibri"/>
          <w:spacing w:val="-6"/>
          <w:sz w:val="20"/>
        </w:rPr>
        <w:t xml:space="preserve"> </w:t>
      </w:r>
      <w:r>
        <w:rPr>
          <w:rFonts w:ascii="Calibri"/>
          <w:sz w:val="20"/>
        </w:rPr>
        <w:t>Economics</w:t>
      </w:r>
      <w:r>
        <w:rPr>
          <w:rFonts w:ascii="Calibri"/>
          <w:spacing w:val="-8"/>
          <w:sz w:val="20"/>
        </w:rPr>
        <w:t xml:space="preserve"> </w:t>
      </w:r>
      <w:r>
        <w:rPr>
          <w:rFonts w:ascii="Calibri"/>
          <w:sz w:val="20"/>
        </w:rPr>
        <w:t>(2026),</w:t>
      </w:r>
      <w:r>
        <w:rPr>
          <w:rFonts w:ascii="Calibri"/>
          <w:spacing w:val="-4"/>
          <w:sz w:val="20"/>
        </w:rPr>
        <w:t xml:space="preserve"> </w:t>
      </w:r>
      <w:r>
        <w:rPr>
          <w:rFonts w:ascii="Calibri"/>
          <w:i/>
          <w:sz w:val="20"/>
        </w:rPr>
        <w:t>The</w:t>
      </w:r>
      <w:r>
        <w:rPr>
          <w:rFonts w:ascii="Calibri"/>
          <w:i/>
          <w:spacing w:val="-7"/>
          <w:sz w:val="20"/>
        </w:rPr>
        <w:t xml:space="preserve"> </w:t>
      </w:r>
      <w:r>
        <w:rPr>
          <w:rFonts w:ascii="Calibri"/>
          <w:i/>
          <w:sz w:val="20"/>
        </w:rPr>
        <w:t>Economic</w:t>
      </w:r>
      <w:r>
        <w:rPr>
          <w:rFonts w:ascii="Calibri"/>
          <w:i/>
          <w:spacing w:val="-6"/>
          <w:sz w:val="20"/>
        </w:rPr>
        <w:t xml:space="preserve"> </w:t>
      </w:r>
      <w:r>
        <w:rPr>
          <w:rFonts w:ascii="Calibri"/>
          <w:i/>
          <w:sz w:val="20"/>
        </w:rPr>
        <w:t>Impact</w:t>
      </w:r>
      <w:r>
        <w:rPr>
          <w:rFonts w:ascii="Calibri"/>
          <w:i/>
          <w:spacing w:val="-6"/>
          <w:sz w:val="20"/>
        </w:rPr>
        <w:t xml:space="preserve"> </w:t>
      </w:r>
      <w:r>
        <w:rPr>
          <w:rFonts w:ascii="Calibri"/>
          <w:i/>
          <w:sz w:val="20"/>
        </w:rPr>
        <w:t>of</w:t>
      </w:r>
      <w:r>
        <w:rPr>
          <w:rFonts w:ascii="Calibri"/>
          <w:i/>
          <w:spacing w:val="-8"/>
          <w:sz w:val="20"/>
        </w:rPr>
        <w:t xml:space="preserve"> </w:t>
      </w:r>
      <w:r>
        <w:rPr>
          <w:rFonts w:ascii="Calibri"/>
          <w:i/>
          <w:sz w:val="20"/>
        </w:rPr>
        <w:t>Ending</w:t>
      </w:r>
      <w:r>
        <w:rPr>
          <w:rFonts w:ascii="Calibri"/>
          <w:i/>
          <w:spacing w:val="-8"/>
          <w:sz w:val="20"/>
        </w:rPr>
        <w:t xml:space="preserve"> </w:t>
      </w:r>
      <w:r>
        <w:rPr>
          <w:rFonts w:ascii="Calibri"/>
          <w:i/>
          <w:sz w:val="20"/>
        </w:rPr>
        <w:t>the</w:t>
      </w:r>
      <w:r>
        <w:rPr>
          <w:rFonts w:ascii="Calibri"/>
          <w:i/>
          <w:spacing w:val="-8"/>
          <w:sz w:val="20"/>
        </w:rPr>
        <w:t xml:space="preserve"> </w:t>
      </w:r>
      <w:r>
        <w:rPr>
          <w:rFonts w:ascii="Calibri"/>
          <w:i/>
          <w:sz w:val="20"/>
        </w:rPr>
        <w:t>Plug-in</w:t>
      </w:r>
      <w:r>
        <w:rPr>
          <w:rFonts w:ascii="Calibri"/>
          <w:i/>
          <w:spacing w:val="-7"/>
          <w:sz w:val="20"/>
        </w:rPr>
        <w:t xml:space="preserve"> </w:t>
      </w:r>
      <w:r>
        <w:rPr>
          <w:rFonts w:ascii="Calibri"/>
          <w:i/>
          <w:sz w:val="20"/>
        </w:rPr>
        <w:t>Motorcycle</w:t>
      </w:r>
      <w:r>
        <w:rPr>
          <w:rFonts w:ascii="Calibri"/>
          <w:i/>
          <w:spacing w:val="-6"/>
          <w:sz w:val="20"/>
        </w:rPr>
        <w:t xml:space="preserve"> </w:t>
      </w:r>
      <w:r>
        <w:rPr>
          <w:rFonts w:ascii="Calibri"/>
          <w:i/>
          <w:spacing w:val="-2"/>
          <w:sz w:val="20"/>
        </w:rPr>
        <w:t>Grant</w:t>
      </w:r>
    </w:p>
    <w:p w:rsidR="00350CF9" w:rsidRPr="00350CF9" w:rsidP="00350CF9">
      <w:pPr>
        <w:pStyle w:val="EndnoteText"/>
        <w:rPr>
          <w:lang w:val="en-GB"/>
        </w:rPr>
      </w:pPr>
      <w:r>
        <w:fldChar w:fldCharType="begin"/>
      </w:r>
      <w:r>
        <w:instrText xml:space="preserve"> HYPERLINK "https://mcia.co.uk/downloads/140" </w:instrText>
      </w:r>
      <w:r>
        <w:fldChar w:fldCharType="separate"/>
      </w:r>
      <w:r>
        <w:rPr>
          <w:rFonts w:ascii="Calibri"/>
          <w:color w:val="0462C1"/>
          <w:spacing w:val="-2"/>
          <w:u w:val="single" w:color="0462C1"/>
        </w:rPr>
        <w:t>https://mcia.co.uk/downloads/140</w:t>
      </w:r>
      <w:r>
        <w:fldChar w:fldCharType="end"/>
      </w:r>
    </w:p>
  </w:endnote>
  <w:endnote w:id="3">
    <w:p w:rsidR="00350CF9" w:rsidRPr="00350CF9">
      <w:pPr>
        <w:pStyle w:val="EndnoteText"/>
        <w:rPr>
          <w:lang w:val="en-GB"/>
        </w:rPr>
      </w:pPr>
      <w:r>
        <w:rPr>
          <w:rStyle w:val="EndnoteReference"/>
        </w:rPr>
        <w:endnoteRef/>
      </w:r>
      <w:r>
        <w:t xml:space="preserve"> </w:t>
      </w:r>
      <w:r>
        <w:rPr>
          <w:rFonts w:ascii="Calibri"/>
        </w:rPr>
        <w:t>Office</w:t>
      </w:r>
      <w:r>
        <w:rPr>
          <w:rFonts w:ascii="Calibri"/>
          <w:spacing w:val="-10"/>
        </w:rPr>
        <w:t xml:space="preserve"> </w:t>
      </w:r>
      <w:r>
        <w:rPr>
          <w:rFonts w:ascii="Calibri"/>
        </w:rPr>
        <w:t>for</w:t>
      </w:r>
      <w:r>
        <w:rPr>
          <w:rFonts w:ascii="Calibri"/>
          <w:spacing w:val="-7"/>
        </w:rPr>
        <w:t xml:space="preserve"> </w:t>
      </w:r>
      <w:r>
        <w:rPr>
          <w:rFonts w:ascii="Calibri"/>
        </w:rPr>
        <w:t>Zero</w:t>
      </w:r>
      <w:r>
        <w:rPr>
          <w:rFonts w:ascii="Calibri"/>
          <w:spacing w:val="-8"/>
        </w:rPr>
        <w:t xml:space="preserve"> </w:t>
      </w:r>
      <w:r>
        <w:rPr>
          <w:rFonts w:ascii="Calibri"/>
        </w:rPr>
        <w:t>Emission</w:t>
      </w:r>
      <w:r>
        <w:rPr>
          <w:rFonts w:ascii="Calibri"/>
          <w:spacing w:val="-8"/>
        </w:rPr>
        <w:t xml:space="preserve"> </w:t>
      </w:r>
      <w:r>
        <w:rPr>
          <w:rFonts w:ascii="Calibri"/>
          <w:spacing w:val="-2"/>
        </w:rPr>
        <w:t>Vehicles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2215">
    <w:pPr>
      <w:pStyle w:val="BodyText"/>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82128A3A"/>
    <w:lvl w:ilvl="0">
      <w:start w:val="1"/>
      <w:numFmt w:val="decimal"/>
      <w:lvlText w:val="%1."/>
      <w:lvlJc w:val="left"/>
      <w:pPr>
        <w:ind w:left="525" w:hanging="360"/>
        <w:jc w:val="left"/>
      </w:pPr>
      <w:rPr>
        <w:rFonts w:ascii="Calibri" w:eastAsia="Arial" w:hAnsi="Calibri" w:cs="Calibri" w:hint="default"/>
        <w:b w:val="0"/>
        <w:bCs w:val="0"/>
        <w:i w:val="0"/>
        <w:iCs w:val="0"/>
        <w:spacing w:val="0"/>
        <w:w w:val="100"/>
        <w:sz w:val="28"/>
        <w:szCs w:val="28"/>
        <w:lang w:val="en-US" w:eastAsia="en-US" w:bidi="ar-SA"/>
      </w:rPr>
    </w:lvl>
    <w:lvl w:ilvl="1">
      <w:start w:val="0"/>
      <w:numFmt w:val="bullet"/>
      <w:lvlText w:val=""/>
      <w:lvlJc w:val="left"/>
      <w:pPr>
        <w:ind w:left="885"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821" w:hanging="360"/>
      </w:pPr>
      <w:rPr>
        <w:rFonts w:hint="default"/>
        <w:lang w:val="en-US" w:eastAsia="en-US" w:bidi="ar-SA"/>
      </w:rPr>
    </w:lvl>
    <w:lvl w:ilvl="3">
      <w:start w:val="0"/>
      <w:numFmt w:val="bullet"/>
      <w:lvlText w:val="•"/>
      <w:lvlJc w:val="left"/>
      <w:pPr>
        <w:ind w:left="2763" w:hanging="360"/>
      </w:pPr>
      <w:rPr>
        <w:rFonts w:hint="default"/>
        <w:lang w:val="en-US" w:eastAsia="en-US" w:bidi="ar-SA"/>
      </w:rPr>
    </w:lvl>
    <w:lvl w:ilvl="4">
      <w:start w:val="0"/>
      <w:numFmt w:val="bullet"/>
      <w:lvlText w:val="•"/>
      <w:lvlJc w:val="left"/>
      <w:pPr>
        <w:ind w:left="3705"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589" w:hanging="360"/>
      </w:pPr>
      <w:rPr>
        <w:rFonts w:hint="default"/>
        <w:lang w:val="en-US" w:eastAsia="en-US" w:bidi="ar-SA"/>
      </w:rPr>
    </w:lvl>
    <w:lvl w:ilvl="7">
      <w:start w:val="0"/>
      <w:numFmt w:val="bullet"/>
      <w:lvlText w:val="•"/>
      <w:lvlJc w:val="left"/>
      <w:pPr>
        <w:ind w:left="6530" w:hanging="360"/>
      </w:pPr>
      <w:rPr>
        <w:rFonts w:hint="default"/>
        <w:lang w:val="en-US" w:eastAsia="en-US" w:bidi="ar-SA"/>
      </w:rPr>
    </w:lvl>
    <w:lvl w:ilvl="8">
      <w:start w:val="0"/>
      <w:numFmt w:val="bullet"/>
      <w:lvlText w:val="•"/>
      <w:lvlJc w:val="left"/>
      <w:pPr>
        <w:ind w:left="7472" w:hanging="360"/>
      </w:pPr>
      <w:rPr>
        <w:rFonts w:hint="default"/>
        <w:lang w:val="en-US" w:eastAsia="en-US" w:bidi="ar-SA"/>
      </w:rPr>
    </w:lvl>
  </w:abstractNum>
  <w:abstractNum w:abstractNumId="1">
    <w:nsid w:val="00000001"/>
    <w:multiLevelType w:val="hybridMultilevel"/>
    <w:tmpl w:val="00000000"/>
    <w:lvl w:ilvl="0">
      <w:start w:val="33"/>
      <w:numFmt w:val="decimal"/>
      <w:lvlText w:val="%1."/>
      <w:lvlJc w:val="left"/>
      <w:pPr>
        <w:ind w:left="525" w:hanging="360"/>
        <w:jc w:val="left"/>
      </w:pPr>
      <w:rPr>
        <w:rFonts w:ascii="Arial" w:eastAsia="Arial" w:hAnsi="Arial" w:cs="Arial" w:hint="default"/>
        <w:b w:val="0"/>
        <w:bCs w:val="0"/>
        <w:i w:val="0"/>
        <w:iCs w:val="0"/>
        <w:spacing w:val="0"/>
        <w:w w:val="100"/>
        <w:sz w:val="24"/>
        <w:szCs w:val="24"/>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287" w:hanging="360"/>
      </w:pPr>
      <w:rPr>
        <w:rFonts w:hint="default"/>
        <w:lang w:val="en-US" w:eastAsia="en-US" w:bidi="ar-SA"/>
      </w:rPr>
    </w:lvl>
    <w:lvl w:ilvl="3">
      <w:start w:val="0"/>
      <w:numFmt w:val="bullet"/>
      <w:lvlText w:val="•"/>
      <w:lvlJc w:val="left"/>
      <w:pPr>
        <w:ind w:left="3170" w:hanging="360"/>
      </w:pPr>
      <w:rPr>
        <w:rFonts w:hint="default"/>
        <w:lang w:val="en-US" w:eastAsia="en-US" w:bidi="ar-SA"/>
      </w:rPr>
    </w:lvl>
    <w:lvl w:ilvl="4">
      <w:start w:val="0"/>
      <w:numFmt w:val="bullet"/>
      <w:lvlText w:val="•"/>
      <w:lvlJc w:val="left"/>
      <w:pPr>
        <w:ind w:left="4054" w:hanging="360"/>
      </w:pPr>
      <w:rPr>
        <w:rFonts w:hint="default"/>
        <w:lang w:val="en-US" w:eastAsia="en-US" w:bidi="ar-SA"/>
      </w:rPr>
    </w:lvl>
    <w:lvl w:ilvl="5">
      <w:start w:val="0"/>
      <w:numFmt w:val="bullet"/>
      <w:lvlText w:val="•"/>
      <w:lvlJc w:val="left"/>
      <w:pPr>
        <w:ind w:left="4938" w:hanging="360"/>
      </w:pPr>
      <w:rPr>
        <w:rFonts w:hint="default"/>
        <w:lang w:val="en-US" w:eastAsia="en-US" w:bidi="ar-SA"/>
      </w:rPr>
    </w:lvl>
    <w:lvl w:ilvl="6">
      <w:start w:val="0"/>
      <w:numFmt w:val="bullet"/>
      <w:lvlText w:val="•"/>
      <w:lvlJc w:val="left"/>
      <w:pPr>
        <w:ind w:left="5821" w:hanging="360"/>
      </w:pPr>
      <w:rPr>
        <w:rFonts w:hint="default"/>
        <w:lang w:val="en-US" w:eastAsia="en-US" w:bidi="ar-SA"/>
      </w:rPr>
    </w:lvl>
    <w:lvl w:ilvl="7">
      <w:start w:val="0"/>
      <w:numFmt w:val="bullet"/>
      <w:lvlText w:val="•"/>
      <w:lvlJc w:val="left"/>
      <w:pPr>
        <w:ind w:left="6705" w:hanging="360"/>
      </w:pPr>
      <w:rPr>
        <w:rFonts w:hint="default"/>
        <w:lang w:val="en-US" w:eastAsia="en-US" w:bidi="ar-SA"/>
      </w:rPr>
    </w:lvl>
    <w:lvl w:ilvl="8">
      <w:start w:val="0"/>
      <w:numFmt w:val="bullet"/>
      <w:lvlText w:val="•"/>
      <w:lvlJc w:val="left"/>
      <w:pPr>
        <w:ind w:left="7589" w:hanging="360"/>
      </w:pPr>
      <w:rPr>
        <w:rFonts w:hint="default"/>
        <w:lang w:val="en-US" w:eastAsia="en-US" w:bidi="ar-SA"/>
      </w:rPr>
    </w:lvl>
  </w:abstractNum>
  <w:abstractNum w:abstractNumId="2">
    <w:nsid w:val="00000002"/>
    <w:multiLevelType w:val="hybridMultilevel"/>
    <w:tmpl w:val="0860B006"/>
    <w:lvl w:ilvl="0">
      <w:start w:val="36"/>
      <w:numFmt w:val="decimal"/>
      <w:lvlText w:val="%1."/>
      <w:lvlJc w:val="left"/>
      <w:pPr>
        <w:ind w:left="525" w:hanging="360"/>
        <w:jc w:val="left"/>
      </w:pPr>
      <w:rPr>
        <w:rFonts w:eastAsia="Arial" w:asciiTheme="minorHAnsi" w:hAnsiTheme="minorHAnsi" w:cstheme="minorHAnsi" w:hint="default"/>
        <w:b w:val="0"/>
        <w:bCs w:val="0"/>
        <w:i w:val="0"/>
        <w:iCs w:val="0"/>
        <w:spacing w:val="0"/>
        <w:w w:val="100"/>
        <w:sz w:val="28"/>
        <w:szCs w:val="28"/>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287" w:hanging="360"/>
      </w:pPr>
      <w:rPr>
        <w:rFonts w:hint="default"/>
        <w:lang w:val="en-US" w:eastAsia="en-US" w:bidi="ar-SA"/>
      </w:rPr>
    </w:lvl>
    <w:lvl w:ilvl="3">
      <w:start w:val="0"/>
      <w:numFmt w:val="bullet"/>
      <w:lvlText w:val="•"/>
      <w:lvlJc w:val="left"/>
      <w:pPr>
        <w:ind w:left="3170" w:hanging="360"/>
      </w:pPr>
      <w:rPr>
        <w:rFonts w:hint="default"/>
        <w:lang w:val="en-US" w:eastAsia="en-US" w:bidi="ar-SA"/>
      </w:rPr>
    </w:lvl>
    <w:lvl w:ilvl="4">
      <w:start w:val="0"/>
      <w:numFmt w:val="bullet"/>
      <w:lvlText w:val="•"/>
      <w:lvlJc w:val="left"/>
      <w:pPr>
        <w:ind w:left="4054" w:hanging="360"/>
      </w:pPr>
      <w:rPr>
        <w:rFonts w:hint="default"/>
        <w:lang w:val="en-US" w:eastAsia="en-US" w:bidi="ar-SA"/>
      </w:rPr>
    </w:lvl>
    <w:lvl w:ilvl="5">
      <w:start w:val="0"/>
      <w:numFmt w:val="bullet"/>
      <w:lvlText w:val="•"/>
      <w:lvlJc w:val="left"/>
      <w:pPr>
        <w:ind w:left="4938" w:hanging="360"/>
      </w:pPr>
      <w:rPr>
        <w:rFonts w:hint="default"/>
        <w:lang w:val="en-US" w:eastAsia="en-US" w:bidi="ar-SA"/>
      </w:rPr>
    </w:lvl>
    <w:lvl w:ilvl="6">
      <w:start w:val="0"/>
      <w:numFmt w:val="bullet"/>
      <w:lvlText w:val="•"/>
      <w:lvlJc w:val="left"/>
      <w:pPr>
        <w:ind w:left="5821" w:hanging="360"/>
      </w:pPr>
      <w:rPr>
        <w:rFonts w:hint="default"/>
        <w:lang w:val="en-US" w:eastAsia="en-US" w:bidi="ar-SA"/>
      </w:rPr>
    </w:lvl>
    <w:lvl w:ilvl="7">
      <w:start w:val="0"/>
      <w:numFmt w:val="bullet"/>
      <w:lvlText w:val="•"/>
      <w:lvlJc w:val="left"/>
      <w:pPr>
        <w:ind w:left="6705" w:hanging="360"/>
      </w:pPr>
      <w:rPr>
        <w:rFonts w:hint="default"/>
        <w:lang w:val="en-US" w:eastAsia="en-US" w:bidi="ar-SA"/>
      </w:rPr>
    </w:lvl>
    <w:lvl w:ilvl="8">
      <w:start w:val="0"/>
      <w:numFmt w:val="bullet"/>
      <w:lvlText w:val="•"/>
      <w:lvlJc w:val="left"/>
      <w:pPr>
        <w:ind w:left="7589"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drawingGridHorizontalSpacing w:val="110"/>
  <w:displayHorizontalDrawingGridEvery w:val="2"/>
  <w:characterSpacingControl w:val="doNotCompress"/>
  <w:endnotePr>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customStyle="1" w:styleId="Heading11">
    <w:name w:val="Heading 11"/>
    <w:basedOn w:val="Normal"/>
    <w:uiPriority w:val="1"/>
    <w:qFormat/>
    <w:pPr>
      <w:spacing w:before="76"/>
      <w:ind w:left="165"/>
      <w:outlineLvl w:val="1"/>
    </w:pPr>
    <w:rPr>
      <w:b/>
      <w:bCs/>
      <w:sz w:val="28"/>
      <w:szCs w:val="28"/>
    </w:rPr>
  </w:style>
  <w:style w:type="paragraph" w:customStyle="1" w:styleId="Heading21">
    <w:name w:val="Heading 21"/>
    <w:basedOn w:val="Normal"/>
    <w:uiPriority w:val="1"/>
    <w:qFormat/>
    <w:pPr>
      <w:ind w:left="165"/>
      <w:outlineLvl w:val="2"/>
    </w:pPr>
    <w:rPr>
      <w:b/>
      <w:bCs/>
      <w:sz w:val="24"/>
      <w:szCs w:val="24"/>
    </w:rPr>
  </w:style>
  <w:style w:type="paragraph" w:styleId="ListParagraph">
    <w:name w:val="List Paragraph"/>
    <w:basedOn w:val="Normal"/>
    <w:uiPriority w:val="1"/>
    <w:qFormat/>
    <w:pPr>
      <w:ind w:left="525" w:right="16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1626"/>
    <w:pPr>
      <w:tabs>
        <w:tab w:val="center" w:pos="4513"/>
        <w:tab w:val="right" w:pos="9026"/>
      </w:tabs>
    </w:pPr>
  </w:style>
  <w:style w:type="character" w:customStyle="1" w:styleId="HeaderChar">
    <w:name w:val="Header Char"/>
    <w:basedOn w:val="DefaultParagraphFont"/>
    <w:link w:val="Header"/>
    <w:uiPriority w:val="99"/>
    <w:rsid w:val="00E91626"/>
    <w:rPr>
      <w:rFonts w:ascii="Arial" w:eastAsia="Arial" w:hAnsi="Arial" w:cs="Arial"/>
    </w:rPr>
  </w:style>
  <w:style w:type="paragraph" w:styleId="Footer">
    <w:name w:val="footer"/>
    <w:basedOn w:val="Normal"/>
    <w:link w:val="FooterChar"/>
    <w:uiPriority w:val="99"/>
    <w:unhideWhenUsed/>
    <w:rsid w:val="00E91626"/>
    <w:pPr>
      <w:tabs>
        <w:tab w:val="center" w:pos="4513"/>
        <w:tab w:val="right" w:pos="9026"/>
      </w:tabs>
    </w:pPr>
  </w:style>
  <w:style w:type="character" w:customStyle="1" w:styleId="FooterChar">
    <w:name w:val="Footer Char"/>
    <w:basedOn w:val="DefaultParagraphFont"/>
    <w:link w:val="Footer"/>
    <w:uiPriority w:val="99"/>
    <w:rsid w:val="00E91626"/>
    <w:rPr>
      <w:rFonts w:ascii="Arial" w:eastAsia="Arial" w:hAnsi="Arial" w:cs="Arial"/>
    </w:rPr>
  </w:style>
  <w:style w:type="paragraph" w:styleId="EndnoteText">
    <w:name w:val="endnote text"/>
    <w:basedOn w:val="Normal"/>
    <w:link w:val="EndnoteTextChar"/>
    <w:uiPriority w:val="99"/>
    <w:semiHidden/>
    <w:unhideWhenUsed/>
    <w:rsid w:val="00350CF9"/>
    <w:rPr>
      <w:sz w:val="20"/>
      <w:szCs w:val="20"/>
    </w:rPr>
  </w:style>
  <w:style w:type="character" w:customStyle="1" w:styleId="EndnoteTextChar">
    <w:name w:val="Endnote Text Char"/>
    <w:basedOn w:val="DefaultParagraphFont"/>
    <w:link w:val="EndnoteText"/>
    <w:uiPriority w:val="99"/>
    <w:semiHidden/>
    <w:rsid w:val="00350CF9"/>
    <w:rPr>
      <w:rFonts w:ascii="Arial" w:eastAsia="Arial" w:hAnsi="Arial" w:cs="Arial"/>
      <w:sz w:val="20"/>
      <w:szCs w:val="20"/>
    </w:rPr>
  </w:style>
  <w:style w:type="character" w:styleId="EndnoteReference">
    <w:name w:val="endnote reference"/>
    <w:basedOn w:val="DefaultParagraphFont"/>
    <w:uiPriority w:val="99"/>
    <w:semiHidden/>
    <w:unhideWhenUsed/>
    <w:rsid w:val="00350CF9"/>
    <w:rPr>
      <w:vertAlign w:val="superscript"/>
    </w:rPr>
  </w:style>
  <w:style w:type="paragraph" w:styleId="FootnoteText">
    <w:name w:val="footnote text"/>
    <w:basedOn w:val="Normal"/>
    <w:link w:val="FootnoteTextChar"/>
    <w:uiPriority w:val="99"/>
    <w:semiHidden/>
    <w:unhideWhenUsed/>
    <w:rsid w:val="00350CF9"/>
    <w:rPr>
      <w:sz w:val="20"/>
      <w:szCs w:val="20"/>
    </w:rPr>
  </w:style>
  <w:style w:type="character" w:customStyle="1" w:styleId="FootnoteTextChar">
    <w:name w:val="Footnote Text Char"/>
    <w:basedOn w:val="DefaultParagraphFont"/>
    <w:link w:val="FootnoteText"/>
    <w:uiPriority w:val="99"/>
    <w:semiHidden/>
    <w:rsid w:val="00350CF9"/>
    <w:rPr>
      <w:rFonts w:ascii="Arial" w:eastAsia="Arial" w:hAnsi="Arial" w:cs="Arial"/>
      <w:sz w:val="20"/>
      <w:szCs w:val="20"/>
    </w:rPr>
  </w:style>
  <w:style w:type="character" w:styleId="FootnoteReference">
    <w:name w:val="footnote reference"/>
    <w:basedOn w:val="DefaultParagraphFont"/>
    <w:uiPriority w:val="99"/>
    <w:semiHidden/>
    <w:unhideWhenUsed/>
    <w:rsid w:val="00350CF9"/>
    <w:rPr>
      <w:vertAlign w:val="superscript"/>
    </w:rPr>
  </w:style>
  <w:style w:type="paragraph" w:styleId="Quote">
    <w:name w:val="Quote"/>
    <w:basedOn w:val="Normal"/>
    <w:next w:val="Normal"/>
    <w:link w:val="QuoteChar"/>
    <w:uiPriority w:val="29"/>
    <w:qFormat/>
    <w:rsid w:val="00350CF9"/>
    <w:pPr>
      <w:widowControl/>
      <w:autoSpaceDE/>
      <w:autoSpaceDN/>
      <w:spacing w:before="160" w:after="160" w:line="259" w:lineRule="auto"/>
      <w:jc w:val="center"/>
    </w:pPr>
    <w:rPr>
      <w:rFonts w:asciiTheme="minorHAnsi" w:eastAsiaTheme="minorHAnsi" w:hAnsiTheme="minorHAnsi" w:cstheme="minorHAnsi"/>
      <w:bCs/>
      <w:i/>
      <w:iCs/>
      <w:color w:val="404040" w:themeColor="text1" w:themeTint="BF"/>
      <w:kern w:val="2"/>
      <w:sz w:val="28"/>
      <w:szCs w:val="28"/>
      <w:lang w:val="en-GB"/>
    </w:rPr>
  </w:style>
  <w:style w:type="character" w:customStyle="1" w:styleId="QuoteChar">
    <w:name w:val="Quote Char"/>
    <w:basedOn w:val="DefaultParagraphFont"/>
    <w:link w:val="Quote"/>
    <w:uiPriority w:val="29"/>
    <w:rsid w:val="00350CF9"/>
    <w:rPr>
      <w:rFonts w:cstheme="minorHAnsi"/>
      <w:bCs/>
      <w:i/>
      <w:iCs/>
      <w:color w:val="404040" w:themeColor="text1" w:themeTint="BF"/>
      <w:kern w:val="2"/>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DD6B8-6BB1-43BC-BC3E-5012FFD90DBD}">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SEV0121</dc:title>
  <cp:revision>0</cp:revision>
</cp:coreProperties>
</file>