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B0629" w:rsidRPr="00FB0629" w:rsidP="00882481">
      <w:pPr>
        <w:rPr>
          <w:rFonts w:ascii="Verdana" w:hAnsi="Verdana" w:cs="Arial"/>
          <w:b/>
          <w:bCs/>
          <w:sz w:val="24"/>
          <w:szCs w:val="24"/>
        </w:rPr>
      </w:pPr>
      <w:r w:rsidRPr="00FB0629">
        <w:rPr>
          <w:rFonts w:ascii="Verdana" w:hAnsi="Verdana" w:cs="Arial"/>
          <w:b/>
          <w:bCs/>
          <w:sz w:val="24"/>
          <w:szCs w:val="24"/>
        </w:rPr>
        <w:t xml:space="preserve">Written evidence from </w:t>
      </w:r>
      <w:r w:rsidR="00381574">
        <w:rPr>
          <w:rFonts w:ascii="Verdana" w:hAnsi="Verdana" w:cs="Arial"/>
          <w:b/>
          <w:bCs/>
          <w:sz w:val="24"/>
          <w:szCs w:val="24"/>
        </w:rPr>
        <w:t xml:space="preserve">Defra, </w:t>
      </w:r>
      <w:r w:rsidRPr="00FB0629">
        <w:rPr>
          <w:rFonts w:ascii="Verdana" w:hAnsi="Verdana" w:cs="Arial"/>
          <w:b/>
          <w:bCs/>
          <w:sz w:val="24"/>
          <w:szCs w:val="24"/>
        </w:rPr>
        <w:t>Veterinary Medicines Directorate (VMD) and Environment Agency (PPM0042)</w:t>
      </w:r>
    </w:p>
    <w:p w:rsidR="00FB0629" w:rsidRPr="00FB0629" w:rsidP="00882481">
      <w:pPr>
        <w:rPr>
          <w:rFonts w:ascii="Verdana" w:hAnsi="Verdana" w:cs="Arial"/>
          <w:sz w:val="24"/>
          <w:szCs w:val="24"/>
          <w:u w:val="single"/>
        </w:rPr>
      </w:pPr>
    </w:p>
    <w:p w:rsidR="00882481" w:rsidRPr="00FB0629" w:rsidP="00882481">
      <w:pPr>
        <w:rPr>
          <w:rFonts w:ascii="Verdana" w:hAnsi="Verdana" w:cs="Arial"/>
          <w:sz w:val="24"/>
          <w:szCs w:val="24"/>
        </w:rPr>
      </w:pPr>
      <w:r w:rsidRPr="00FB0629">
        <w:rPr>
          <w:rFonts w:ascii="Verdana" w:hAnsi="Verdana" w:cs="Arial"/>
          <w:sz w:val="24"/>
          <w:szCs w:val="24"/>
          <w:u w:val="single"/>
        </w:rPr>
        <w:t>Requests for further information</w:t>
      </w:r>
    </w:p>
    <w:p w:rsidR="001434B1" w:rsidRPr="00FB0629" w:rsidP="00882481">
      <w:pPr>
        <w:rPr>
          <w:rFonts w:ascii="Verdana" w:hAnsi="Verdana" w:cs="Arial"/>
          <w:b/>
          <w:bCs/>
          <w:sz w:val="24"/>
          <w:szCs w:val="24"/>
        </w:rPr>
      </w:pPr>
      <w:r w:rsidRPr="00FB0629">
        <w:rPr>
          <w:rFonts w:ascii="Verdana" w:hAnsi="Verdana" w:cs="Arial"/>
          <w:b/>
          <w:bCs/>
          <w:sz w:val="24"/>
          <w:szCs w:val="24"/>
        </w:rPr>
        <w:t xml:space="preserve">Q1 Abigail Seager said she would provide a year-by-year breakdown of sales data for fipronil, imidacloprid (and others if available) </w:t>
      </w:r>
    </w:p>
    <w:p w:rsidR="127F05F7" w:rsidRPr="00FB0629" w:rsidP="127F05F7">
      <w:pPr>
        <w:rPr>
          <w:rFonts w:ascii="Verdana" w:hAnsi="Verdana" w:cs="Arial"/>
          <w:b/>
          <w:bCs/>
          <w:sz w:val="24"/>
          <w:szCs w:val="24"/>
        </w:rPr>
      </w:pPr>
    </w:p>
    <w:p w:rsidR="00882481" w:rsidRPr="00FB0629" w:rsidP="00882481">
      <w:pPr>
        <w:rPr>
          <w:rFonts w:ascii="Verdana" w:hAnsi="Verdana" w:cs="Arial"/>
          <w:sz w:val="24"/>
          <w:szCs w:val="24"/>
        </w:rPr>
      </w:pPr>
      <w:r w:rsidRPr="00FB0629">
        <w:rPr>
          <w:rFonts w:ascii="Verdana" w:hAnsi="Verdana" w:cs="Arial"/>
          <w:b/>
          <w:bCs/>
          <w:sz w:val="24"/>
          <w:szCs w:val="24"/>
        </w:rPr>
        <w:t>Sales in companion animals</w:t>
      </w:r>
      <w:r w:rsidRPr="00FB0629">
        <w:rPr>
          <w:rFonts w:ascii="Verdana" w:hAnsi="Verdana" w:cs="Arial"/>
          <w:sz w:val="24"/>
          <w:szCs w:val="24"/>
        </w:rPr>
        <w:t> </w:t>
      </w:r>
    </w:p>
    <w:p w:rsidR="00882481" w:rsidRPr="00FB0629" w:rsidP="00882481">
      <w:pPr>
        <w:rPr>
          <w:rFonts w:ascii="Verdana" w:hAnsi="Verdana" w:cs="Arial"/>
          <w:sz w:val="24"/>
          <w:szCs w:val="24"/>
        </w:rPr>
      </w:pPr>
      <w:r w:rsidRPr="00FB0629">
        <w:rPr>
          <w:rFonts w:ascii="Verdana" w:hAnsi="Verdana" w:cs="Arial"/>
          <w:sz w:val="24"/>
          <w:szCs w:val="24"/>
        </w:rPr>
        <w:t>Sales data figures provided to the VMD may be amended by Marketing Authorisation Holders (MAHs) following initial submission so there may be differences compared to figures that have previously been published. </w:t>
      </w:r>
    </w:p>
    <w:p w:rsidR="00882481" w:rsidRPr="00FB0629" w:rsidP="00882481">
      <w:pPr>
        <w:rPr>
          <w:rFonts w:ascii="Verdana" w:hAnsi="Verdana" w:cs="Arial"/>
          <w:sz w:val="24"/>
          <w:szCs w:val="24"/>
        </w:rPr>
      </w:pPr>
      <w:r w:rsidRPr="00FB0629">
        <w:rPr>
          <w:rFonts w:ascii="Verdana" w:hAnsi="Verdana" w:cs="Arial"/>
          <w:sz w:val="24"/>
          <w:szCs w:val="24"/>
        </w:rPr>
        <w:t>To note s</w:t>
      </w:r>
      <w:r w:rsidRPr="00FB0629">
        <w:rPr>
          <w:rFonts w:ascii="Verdana" w:hAnsi="Verdana" w:cs="Arial"/>
          <w:sz w:val="24"/>
          <w:szCs w:val="24"/>
        </w:rPr>
        <w:t>ales data for 2025 is incomplete as sales data for 2025/2026 continue to be submitted by MAHs. </w:t>
      </w:r>
    </w:p>
    <w:p w:rsidR="00882481" w:rsidRPr="00FB0629" w:rsidP="00882481">
      <w:pPr>
        <w:rPr>
          <w:rFonts w:ascii="Verdana" w:hAnsi="Verdana" w:cs="Arial"/>
          <w:sz w:val="24"/>
          <w:szCs w:val="24"/>
        </w:rPr>
      </w:pPr>
      <w:r w:rsidRPr="00FB0629">
        <w:rPr>
          <w:rFonts w:ascii="Verdana" w:hAnsi="Verdana" w:cs="Arial"/>
          <w:sz w:val="24"/>
          <w:szCs w:val="24"/>
        </w:rPr>
        <w:t> </w:t>
      </w:r>
    </w:p>
    <w:p w:rsidR="00882481" w:rsidRPr="00FB0629" w:rsidP="00882481">
      <w:pPr>
        <w:rPr>
          <w:rFonts w:ascii="Verdana" w:hAnsi="Verdana" w:cs="Arial"/>
          <w:sz w:val="24"/>
          <w:szCs w:val="24"/>
        </w:rPr>
      </w:pPr>
      <w:r w:rsidRPr="00FB0629">
        <w:rPr>
          <w:rFonts w:ascii="Verdana" w:hAnsi="Verdana" w:cs="Arial"/>
          <w:b/>
          <w:bCs/>
          <w:sz w:val="24"/>
          <w:szCs w:val="24"/>
        </w:rPr>
        <w:t>Fipronil</w:t>
      </w:r>
      <w:r w:rsidRPr="00FB0629">
        <w:rPr>
          <w:rFonts w:ascii="Verdana" w:hAnsi="Verdana" w:cs="Arial"/>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95"/>
        <w:gridCol w:w="2475"/>
      </w:tblGrid>
      <w:tr>
        <w:tblPrEx>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270"/>
        </w:trPr>
        <w:tc>
          <w:tcPr>
            <w:tcW w:w="1995" w:type="dxa"/>
            <w:tcBorders>
              <w:top w:val="single" w:sz="6" w:space="0" w:color="auto"/>
              <w:left w:val="single" w:sz="6" w:space="0" w:color="auto"/>
              <w:bottom w:val="single" w:sz="6" w:space="0" w:color="auto"/>
              <w:right w:val="single" w:sz="6" w:space="0" w:color="auto"/>
            </w:tcBorders>
            <w:shd w:val="clear" w:color="auto" w:fill="C1E4F5"/>
            <w:hideMark/>
          </w:tcPr>
          <w:p w:rsidR="00882481" w:rsidRPr="00FB0629" w:rsidP="00882481">
            <w:pPr>
              <w:rPr>
                <w:rFonts w:ascii="Verdana" w:hAnsi="Verdana" w:cs="Arial"/>
                <w:sz w:val="24"/>
                <w:szCs w:val="24"/>
              </w:rPr>
            </w:pPr>
            <w:r w:rsidRPr="00FB0629">
              <w:rPr>
                <w:rFonts w:ascii="Verdana" w:hAnsi="Verdana" w:cs="Arial"/>
                <w:b/>
                <w:bCs/>
                <w:sz w:val="24"/>
                <w:szCs w:val="24"/>
              </w:rPr>
              <w:t>Spot-on</w:t>
            </w:r>
            <w:r w:rsidRPr="00FB0629">
              <w:rPr>
                <w:rFonts w:ascii="Verdana" w:hAnsi="Verdana" w:cs="Arial"/>
                <w:sz w:val="24"/>
                <w:szCs w:val="24"/>
              </w:rPr>
              <w:t> </w:t>
            </w:r>
          </w:p>
        </w:tc>
        <w:tc>
          <w:tcPr>
            <w:tcW w:w="2475" w:type="dxa"/>
            <w:tcBorders>
              <w:top w:val="single" w:sz="6" w:space="0" w:color="auto"/>
              <w:left w:val="single" w:sz="6" w:space="0" w:color="auto"/>
              <w:bottom w:val="single" w:sz="6" w:space="0" w:color="auto"/>
              <w:right w:val="single" w:sz="6" w:space="0" w:color="auto"/>
            </w:tcBorders>
            <w:shd w:val="clear" w:color="auto" w:fill="C1E4F5"/>
            <w:hideMark/>
          </w:tcPr>
          <w:p w:rsidR="00882481" w:rsidRPr="00FB0629" w:rsidP="00882481">
            <w:pPr>
              <w:rPr>
                <w:rFonts w:ascii="Verdana" w:hAnsi="Verdana" w:cs="Arial"/>
                <w:sz w:val="24"/>
                <w:szCs w:val="24"/>
              </w:rPr>
            </w:pPr>
            <w:r w:rsidRPr="00FB0629">
              <w:rPr>
                <w:rFonts w:ascii="Verdana" w:hAnsi="Verdana" w:cs="Arial"/>
                <w:b/>
                <w:bCs/>
                <w:sz w:val="24"/>
                <w:szCs w:val="24"/>
              </w:rPr>
              <w:t>Sales in kg</w:t>
            </w:r>
            <w:r w:rsidRPr="00FB0629">
              <w:rPr>
                <w:rFonts w:ascii="Verdana" w:hAnsi="Verdana" w:cs="Arial"/>
                <w:sz w:val="24"/>
                <w:szCs w:val="24"/>
              </w:rPr>
              <w:t> </w:t>
            </w:r>
          </w:p>
        </w:tc>
      </w:tr>
      <w:tr>
        <w:tblPrEx>
          <w:tblW w:w="0" w:type="dxa"/>
          <w:tblCellMar>
            <w:left w:w="0" w:type="dxa"/>
            <w:right w:w="0" w:type="dxa"/>
          </w:tblCellMar>
          <w:tblLook w:val="04A0"/>
        </w:tblPrEx>
        <w:trPr>
          <w:trHeight w:val="270"/>
        </w:trPr>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2014 </w:t>
            </w:r>
          </w:p>
        </w:tc>
        <w:tc>
          <w:tcPr>
            <w:tcW w:w="247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1038.86 </w:t>
            </w:r>
          </w:p>
        </w:tc>
      </w:tr>
      <w:tr>
        <w:tblPrEx>
          <w:tblW w:w="0" w:type="dxa"/>
          <w:tblCellMar>
            <w:left w:w="0" w:type="dxa"/>
            <w:right w:w="0" w:type="dxa"/>
          </w:tblCellMar>
          <w:tblLook w:val="04A0"/>
        </w:tblPrEx>
        <w:trPr>
          <w:trHeight w:val="270"/>
        </w:trPr>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2015 </w:t>
            </w:r>
          </w:p>
        </w:tc>
        <w:tc>
          <w:tcPr>
            <w:tcW w:w="247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1337.99 </w:t>
            </w:r>
          </w:p>
        </w:tc>
      </w:tr>
      <w:tr>
        <w:tblPrEx>
          <w:tblW w:w="0" w:type="dxa"/>
          <w:tblCellMar>
            <w:left w:w="0" w:type="dxa"/>
            <w:right w:w="0" w:type="dxa"/>
          </w:tblCellMar>
          <w:tblLook w:val="04A0"/>
        </w:tblPrEx>
        <w:trPr>
          <w:trHeight w:val="270"/>
        </w:trPr>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2016 </w:t>
            </w:r>
          </w:p>
        </w:tc>
        <w:tc>
          <w:tcPr>
            <w:tcW w:w="247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1498.90 </w:t>
            </w:r>
          </w:p>
        </w:tc>
      </w:tr>
      <w:tr>
        <w:tblPrEx>
          <w:tblW w:w="0" w:type="dxa"/>
          <w:tblCellMar>
            <w:left w:w="0" w:type="dxa"/>
            <w:right w:w="0" w:type="dxa"/>
          </w:tblCellMar>
          <w:tblLook w:val="04A0"/>
        </w:tblPrEx>
        <w:trPr>
          <w:trHeight w:val="270"/>
        </w:trPr>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2017 </w:t>
            </w:r>
          </w:p>
        </w:tc>
        <w:tc>
          <w:tcPr>
            <w:tcW w:w="247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1456.95 </w:t>
            </w:r>
          </w:p>
        </w:tc>
      </w:tr>
      <w:tr>
        <w:tblPrEx>
          <w:tblW w:w="0" w:type="dxa"/>
          <w:tblCellMar>
            <w:left w:w="0" w:type="dxa"/>
            <w:right w:w="0" w:type="dxa"/>
          </w:tblCellMar>
          <w:tblLook w:val="04A0"/>
        </w:tblPrEx>
        <w:trPr>
          <w:trHeight w:val="270"/>
        </w:trPr>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2018 </w:t>
            </w:r>
          </w:p>
        </w:tc>
        <w:tc>
          <w:tcPr>
            <w:tcW w:w="247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1199.17 </w:t>
            </w:r>
          </w:p>
        </w:tc>
      </w:tr>
      <w:tr>
        <w:tblPrEx>
          <w:tblW w:w="0" w:type="dxa"/>
          <w:tblCellMar>
            <w:left w:w="0" w:type="dxa"/>
            <w:right w:w="0" w:type="dxa"/>
          </w:tblCellMar>
          <w:tblLook w:val="04A0"/>
        </w:tblPrEx>
        <w:trPr>
          <w:trHeight w:val="270"/>
        </w:trPr>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2019 </w:t>
            </w:r>
          </w:p>
        </w:tc>
        <w:tc>
          <w:tcPr>
            <w:tcW w:w="247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1426.39 </w:t>
            </w:r>
          </w:p>
        </w:tc>
      </w:tr>
      <w:tr>
        <w:tblPrEx>
          <w:tblW w:w="0" w:type="dxa"/>
          <w:tblCellMar>
            <w:left w:w="0" w:type="dxa"/>
            <w:right w:w="0" w:type="dxa"/>
          </w:tblCellMar>
          <w:tblLook w:val="04A0"/>
        </w:tblPrEx>
        <w:trPr>
          <w:trHeight w:val="270"/>
        </w:trPr>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2020 </w:t>
            </w:r>
          </w:p>
        </w:tc>
        <w:tc>
          <w:tcPr>
            <w:tcW w:w="247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1555.35 </w:t>
            </w:r>
          </w:p>
        </w:tc>
      </w:tr>
      <w:tr>
        <w:tblPrEx>
          <w:tblW w:w="0" w:type="dxa"/>
          <w:tblCellMar>
            <w:left w:w="0" w:type="dxa"/>
            <w:right w:w="0" w:type="dxa"/>
          </w:tblCellMar>
          <w:tblLook w:val="04A0"/>
        </w:tblPrEx>
        <w:trPr>
          <w:trHeight w:val="270"/>
        </w:trPr>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2021 </w:t>
            </w:r>
          </w:p>
        </w:tc>
        <w:tc>
          <w:tcPr>
            <w:tcW w:w="247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1941.95 </w:t>
            </w:r>
          </w:p>
        </w:tc>
      </w:tr>
      <w:tr>
        <w:tblPrEx>
          <w:tblW w:w="0" w:type="dxa"/>
          <w:tblCellMar>
            <w:left w:w="0" w:type="dxa"/>
            <w:right w:w="0" w:type="dxa"/>
          </w:tblCellMar>
          <w:tblLook w:val="04A0"/>
        </w:tblPrEx>
        <w:trPr>
          <w:trHeight w:val="270"/>
        </w:trPr>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2022 </w:t>
            </w:r>
          </w:p>
        </w:tc>
        <w:tc>
          <w:tcPr>
            <w:tcW w:w="247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1819.59 </w:t>
            </w:r>
          </w:p>
        </w:tc>
      </w:tr>
      <w:tr>
        <w:tblPrEx>
          <w:tblW w:w="0" w:type="dxa"/>
          <w:tblCellMar>
            <w:left w:w="0" w:type="dxa"/>
            <w:right w:w="0" w:type="dxa"/>
          </w:tblCellMar>
          <w:tblLook w:val="04A0"/>
        </w:tblPrEx>
        <w:trPr>
          <w:trHeight w:val="270"/>
        </w:trPr>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2023 </w:t>
            </w:r>
          </w:p>
        </w:tc>
        <w:tc>
          <w:tcPr>
            <w:tcW w:w="247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1707.19 </w:t>
            </w:r>
          </w:p>
        </w:tc>
      </w:tr>
      <w:tr>
        <w:tblPrEx>
          <w:tblW w:w="0" w:type="dxa"/>
          <w:tblCellMar>
            <w:left w:w="0" w:type="dxa"/>
            <w:right w:w="0" w:type="dxa"/>
          </w:tblCellMar>
          <w:tblLook w:val="04A0"/>
        </w:tblPrEx>
        <w:trPr>
          <w:trHeight w:val="270"/>
        </w:trPr>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2024 </w:t>
            </w:r>
          </w:p>
        </w:tc>
        <w:tc>
          <w:tcPr>
            <w:tcW w:w="247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1572.04 </w:t>
            </w:r>
          </w:p>
        </w:tc>
      </w:tr>
      <w:tr>
        <w:tblPrEx>
          <w:tblW w:w="0" w:type="dxa"/>
          <w:tblCellMar>
            <w:left w:w="0" w:type="dxa"/>
            <w:right w:w="0" w:type="dxa"/>
          </w:tblCellMar>
          <w:tblLook w:val="04A0"/>
        </w:tblPrEx>
        <w:trPr>
          <w:trHeight w:val="270"/>
        </w:trPr>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2025 </w:t>
            </w:r>
          </w:p>
        </w:tc>
        <w:tc>
          <w:tcPr>
            <w:tcW w:w="247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1018.40 </w:t>
            </w:r>
          </w:p>
        </w:tc>
      </w:tr>
    </w:tbl>
    <w:p w:rsidR="00882481" w:rsidRPr="00FB0629" w:rsidP="00882481">
      <w:pPr>
        <w:rPr>
          <w:rFonts w:ascii="Verdana" w:hAnsi="Verdana" w:cs="Arial"/>
          <w:sz w:val="24"/>
          <w:szCs w:val="24"/>
        </w:rPr>
      </w:pPr>
      <w:r w:rsidRPr="00FB0629">
        <w:rPr>
          <w:rFonts w:ascii="Verdana" w:hAnsi="Verdana" w:cs="Arial"/>
          <w:sz w:val="24"/>
          <w:szCs w:val="24"/>
        </w:rPr>
        <w:t> </w:t>
      </w:r>
    </w:p>
    <w:p w:rsidR="001434B1" w:rsidRPr="00FB0629" w:rsidP="00882481">
      <w:pPr>
        <w:rPr>
          <w:rFonts w:ascii="Verdana" w:hAnsi="Verdana" w:cs="Arial"/>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050"/>
        <w:gridCol w:w="2535"/>
      </w:tblGrid>
      <w:tr>
        <w:tblPrEx>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270"/>
        </w:trPr>
        <w:tc>
          <w:tcPr>
            <w:tcW w:w="1050" w:type="dxa"/>
            <w:tcBorders>
              <w:top w:val="single" w:sz="6" w:space="0" w:color="auto"/>
              <w:left w:val="single" w:sz="6" w:space="0" w:color="auto"/>
              <w:bottom w:val="single" w:sz="6" w:space="0" w:color="auto"/>
              <w:right w:val="single" w:sz="6" w:space="0" w:color="auto"/>
            </w:tcBorders>
            <w:shd w:val="clear" w:color="auto" w:fill="C1E4F5"/>
            <w:hideMark/>
          </w:tcPr>
          <w:p w:rsidR="00882481" w:rsidRPr="00FB0629" w:rsidP="00882481">
            <w:pPr>
              <w:rPr>
                <w:rFonts w:ascii="Verdana" w:hAnsi="Verdana" w:cs="Arial"/>
                <w:sz w:val="24"/>
                <w:szCs w:val="24"/>
              </w:rPr>
            </w:pPr>
            <w:r w:rsidRPr="00FB0629">
              <w:rPr>
                <w:rFonts w:ascii="Verdana" w:hAnsi="Verdana" w:cs="Arial"/>
                <w:b/>
                <w:bCs/>
                <w:sz w:val="24"/>
                <w:szCs w:val="24"/>
              </w:rPr>
              <w:t>Spray</w:t>
            </w:r>
            <w:r w:rsidRPr="00FB0629">
              <w:rPr>
                <w:rFonts w:ascii="Verdana" w:hAnsi="Verdana" w:cs="Arial"/>
                <w:sz w:val="24"/>
                <w:szCs w:val="24"/>
              </w:rPr>
              <w:t> </w:t>
            </w:r>
          </w:p>
        </w:tc>
        <w:tc>
          <w:tcPr>
            <w:tcW w:w="2535" w:type="dxa"/>
            <w:tcBorders>
              <w:top w:val="single" w:sz="6" w:space="0" w:color="auto"/>
              <w:left w:val="single" w:sz="6" w:space="0" w:color="auto"/>
              <w:bottom w:val="single" w:sz="6" w:space="0" w:color="auto"/>
              <w:right w:val="single" w:sz="6" w:space="0" w:color="auto"/>
            </w:tcBorders>
            <w:shd w:val="clear" w:color="auto" w:fill="C1E4F5"/>
            <w:hideMark/>
          </w:tcPr>
          <w:p w:rsidR="00882481" w:rsidRPr="00FB0629" w:rsidP="00882481">
            <w:pPr>
              <w:rPr>
                <w:rFonts w:ascii="Verdana" w:hAnsi="Verdana" w:cs="Arial"/>
                <w:sz w:val="24"/>
                <w:szCs w:val="24"/>
              </w:rPr>
            </w:pPr>
            <w:r w:rsidRPr="00FB0629">
              <w:rPr>
                <w:rFonts w:ascii="Verdana" w:hAnsi="Verdana" w:cs="Arial"/>
                <w:b/>
                <w:bCs/>
                <w:sz w:val="24"/>
                <w:szCs w:val="24"/>
              </w:rPr>
              <w:t>Sales in kg</w:t>
            </w:r>
            <w:r w:rsidRPr="00FB0629">
              <w:rPr>
                <w:rFonts w:ascii="Verdana" w:hAnsi="Verdana" w:cs="Arial"/>
                <w:sz w:val="24"/>
                <w:szCs w:val="24"/>
              </w:rPr>
              <w:t> </w:t>
            </w:r>
          </w:p>
        </w:tc>
      </w:tr>
      <w:tr>
        <w:tblPrEx>
          <w:tblW w:w="0" w:type="dxa"/>
          <w:tblCellMar>
            <w:left w:w="0" w:type="dxa"/>
            <w:right w:w="0" w:type="dxa"/>
          </w:tblCellMar>
          <w:tblLook w:val="04A0"/>
        </w:tblPrEx>
        <w:trPr>
          <w:trHeight w:val="270"/>
        </w:trPr>
        <w:tc>
          <w:tcPr>
            <w:tcW w:w="105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2014 </w:t>
            </w:r>
          </w:p>
        </w:tc>
        <w:tc>
          <w:tcPr>
            <w:tcW w:w="25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5.35 </w:t>
            </w:r>
          </w:p>
        </w:tc>
      </w:tr>
      <w:tr>
        <w:tblPrEx>
          <w:tblW w:w="0" w:type="dxa"/>
          <w:tblCellMar>
            <w:left w:w="0" w:type="dxa"/>
            <w:right w:w="0" w:type="dxa"/>
          </w:tblCellMar>
          <w:tblLook w:val="04A0"/>
        </w:tblPrEx>
        <w:trPr>
          <w:trHeight w:val="270"/>
        </w:trPr>
        <w:tc>
          <w:tcPr>
            <w:tcW w:w="105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2015 </w:t>
            </w:r>
          </w:p>
        </w:tc>
        <w:tc>
          <w:tcPr>
            <w:tcW w:w="25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6.63 </w:t>
            </w:r>
          </w:p>
        </w:tc>
      </w:tr>
      <w:tr>
        <w:tblPrEx>
          <w:tblW w:w="0" w:type="dxa"/>
          <w:tblCellMar>
            <w:left w:w="0" w:type="dxa"/>
            <w:right w:w="0" w:type="dxa"/>
          </w:tblCellMar>
          <w:tblLook w:val="04A0"/>
        </w:tblPrEx>
        <w:trPr>
          <w:trHeight w:val="270"/>
        </w:trPr>
        <w:tc>
          <w:tcPr>
            <w:tcW w:w="105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2016 </w:t>
            </w:r>
          </w:p>
        </w:tc>
        <w:tc>
          <w:tcPr>
            <w:tcW w:w="25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4.51 </w:t>
            </w:r>
          </w:p>
        </w:tc>
      </w:tr>
      <w:tr>
        <w:tblPrEx>
          <w:tblW w:w="0" w:type="dxa"/>
          <w:tblCellMar>
            <w:left w:w="0" w:type="dxa"/>
            <w:right w:w="0" w:type="dxa"/>
          </w:tblCellMar>
          <w:tblLook w:val="04A0"/>
        </w:tblPrEx>
        <w:trPr>
          <w:trHeight w:val="270"/>
        </w:trPr>
        <w:tc>
          <w:tcPr>
            <w:tcW w:w="105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2017 </w:t>
            </w:r>
          </w:p>
        </w:tc>
        <w:tc>
          <w:tcPr>
            <w:tcW w:w="25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7.77 </w:t>
            </w:r>
          </w:p>
        </w:tc>
      </w:tr>
      <w:tr>
        <w:tblPrEx>
          <w:tblW w:w="0" w:type="dxa"/>
          <w:tblCellMar>
            <w:left w:w="0" w:type="dxa"/>
            <w:right w:w="0" w:type="dxa"/>
          </w:tblCellMar>
          <w:tblLook w:val="04A0"/>
        </w:tblPrEx>
        <w:trPr>
          <w:trHeight w:val="270"/>
        </w:trPr>
        <w:tc>
          <w:tcPr>
            <w:tcW w:w="105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2018 </w:t>
            </w:r>
          </w:p>
        </w:tc>
        <w:tc>
          <w:tcPr>
            <w:tcW w:w="25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6.21 </w:t>
            </w:r>
          </w:p>
        </w:tc>
      </w:tr>
      <w:tr>
        <w:tblPrEx>
          <w:tblW w:w="0" w:type="dxa"/>
          <w:tblCellMar>
            <w:left w:w="0" w:type="dxa"/>
            <w:right w:w="0" w:type="dxa"/>
          </w:tblCellMar>
          <w:tblLook w:val="04A0"/>
        </w:tblPrEx>
        <w:trPr>
          <w:trHeight w:val="270"/>
        </w:trPr>
        <w:tc>
          <w:tcPr>
            <w:tcW w:w="105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2019 </w:t>
            </w:r>
          </w:p>
        </w:tc>
        <w:tc>
          <w:tcPr>
            <w:tcW w:w="25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4.33 </w:t>
            </w:r>
          </w:p>
        </w:tc>
      </w:tr>
      <w:tr>
        <w:tblPrEx>
          <w:tblW w:w="0" w:type="dxa"/>
          <w:tblCellMar>
            <w:left w:w="0" w:type="dxa"/>
            <w:right w:w="0" w:type="dxa"/>
          </w:tblCellMar>
          <w:tblLook w:val="04A0"/>
        </w:tblPrEx>
        <w:trPr>
          <w:trHeight w:val="270"/>
        </w:trPr>
        <w:tc>
          <w:tcPr>
            <w:tcW w:w="105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2020 </w:t>
            </w:r>
          </w:p>
        </w:tc>
        <w:tc>
          <w:tcPr>
            <w:tcW w:w="25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3.01 </w:t>
            </w:r>
          </w:p>
        </w:tc>
      </w:tr>
      <w:tr>
        <w:tblPrEx>
          <w:tblW w:w="0" w:type="dxa"/>
          <w:tblCellMar>
            <w:left w:w="0" w:type="dxa"/>
            <w:right w:w="0" w:type="dxa"/>
          </w:tblCellMar>
          <w:tblLook w:val="04A0"/>
        </w:tblPrEx>
        <w:trPr>
          <w:trHeight w:val="270"/>
        </w:trPr>
        <w:tc>
          <w:tcPr>
            <w:tcW w:w="105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2021 </w:t>
            </w:r>
          </w:p>
        </w:tc>
        <w:tc>
          <w:tcPr>
            <w:tcW w:w="25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12.10 </w:t>
            </w:r>
          </w:p>
        </w:tc>
      </w:tr>
      <w:tr>
        <w:tblPrEx>
          <w:tblW w:w="0" w:type="dxa"/>
          <w:tblCellMar>
            <w:left w:w="0" w:type="dxa"/>
            <w:right w:w="0" w:type="dxa"/>
          </w:tblCellMar>
          <w:tblLook w:val="04A0"/>
        </w:tblPrEx>
        <w:trPr>
          <w:trHeight w:val="270"/>
        </w:trPr>
        <w:tc>
          <w:tcPr>
            <w:tcW w:w="105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2022 </w:t>
            </w:r>
          </w:p>
        </w:tc>
        <w:tc>
          <w:tcPr>
            <w:tcW w:w="25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15.21 </w:t>
            </w:r>
          </w:p>
        </w:tc>
      </w:tr>
      <w:tr>
        <w:tblPrEx>
          <w:tblW w:w="0" w:type="dxa"/>
          <w:tblCellMar>
            <w:left w:w="0" w:type="dxa"/>
            <w:right w:w="0" w:type="dxa"/>
          </w:tblCellMar>
          <w:tblLook w:val="04A0"/>
        </w:tblPrEx>
        <w:trPr>
          <w:trHeight w:val="270"/>
        </w:trPr>
        <w:tc>
          <w:tcPr>
            <w:tcW w:w="105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2023 </w:t>
            </w:r>
          </w:p>
        </w:tc>
        <w:tc>
          <w:tcPr>
            <w:tcW w:w="25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14.38 </w:t>
            </w:r>
          </w:p>
        </w:tc>
      </w:tr>
      <w:tr>
        <w:tblPrEx>
          <w:tblW w:w="0" w:type="dxa"/>
          <w:tblCellMar>
            <w:left w:w="0" w:type="dxa"/>
            <w:right w:w="0" w:type="dxa"/>
          </w:tblCellMar>
          <w:tblLook w:val="04A0"/>
        </w:tblPrEx>
        <w:trPr>
          <w:trHeight w:val="270"/>
        </w:trPr>
        <w:tc>
          <w:tcPr>
            <w:tcW w:w="105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2024 </w:t>
            </w:r>
          </w:p>
        </w:tc>
        <w:tc>
          <w:tcPr>
            <w:tcW w:w="25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8.19 </w:t>
            </w:r>
          </w:p>
        </w:tc>
      </w:tr>
      <w:tr>
        <w:tblPrEx>
          <w:tblW w:w="0" w:type="dxa"/>
          <w:tblCellMar>
            <w:left w:w="0" w:type="dxa"/>
            <w:right w:w="0" w:type="dxa"/>
          </w:tblCellMar>
          <w:tblLook w:val="04A0"/>
        </w:tblPrEx>
        <w:trPr>
          <w:trHeight w:val="270"/>
        </w:trPr>
        <w:tc>
          <w:tcPr>
            <w:tcW w:w="105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2025 </w:t>
            </w:r>
          </w:p>
        </w:tc>
        <w:tc>
          <w:tcPr>
            <w:tcW w:w="25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34.47 </w:t>
            </w:r>
          </w:p>
        </w:tc>
      </w:tr>
    </w:tbl>
    <w:p w:rsidR="00882481" w:rsidRPr="00FB0629" w:rsidP="00882481">
      <w:pPr>
        <w:rPr>
          <w:rFonts w:ascii="Verdana" w:hAnsi="Verdana" w:cs="Arial"/>
          <w:sz w:val="24"/>
          <w:szCs w:val="24"/>
        </w:rPr>
      </w:pPr>
      <w:r w:rsidRPr="00FB0629">
        <w:rPr>
          <w:rFonts w:ascii="Verdana" w:hAnsi="Verdana" w:cs="Arial"/>
          <w:sz w:val="24"/>
          <w:szCs w:val="24"/>
        </w:rPr>
        <w:t> </w:t>
      </w:r>
    </w:p>
    <w:p w:rsidR="00882481" w:rsidRPr="00FB0629" w:rsidP="00882481">
      <w:pPr>
        <w:rPr>
          <w:rFonts w:ascii="Verdana" w:hAnsi="Verdana" w:cs="Arial"/>
          <w:sz w:val="24"/>
          <w:szCs w:val="24"/>
        </w:rPr>
      </w:pPr>
      <w:r w:rsidRPr="00FB0629">
        <w:rPr>
          <w:rFonts w:ascii="Verdana" w:hAnsi="Verdana" w:cs="Arial"/>
          <w:b/>
          <w:bCs/>
          <w:sz w:val="24"/>
          <w:szCs w:val="24"/>
        </w:rPr>
        <w:t>Imidacloprid</w:t>
      </w:r>
      <w:r w:rsidRPr="00FB0629">
        <w:rPr>
          <w:rFonts w:ascii="Verdana" w:hAnsi="Verdana" w:cs="Arial"/>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635"/>
        <w:gridCol w:w="2670"/>
      </w:tblGrid>
      <w:tr>
        <w:tblPrEx>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270"/>
        </w:trPr>
        <w:tc>
          <w:tcPr>
            <w:tcW w:w="1635" w:type="dxa"/>
            <w:tcBorders>
              <w:top w:val="single" w:sz="6" w:space="0" w:color="auto"/>
              <w:left w:val="single" w:sz="6" w:space="0" w:color="auto"/>
              <w:bottom w:val="single" w:sz="6" w:space="0" w:color="auto"/>
              <w:right w:val="single" w:sz="6" w:space="0" w:color="auto"/>
            </w:tcBorders>
            <w:shd w:val="clear" w:color="auto" w:fill="C1E4F5"/>
            <w:hideMark/>
          </w:tcPr>
          <w:p w:rsidR="00882481" w:rsidRPr="00FB0629" w:rsidP="00882481">
            <w:pPr>
              <w:rPr>
                <w:rFonts w:ascii="Verdana" w:hAnsi="Verdana" w:cs="Arial"/>
                <w:sz w:val="24"/>
                <w:szCs w:val="24"/>
              </w:rPr>
            </w:pPr>
            <w:r w:rsidRPr="00FB0629">
              <w:rPr>
                <w:rFonts w:ascii="Verdana" w:hAnsi="Verdana" w:cs="Arial"/>
                <w:b/>
                <w:bCs/>
                <w:sz w:val="24"/>
                <w:szCs w:val="24"/>
              </w:rPr>
              <w:t>Spot-on</w:t>
            </w:r>
            <w:r w:rsidRPr="00FB0629">
              <w:rPr>
                <w:rFonts w:ascii="Verdana" w:hAnsi="Verdana" w:cs="Arial"/>
                <w:sz w:val="24"/>
                <w:szCs w:val="24"/>
              </w:rPr>
              <w:t> </w:t>
            </w:r>
          </w:p>
        </w:tc>
        <w:tc>
          <w:tcPr>
            <w:tcW w:w="2670" w:type="dxa"/>
            <w:tcBorders>
              <w:top w:val="single" w:sz="6" w:space="0" w:color="auto"/>
              <w:left w:val="single" w:sz="6" w:space="0" w:color="auto"/>
              <w:bottom w:val="single" w:sz="6" w:space="0" w:color="auto"/>
              <w:right w:val="single" w:sz="6" w:space="0" w:color="auto"/>
            </w:tcBorders>
            <w:shd w:val="clear" w:color="auto" w:fill="C1E4F5"/>
            <w:hideMark/>
          </w:tcPr>
          <w:p w:rsidR="00882481" w:rsidRPr="00FB0629" w:rsidP="00882481">
            <w:pPr>
              <w:rPr>
                <w:rFonts w:ascii="Verdana" w:hAnsi="Verdana" w:cs="Arial"/>
                <w:sz w:val="24"/>
                <w:szCs w:val="24"/>
              </w:rPr>
            </w:pPr>
            <w:r w:rsidRPr="00FB0629">
              <w:rPr>
                <w:rFonts w:ascii="Verdana" w:hAnsi="Verdana" w:cs="Arial"/>
                <w:b/>
                <w:bCs/>
                <w:sz w:val="24"/>
                <w:szCs w:val="24"/>
              </w:rPr>
              <w:t>Sales in kg</w:t>
            </w:r>
            <w:r w:rsidRPr="00FB0629">
              <w:rPr>
                <w:rFonts w:ascii="Verdana" w:hAnsi="Verdana" w:cs="Arial"/>
                <w:sz w:val="24"/>
                <w:szCs w:val="24"/>
              </w:rPr>
              <w:t> </w:t>
            </w:r>
          </w:p>
        </w:tc>
      </w:tr>
      <w:tr>
        <w:tblPrEx>
          <w:tblW w:w="0" w:type="dxa"/>
          <w:tblCellMar>
            <w:left w:w="0" w:type="dxa"/>
            <w:right w:w="0" w:type="dxa"/>
          </w:tblCellMar>
          <w:tblLook w:val="04A0"/>
        </w:tblPrEx>
        <w:trPr>
          <w:trHeight w:val="270"/>
        </w:trPr>
        <w:tc>
          <w:tcPr>
            <w:tcW w:w="16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2014 </w:t>
            </w:r>
          </w:p>
        </w:tc>
        <w:tc>
          <w:tcPr>
            <w:tcW w:w="267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2776.22 </w:t>
            </w:r>
          </w:p>
        </w:tc>
      </w:tr>
      <w:tr>
        <w:tblPrEx>
          <w:tblW w:w="0" w:type="dxa"/>
          <w:tblCellMar>
            <w:left w:w="0" w:type="dxa"/>
            <w:right w:w="0" w:type="dxa"/>
          </w:tblCellMar>
          <w:tblLook w:val="04A0"/>
        </w:tblPrEx>
        <w:trPr>
          <w:trHeight w:val="270"/>
        </w:trPr>
        <w:tc>
          <w:tcPr>
            <w:tcW w:w="16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2015 </w:t>
            </w:r>
          </w:p>
        </w:tc>
        <w:tc>
          <w:tcPr>
            <w:tcW w:w="267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3467.45 </w:t>
            </w:r>
          </w:p>
        </w:tc>
      </w:tr>
      <w:tr>
        <w:tblPrEx>
          <w:tblW w:w="0" w:type="dxa"/>
          <w:tblCellMar>
            <w:left w:w="0" w:type="dxa"/>
            <w:right w:w="0" w:type="dxa"/>
          </w:tblCellMar>
          <w:tblLook w:val="04A0"/>
        </w:tblPrEx>
        <w:trPr>
          <w:trHeight w:val="270"/>
        </w:trPr>
        <w:tc>
          <w:tcPr>
            <w:tcW w:w="16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2016 </w:t>
            </w:r>
          </w:p>
        </w:tc>
        <w:tc>
          <w:tcPr>
            <w:tcW w:w="267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3724.62 </w:t>
            </w:r>
          </w:p>
        </w:tc>
      </w:tr>
      <w:tr>
        <w:tblPrEx>
          <w:tblW w:w="0" w:type="dxa"/>
          <w:tblCellMar>
            <w:left w:w="0" w:type="dxa"/>
            <w:right w:w="0" w:type="dxa"/>
          </w:tblCellMar>
          <w:tblLook w:val="04A0"/>
        </w:tblPrEx>
        <w:trPr>
          <w:trHeight w:val="270"/>
        </w:trPr>
        <w:tc>
          <w:tcPr>
            <w:tcW w:w="16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2017 </w:t>
            </w:r>
          </w:p>
        </w:tc>
        <w:tc>
          <w:tcPr>
            <w:tcW w:w="267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3457.26 </w:t>
            </w:r>
          </w:p>
        </w:tc>
      </w:tr>
      <w:tr>
        <w:tblPrEx>
          <w:tblW w:w="0" w:type="dxa"/>
          <w:tblCellMar>
            <w:left w:w="0" w:type="dxa"/>
            <w:right w:w="0" w:type="dxa"/>
          </w:tblCellMar>
          <w:tblLook w:val="04A0"/>
        </w:tblPrEx>
        <w:trPr>
          <w:trHeight w:val="270"/>
        </w:trPr>
        <w:tc>
          <w:tcPr>
            <w:tcW w:w="16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2018 </w:t>
            </w:r>
          </w:p>
        </w:tc>
        <w:tc>
          <w:tcPr>
            <w:tcW w:w="267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2821.79 </w:t>
            </w:r>
          </w:p>
        </w:tc>
      </w:tr>
      <w:tr>
        <w:tblPrEx>
          <w:tblW w:w="0" w:type="dxa"/>
          <w:tblCellMar>
            <w:left w:w="0" w:type="dxa"/>
            <w:right w:w="0" w:type="dxa"/>
          </w:tblCellMar>
          <w:tblLook w:val="04A0"/>
        </w:tblPrEx>
        <w:trPr>
          <w:trHeight w:val="270"/>
        </w:trPr>
        <w:tc>
          <w:tcPr>
            <w:tcW w:w="16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2019 </w:t>
            </w:r>
          </w:p>
        </w:tc>
        <w:tc>
          <w:tcPr>
            <w:tcW w:w="267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1981.56 </w:t>
            </w:r>
          </w:p>
        </w:tc>
      </w:tr>
      <w:tr>
        <w:tblPrEx>
          <w:tblW w:w="0" w:type="dxa"/>
          <w:tblCellMar>
            <w:left w:w="0" w:type="dxa"/>
            <w:right w:w="0" w:type="dxa"/>
          </w:tblCellMar>
          <w:tblLook w:val="04A0"/>
        </w:tblPrEx>
        <w:trPr>
          <w:trHeight w:val="270"/>
        </w:trPr>
        <w:tc>
          <w:tcPr>
            <w:tcW w:w="16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2020 </w:t>
            </w:r>
          </w:p>
        </w:tc>
        <w:tc>
          <w:tcPr>
            <w:tcW w:w="267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2282.08 </w:t>
            </w:r>
          </w:p>
        </w:tc>
      </w:tr>
      <w:tr>
        <w:tblPrEx>
          <w:tblW w:w="0" w:type="dxa"/>
          <w:tblCellMar>
            <w:left w:w="0" w:type="dxa"/>
            <w:right w:w="0" w:type="dxa"/>
          </w:tblCellMar>
          <w:tblLook w:val="04A0"/>
        </w:tblPrEx>
        <w:trPr>
          <w:trHeight w:val="270"/>
        </w:trPr>
        <w:tc>
          <w:tcPr>
            <w:tcW w:w="16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2021 </w:t>
            </w:r>
          </w:p>
        </w:tc>
        <w:tc>
          <w:tcPr>
            <w:tcW w:w="267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1862.94 </w:t>
            </w:r>
          </w:p>
        </w:tc>
      </w:tr>
      <w:tr>
        <w:tblPrEx>
          <w:tblW w:w="0" w:type="dxa"/>
          <w:tblCellMar>
            <w:left w:w="0" w:type="dxa"/>
            <w:right w:w="0" w:type="dxa"/>
          </w:tblCellMar>
          <w:tblLook w:val="04A0"/>
        </w:tblPrEx>
        <w:trPr>
          <w:trHeight w:val="270"/>
        </w:trPr>
        <w:tc>
          <w:tcPr>
            <w:tcW w:w="16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2022 </w:t>
            </w:r>
          </w:p>
        </w:tc>
        <w:tc>
          <w:tcPr>
            <w:tcW w:w="267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1726.78 </w:t>
            </w:r>
          </w:p>
        </w:tc>
      </w:tr>
      <w:tr>
        <w:tblPrEx>
          <w:tblW w:w="0" w:type="dxa"/>
          <w:tblCellMar>
            <w:left w:w="0" w:type="dxa"/>
            <w:right w:w="0" w:type="dxa"/>
          </w:tblCellMar>
          <w:tblLook w:val="04A0"/>
        </w:tblPrEx>
        <w:trPr>
          <w:trHeight w:val="270"/>
        </w:trPr>
        <w:tc>
          <w:tcPr>
            <w:tcW w:w="16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2023 </w:t>
            </w:r>
          </w:p>
        </w:tc>
        <w:tc>
          <w:tcPr>
            <w:tcW w:w="267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2274.27 </w:t>
            </w:r>
          </w:p>
        </w:tc>
      </w:tr>
      <w:tr>
        <w:tblPrEx>
          <w:tblW w:w="0" w:type="dxa"/>
          <w:tblCellMar>
            <w:left w:w="0" w:type="dxa"/>
            <w:right w:w="0" w:type="dxa"/>
          </w:tblCellMar>
          <w:tblLook w:val="04A0"/>
        </w:tblPrEx>
        <w:trPr>
          <w:trHeight w:val="270"/>
        </w:trPr>
        <w:tc>
          <w:tcPr>
            <w:tcW w:w="16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2024 </w:t>
            </w:r>
          </w:p>
        </w:tc>
        <w:tc>
          <w:tcPr>
            <w:tcW w:w="267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1998.71 </w:t>
            </w:r>
          </w:p>
        </w:tc>
      </w:tr>
      <w:tr>
        <w:tblPrEx>
          <w:tblW w:w="0" w:type="dxa"/>
          <w:tblCellMar>
            <w:left w:w="0" w:type="dxa"/>
            <w:right w:w="0" w:type="dxa"/>
          </w:tblCellMar>
          <w:tblLook w:val="04A0"/>
        </w:tblPrEx>
        <w:trPr>
          <w:trHeight w:val="270"/>
        </w:trPr>
        <w:tc>
          <w:tcPr>
            <w:tcW w:w="163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2025 </w:t>
            </w:r>
          </w:p>
        </w:tc>
        <w:tc>
          <w:tcPr>
            <w:tcW w:w="267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709.78 </w:t>
            </w:r>
          </w:p>
        </w:tc>
      </w:tr>
    </w:tbl>
    <w:p w:rsidR="00882481" w:rsidRPr="00FB0629" w:rsidP="127F05F7">
      <w:pPr>
        <w:rPr>
          <w:rFonts w:ascii="Verdana" w:hAnsi="Verdana" w:cs="Arial"/>
          <w:sz w:val="24"/>
          <w:szCs w:val="24"/>
        </w:rPr>
      </w:pPr>
      <w:r w:rsidRPr="00FB0629">
        <w:rPr>
          <w:rFonts w:ascii="Verdana" w:hAnsi="Verdana" w:cs="Arial"/>
          <w:b/>
          <w:bCs/>
          <w:sz w:val="24"/>
          <w:szCs w:val="24"/>
        </w:rPr>
        <w:t>Isooxazolines</w:t>
      </w:r>
      <w:r w:rsidRPr="00FB0629">
        <w:rPr>
          <w:rFonts w:ascii="Verdana" w:hAnsi="Verdana" w:cs="Arial"/>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00"/>
        <w:gridCol w:w="1995"/>
      </w:tblGrid>
      <w:tr>
        <w:tblPrEx>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shd w:val="clear" w:color="auto" w:fill="CAEDFB"/>
            <w:hideMark/>
          </w:tcPr>
          <w:p w:rsidR="00882481" w:rsidRPr="00FB0629" w:rsidP="00882481">
            <w:pPr>
              <w:rPr>
                <w:rFonts w:ascii="Verdana" w:hAnsi="Verdana" w:cs="Arial"/>
                <w:sz w:val="24"/>
                <w:szCs w:val="24"/>
              </w:rPr>
            </w:pPr>
            <w:r w:rsidRPr="00FB0629">
              <w:rPr>
                <w:rFonts w:ascii="Verdana" w:hAnsi="Verdana" w:cs="Arial"/>
                <w:b/>
                <w:bCs/>
                <w:sz w:val="24"/>
                <w:szCs w:val="24"/>
              </w:rPr>
              <w:t>Spot-on</w:t>
            </w:r>
            <w:r w:rsidRPr="00FB0629">
              <w:rPr>
                <w:rFonts w:ascii="Verdana" w:hAnsi="Verdana" w:cs="Arial"/>
                <w:sz w:val="24"/>
                <w:szCs w:val="24"/>
              </w:rPr>
              <w:t> </w:t>
            </w:r>
          </w:p>
        </w:tc>
        <w:tc>
          <w:tcPr>
            <w:tcW w:w="1995" w:type="dxa"/>
            <w:tcBorders>
              <w:top w:val="single" w:sz="6" w:space="0" w:color="auto"/>
              <w:left w:val="single" w:sz="6" w:space="0" w:color="auto"/>
              <w:bottom w:val="single" w:sz="6" w:space="0" w:color="auto"/>
              <w:right w:val="single" w:sz="6" w:space="0" w:color="auto"/>
            </w:tcBorders>
            <w:shd w:val="clear" w:color="auto" w:fill="CAEDFB"/>
            <w:hideMark/>
          </w:tcPr>
          <w:p w:rsidR="00882481" w:rsidRPr="00FB0629" w:rsidP="00882481">
            <w:pPr>
              <w:rPr>
                <w:rFonts w:ascii="Verdana" w:hAnsi="Verdana" w:cs="Arial"/>
                <w:sz w:val="24"/>
                <w:szCs w:val="24"/>
              </w:rPr>
            </w:pPr>
            <w:r w:rsidRPr="00FB0629">
              <w:rPr>
                <w:rFonts w:ascii="Verdana" w:hAnsi="Verdana" w:cs="Arial"/>
                <w:b/>
                <w:bCs/>
                <w:sz w:val="24"/>
                <w:szCs w:val="24"/>
              </w:rPr>
              <w:t>Sales in kg</w:t>
            </w:r>
            <w:r w:rsidRPr="00FB0629">
              <w:rPr>
                <w:rFonts w:ascii="Verdana" w:hAnsi="Verdana" w:cs="Arial"/>
                <w:sz w:val="24"/>
                <w:szCs w:val="24"/>
              </w:rPr>
              <w:t>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2016 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38.43 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2017 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132.51 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2018 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238.09 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2019 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376.95 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2020 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275.47 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2021 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447.66 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2022 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489.38 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2023 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604.42 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2024 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714.31 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2025 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145.74 </w:t>
            </w:r>
          </w:p>
        </w:tc>
      </w:tr>
    </w:tbl>
    <w:p w:rsidR="00882481" w:rsidRPr="00FB0629" w:rsidP="00882481">
      <w:pPr>
        <w:rPr>
          <w:rFonts w:ascii="Verdana" w:hAnsi="Verdana" w:cs="Arial"/>
          <w:sz w:val="24"/>
          <w:szCs w:val="24"/>
        </w:rPr>
      </w:pPr>
      <w:r w:rsidRPr="00FB0629">
        <w:rPr>
          <w:rFonts w:ascii="Verdana" w:hAnsi="Verdana" w:cs="Arial"/>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00"/>
        <w:gridCol w:w="1995"/>
      </w:tblGrid>
      <w:tr>
        <w:tblPrEx>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shd w:val="clear" w:color="auto" w:fill="CAEDFB"/>
            <w:hideMark/>
          </w:tcPr>
          <w:p w:rsidR="00882481" w:rsidRPr="00FB0629" w:rsidP="00882481">
            <w:pPr>
              <w:rPr>
                <w:rFonts w:ascii="Verdana" w:hAnsi="Verdana" w:cs="Arial"/>
                <w:sz w:val="24"/>
                <w:szCs w:val="24"/>
              </w:rPr>
            </w:pPr>
            <w:r w:rsidRPr="00FB0629">
              <w:rPr>
                <w:rFonts w:ascii="Verdana" w:hAnsi="Verdana" w:cs="Arial"/>
                <w:b/>
                <w:bCs/>
                <w:sz w:val="24"/>
                <w:szCs w:val="24"/>
              </w:rPr>
              <w:t>Tablets</w:t>
            </w:r>
            <w:r w:rsidRPr="00FB0629">
              <w:rPr>
                <w:rFonts w:ascii="Verdana" w:hAnsi="Verdana" w:cs="Arial"/>
                <w:sz w:val="24"/>
                <w:szCs w:val="24"/>
              </w:rPr>
              <w:t> </w:t>
            </w:r>
          </w:p>
        </w:tc>
        <w:tc>
          <w:tcPr>
            <w:tcW w:w="1995" w:type="dxa"/>
            <w:tcBorders>
              <w:top w:val="single" w:sz="6" w:space="0" w:color="auto"/>
              <w:left w:val="single" w:sz="6" w:space="0" w:color="auto"/>
              <w:bottom w:val="single" w:sz="6" w:space="0" w:color="auto"/>
              <w:right w:val="single" w:sz="6" w:space="0" w:color="auto"/>
            </w:tcBorders>
            <w:shd w:val="clear" w:color="auto" w:fill="CAEDFB"/>
            <w:hideMark/>
          </w:tcPr>
          <w:p w:rsidR="00882481" w:rsidRPr="00FB0629" w:rsidP="00882481">
            <w:pPr>
              <w:rPr>
                <w:rFonts w:ascii="Verdana" w:hAnsi="Verdana" w:cs="Arial"/>
                <w:sz w:val="24"/>
                <w:szCs w:val="24"/>
              </w:rPr>
            </w:pPr>
            <w:r w:rsidRPr="00FB0629">
              <w:rPr>
                <w:rFonts w:ascii="Verdana" w:hAnsi="Verdana" w:cs="Arial"/>
                <w:b/>
                <w:bCs/>
                <w:sz w:val="24"/>
                <w:szCs w:val="24"/>
              </w:rPr>
              <w:t>Sales in kg</w:t>
            </w:r>
            <w:r w:rsidRPr="00FB0629">
              <w:rPr>
                <w:rFonts w:ascii="Verdana" w:hAnsi="Verdana" w:cs="Arial"/>
                <w:sz w:val="24"/>
                <w:szCs w:val="24"/>
              </w:rPr>
              <w:t>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2014 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23.02 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2015 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571.18 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2016 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1064.37 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2017 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1675.87 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2018 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1606.04 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2019 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2124.79 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2020 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1523.73 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2021 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2448.66 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2022 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2704.18 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2023 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3695.83 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2024 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4745.79 </w:t>
            </w:r>
          </w:p>
        </w:tc>
      </w:tr>
      <w:tr>
        <w:tblPrEx>
          <w:tblW w:w="0" w:type="dxa"/>
          <w:tblCellMar>
            <w:left w:w="0" w:type="dxa"/>
            <w:right w:w="0" w:type="dxa"/>
          </w:tblCellMar>
          <w:tblLook w:val="04A0"/>
        </w:tblPrEx>
        <w:trPr>
          <w:trHeight w:val="285"/>
        </w:trPr>
        <w:tc>
          <w:tcPr>
            <w:tcW w:w="1800"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2025 </w:t>
            </w:r>
          </w:p>
        </w:tc>
        <w:tc>
          <w:tcPr>
            <w:tcW w:w="1995" w:type="dxa"/>
            <w:tcBorders>
              <w:top w:val="single" w:sz="6" w:space="0" w:color="auto"/>
              <w:left w:val="single" w:sz="6" w:space="0" w:color="auto"/>
              <w:bottom w:val="single" w:sz="6" w:space="0" w:color="auto"/>
              <w:right w:val="single" w:sz="6" w:space="0" w:color="auto"/>
            </w:tcBorders>
            <w:hideMark/>
          </w:tcPr>
          <w:p w:rsidR="00882481" w:rsidRPr="00FB0629" w:rsidP="00882481">
            <w:pPr>
              <w:rPr>
                <w:rFonts w:ascii="Verdana" w:hAnsi="Verdana" w:cs="Arial"/>
                <w:sz w:val="24"/>
                <w:szCs w:val="24"/>
              </w:rPr>
            </w:pPr>
            <w:r w:rsidRPr="00FB0629">
              <w:rPr>
                <w:rFonts w:ascii="Verdana" w:hAnsi="Verdana" w:cs="Arial"/>
                <w:sz w:val="24"/>
                <w:szCs w:val="24"/>
              </w:rPr>
              <w:t>3241.41 </w:t>
            </w:r>
          </w:p>
        </w:tc>
      </w:tr>
    </w:tbl>
    <w:p w:rsidR="00882481" w:rsidRPr="00FB0629" w:rsidP="00882481">
      <w:pPr>
        <w:rPr>
          <w:rFonts w:ascii="Verdana" w:hAnsi="Verdana" w:cs="Arial"/>
          <w:sz w:val="24"/>
          <w:szCs w:val="24"/>
        </w:rPr>
      </w:pPr>
    </w:p>
    <w:p w:rsidR="003468B3" w:rsidRPr="00FB0629" w:rsidP="00882481">
      <w:pPr>
        <w:rPr>
          <w:rFonts w:ascii="Verdana" w:hAnsi="Verdana" w:cs="Arial"/>
          <w:sz w:val="24"/>
          <w:szCs w:val="24"/>
        </w:rPr>
      </w:pPr>
    </w:p>
    <w:p w:rsidR="00882481" w:rsidRPr="00FB0629" w:rsidP="00573F39">
      <w:pPr>
        <w:shd w:val="clear" w:color="auto" w:fill="FFFFFF" w:themeFill="background1"/>
        <w:rPr>
          <w:rFonts w:ascii="Verdana" w:hAnsi="Verdana" w:cs="Arial"/>
          <w:b/>
          <w:bCs/>
          <w:sz w:val="24"/>
          <w:szCs w:val="24"/>
        </w:rPr>
      </w:pPr>
      <w:r w:rsidRPr="00FB0629">
        <w:rPr>
          <w:rFonts w:ascii="Verdana" w:hAnsi="Verdana" w:cs="Arial"/>
          <w:b/>
          <w:bCs/>
          <w:sz w:val="24"/>
          <w:szCs w:val="24"/>
        </w:rPr>
        <w:t xml:space="preserve">Q2 </w:t>
      </w:r>
      <w:r w:rsidRPr="00FB0629">
        <w:rPr>
          <w:rFonts w:ascii="Verdana" w:hAnsi="Verdana" w:cs="Arial"/>
          <w:b/>
          <w:bCs/>
          <w:sz w:val="24"/>
          <w:szCs w:val="24"/>
        </w:rPr>
        <w:t>What information do you have on the contribution that imported textiles is making to fipronil/imidacloprid pollution?</w:t>
      </w:r>
      <w:r w:rsidRPr="00FB0629">
        <w:rPr>
          <w:rFonts w:ascii="Verdana" w:hAnsi="Verdana" w:cs="Arial"/>
          <w:b/>
          <w:bCs/>
          <w:sz w:val="24"/>
          <w:szCs w:val="24"/>
        </w:rPr>
        <w:t xml:space="preserve"> (EA)</w:t>
      </w:r>
    </w:p>
    <w:p w:rsidR="00FA350A" w:rsidRPr="00FB0629" w:rsidP="00573F39">
      <w:pPr>
        <w:shd w:val="clear" w:color="auto" w:fill="FFFFFF" w:themeFill="background1"/>
        <w:rPr>
          <w:rFonts w:ascii="Verdana" w:hAnsi="Verdana" w:cs="Arial"/>
          <w:sz w:val="24"/>
          <w:szCs w:val="24"/>
        </w:rPr>
      </w:pPr>
      <w:r w:rsidRPr="00FB0629">
        <w:rPr>
          <w:rFonts w:ascii="Verdana" w:hAnsi="Verdana" w:cs="Arial"/>
          <w:sz w:val="24"/>
          <w:szCs w:val="24"/>
        </w:rPr>
        <w:t>The Environment Agency does not have any information on amounts of either fipronil or imidacloprid entering the UK via imported cotton or other textiles.</w:t>
      </w:r>
    </w:p>
    <w:p w:rsidR="00FA350A" w:rsidRPr="00FB0629" w:rsidP="00573F39">
      <w:pPr>
        <w:shd w:val="clear" w:color="auto" w:fill="FFFFFF" w:themeFill="background1"/>
        <w:rPr>
          <w:rFonts w:ascii="Verdana" w:hAnsi="Verdana" w:cs="Arial"/>
          <w:sz w:val="24"/>
          <w:szCs w:val="24"/>
        </w:rPr>
      </w:pPr>
      <w:r w:rsidRPr="00FB0629">
        <w:rPr>
          <w:rFonts w:ascii="Verdana" w:hAnsi="Verdana" w:cs="Arial"/>
          <w:sz w:val="24"/>
          <w:szCs w:val="24"/>
        </w:rPr>
        <w:t>A recently published paper by Brown et al (2025</w:t>
      </w:r>
      <w:r>
        <w:rPr>
          <w:rFonts w:ascii="Verdana" w:hAnsi="Verdana" w:cs="Arial"/>
          <w:sz w:val="24"/>
          <w:szCs w:val="24"/>
          <w:vertAlign w:val="superscript"/>
        </w:rPr>
        <w:footnoteReference w:id="2"/>
      </w:r>
      <w:r w:rsidRPr="00FB0629">
        <w:rPr>
          <w:rFonts w:ascii="Verdana" w:hAnsi="Verdana" w:cs="Arial"/>
          <w:sz w:val="24"/>
          <w:szCs w:val="24"/>
        </w:rPr>
        <w:t>) notes that although there is the potential for imidacloprid used in the production of raw fibres, textiles and clothing imported into the UK to be emitted to surface water via WWTWs following the washing of these items, this seems unlikely. These authors searched for but found no evidence for the use of imidacloprid in the textile or clothing industry; citing several studies reporting residues of imidacloprid in cotton when picked at either the first or second picking less than the</w:t>
      </w:r>
      <w:r w:rsidRPr="00FB0629">
        <w:rPr>
          <w:rFonts w:ascii="Arial" w:hAnsi="Arial" w:cs="Arial"/>
          <w:sz w:val="24"/>
          <w:szCs w:val="24"/>
        </w:rPr>
        <w:t> </w:t>
      </w:r>
      <w:r w:rsidRPr="00FB0629">
        <w:rPr>
          <w:rFonts w:ascii="Verdana" w:hAnsi="Verdana" w:cs="Arial"/>
          <w:sz w:val="24"/>
          <w:szCs w:val="24"/>
        </w:rPr>
        <w:t xml:space="preserve">limit of detection and noting that imidacloprid is not routinely analysed for by cotton exchanges. </w:t>
      </w:r>
    </w:p>
    <w:p w:rsidR="00FA350A" w:rsidRPr="00FB0629" w:rsidP="00FA350A">
      <w:pPr>
        <w:rPr>
          <w:rFonts w:ascii="Verdana" w:hAnsi="Verdana" w:cs="Arial"/>
          <w:sz w:val="24"/>
          <w:szCs w:val="24"/>
        </w:rPr>
      </w:pPr>
      <w:r w:rsidRPr="00FB0629">
        <w:rPr>
          <w:rFonts w:ascii="Verdana" w:hAnsi="Verdana" w:cs="Arial"/>
          <w:sz w:val="24"/>
          <w:szCs w:val="24"/>
        </w:rPr>
        <w:t xml:space="preserve">To progress an action identified in the </w:t>
      </w:r>
      <w:r w:rsidRPr="00FB0629">
        <w:rPr>
          <w:rFonts w:ascii="Verdana" w:hAnsi="Verdana" w:cs="Arial"/>
          <w:sz w:val="24"/>
          <w:szCs w:val="24"/>
        </w:rPr>
        <w:t>PiE</w:t>
      </w:r>
      <w:r w:rsidRPr="00FB0629">
        <w:rPr>
          <w:rFonts w:ascii="Verdana" w:hAnsi="Verdana" w:cs="Arial"/>
          <w:sz w:val="24"/>
          <w:szCs w:val="24"/>
        </w:rPr>
        <w:t xml:space="preserve"> roadmap, the Environment Agency have added fipronil and imidacloprid to the list of chemicals that importers and processors of cotton will be asked to test for using fully quantitative methods in the forthcoming sector wide review of textile permits. Testing will likely be confined to cotton yarn imports and baled cotton. Testing of ‘finished’ cotton fabrics and final products (clothing) is not in the EA’s remit.</w:t>
      </w:r>
    </w:p>
    <w:p w:rsidR="00FA350A" w:rsidRPr="00FB0629" w:rsidP="00FA350A">
      <w:pPr>
        <w:rPr>
          <w:rFonts w:ascii="Verdana" w:hAnsi="Verdana" w:cs="Arial"/>
          <w:sz w:val="24"/>
          <w:szCs w:val="24"/>
        </w:rPr>
      </w:pPr>
      <w:r w:rsidRPr="00FB0629">
        <w:rPr>
          <w:rFonts w:ascii="Verdana" w:hAnsi="Verdana" w:cs="Arial"/>
          <w:sz w:val="24"/>
          <w:szCs w:val="24"/>
        </w:rPr>
        <w:t xml:space="preserve">The timescale for the sector wide review and associated testing is not yet confirmed. The work cannot start until the Government formally adopts and publishes the regulatory requirements for the textiles sector (known as the Best Available Techniques, or BAT, conclusions). There is no confirmed date for this yet, but we anticipate this will be Autumn 2026 at the earliest. </w:t>
      </w:r>
    </w:p>
    <w:p w:rsidR="00882481" w:rsidRPr="00FB0629" w:rsidP="00882481">
      <w:pPr>
        <w:rPr>
          <w:rFonts w:ascii="Verdana" w:hAnsi="Verdana" w:cs="Arial"/>
          <w:sz w:val="24"/>
          <w:szCs w:val="24"/>
        </w:rPr>
      </w:pPr>
    </w:p>
    <w:p w:rsidR="003468B3" w:rsidRPr="00FB0629" w:rsidP="00882481">
      <w:pPr>
        <w:rPr>
          <w:rFonts w:ascii="Verdana" w:hAnsi="Verdana" w:cs="Arial"/>
          <w:sz w:val="24"/>
          <w:szCs w:val="24"/>
        </w:rPr>
      </w:pPr>
    </w:p>
    <w:p w:rsidR="003468B3" w:rsidRPr="00FB0629" w:rsidP="00882481">
      <w:pPr>
        <w:rPr>
          <w:rFonts w:ascii="Verdana" w:hAnsi="Verdana" w:cs="Arial"/>
          <w:sz w:val="24"/>
          <w:szCs w:val="24"/>
        </w:rPr>
      </w:pPr>
    </w:p>
    <w:p w:rsidR="003468B3" w:rsidRPr="00FB0629" w:rsidP="00882481">
      <w:pPr>
        <w:rPr>
          <w:rFonts w:ascii="Verdana" w:hAnsi="Verdana" w:cs="Arial"/>
          <w:sz w:val="24"/>
          <w:szCs w:val="24"/>
        </w:rPr>
      </w:pPr>
    </w:p>
    <w:p w:rsidR="003468B3" w:rsidRPr="00FB0629" w:rsidP="00882481">
      <w:pPr>
        <w:rPr>
          <w:rFonts w:ascii="Verdana" w:hAnsi="Verdana" w:cs="Arial"/>
          <w:sz w:val="24"/>
          <w:szCs w:val="24"/>
        </w:rPr>
      </w:pPr>
    </w:p>
    <w:p w:rsidR="003468B3" w:rsidRPr="00FB0629" w:rsidP="00882481">
      <w:pPr>
        <w:rPr>
          <w:rFonts w:ascii="Verdana" w:hAnsi="Verdana" w:cs="Arial"/>
          <w:sz w:val="24"/>
          <w:szCs w:val="24"/>
        </w:rPr>
      </w:pPr>
    </w:p>
    <w:p w:rsidR="003468B3" w:rsidRPr="00FB0629" w:rsidP="00882481">
      <w:pPr>
        <w:rPr>
          <w:rFonts w:ascii="Verdana" w:hAnsi="Verdana" w:cs="Arial"/>
          <w:sz w:val="24"/>
          <w:szCs w:val="24"/>
        </w:rPr>
      </w:pPr>
    </w:p>
    <w:p w:rsidR="00FA350A" w:rsidRPr="00FB0629" w:rsidP="00EB4574">
      <w:pPr>
        <w:rPr>
          <w:rFonts w:ascii="Verdana" w:hAnsi="Verdana" w:cs="Arial"/>
          <w:sz w:val="24"/>
          <w:szCs w:val="24"/>
        </w:rPr>
      </w:pPr>
      <w:r w:rsidRPr="00FB0629">
        <w:rPr>
          <w:rFonts w:ascii="Verdana" w:hAnsi="Verdana" w:cs="Arial"/>
          <w:b/>
          <w:bCs/>
          <w:sz w:val="24"/>
          <w:szCs w:val="24"/>
        </w:rPr>
        <w:t xml:space="preserve">Q3 </w:t>
      </w:r>
      <w:r w:rsidRPr="00FB0629" w:rsidR="00882481">
        <w:rPr>
          <w:rFonts w:ascii="Verdana" w:hAnsi="Verdana" w:cs="Arial"/>
          <w:b/>
          <w:bCs/>
          <w:sz w:val="24"/>
          <w:szCs w:val="24"/>
        </w:rPr>
        <w:t>The Chair referenced written evidence by Water UK which said: “The Environment Agency has also worked with the Veterinary Medicines Directorate, through the Pharmaceuticals in the Environment (</w:t>
      </w:r>
      <w:r w:rsidRPr="00FB0629" w:rsidR="00882481">
        <w:rPr>
          <w:rFonts w:ascii="Verdana" w:hAnsi="Verdana" w:cs="Arial"/>
          <w:b/>
          <w:bCs/>
          <w:sz w:val="24"/>
          <w:szCs w:val="24"/>
        </w:rPr>
        <w:t>PiE</w:t>
      </w:r>
      <w:r w:rsidRPr="00FB0629" w:rsidR="00882481">
        <w:rPr>
          <w:rFonts w:ascii="Verdana" w:hAnsi="Verdana" w:cs="Arial"/>
          <w:b/>
          <w:bCs/>
          <w:sz w:val="24"/>
          <w:szCs w:val="24"/>
        </w:rPr>
        <w:t>) Group, to develop a strategy to manage the impacts of veterinary medicines and pharmaceuticals on unintended receptors (i.e., wild fauna). The outcome of this work has not yet been published.”</w:t>
      </w:r>
      <w:r w:rsidRPr="00FB0629" w:rsidR="00882481">
        <w:rPr>
          <w:rFonts w:ascii="Verdana" w:hAnsi="Verdana" w:cs="Arial"/>
          <w:sz w:val="24"/>
          <w:szCs w:val="24"/>
        </w:rPr>
        <w:t xml:space="preserve"> </w:t>
      </w:r>
    </w:p>
    <w:p w:rsidR="00882481" w:rsidRPr="00FB0629" w:rsidP="00EB4574">
      <w:pPr>
        <w:rPr>
          <w:rFonts w:ascii="Verdana" w:hAnsi="Verdana" w:cs="Arial"/>
          <w:sz w:val="24"/>
          <w:szCs w:val="24"/>
        </w:rPr>
      </w:pPr>
      <w:r w:rsidRPr="00FB0629">
        <w:rPr>
          <w:rFonts w:ascii="Verdana" w:hAnsi="Verdana" w:cs="Arial"/>
          <w:color w:val="EE0000"/>
          <w:sz w:val="24"/>
          <w:szCs w:val="24"/>
        </w:rPr>
        <w:t xml:space="preserve">The ‘strategy’ is referencing the </w:t>
      </w:r>
      <w:r w:rsidRPr="00FB0629">
        <w:rPr>
          <w:rFonts w:ascii="Verdana" w:hAnsi="Verdana" w:cs="Arial"/>
          <w:color w:val="EE0000"/>
          <w:sz w:val="24"/>
          <w:szCs w:val="24"/>
        </w:rPr>
        <w:t>PiE</w:t>
      </w:r>
      <w:r w:rsidRPr="00FB0629">
        <w:rPr>
          <w:rFonts w:ascii="Verdana" w:hAnsi="Verdana" w:cs="Arial"/>
          <w:color w:val="EE0000"/>
          <w:sz w:val="24"/>
          <w:szCs w:val="24"/>
        </w:rPr>
        <w:t xml:space="preserve"> roadmap – Can you provide any timeframes for progress updates relating to the roadmap actions?</w:t>
      </w:r>
    </w:p>
    <w:tbl>
      <w:tblPr>
        <w:tblStyle w:val="TableGrid"/>
        <w:tblW w:w="0" w:type="auto"/>
        <w:tblInd w:w="-5" w:type="dxa"/>
        <w:tblLook w:val="04A0"/>
      </w:tblPr>
      <w:tblGrid>
        <w:gridCol w:w="2552"/>
        <w:gridCol w:w="6469"/>
      </w:tblGrid>
      <w:tr w:rsidTr="005E669C">
        <w:tblPrEx>
          <w:tblW w:w="0" w:type="auto"/>
          <w:tblInd w:w="-5" w:type="dxa"/>
          <w:tblLook w:val="04A0"/>
        </w:tblPrEx>
        <w:tc>
          <w:tcPr>
            <w:tcW w:w="2552" w:type="dxa"/>
            <w:tcBorders>
              <w:top w:val="single" w:sz="4" w:space="0" w:color="auto"/>
              <w:left w:val="single" w:sz="4" w:space="0" w:color="auto"/>
              <w:bottom w:val="single" w:sz="4" w:space="0" w:color="auto"/>
              <w:right w:val="single" w:sz="4" w:space="0" w:color="auto"/>
            </w:tcBorders>
          </w:tcPr>
          <w:p w:rsidR="00FA350A" w:rsidRPr="00FB0629" w:rsidP="00FA350A">
            <w:pPr>
              <w:spacing w:after="160" w:line="259" w:lineRule="auto"/>
              <w:rPr>
                <w:rFonts w:ascii="Verdana" w:hAnsi="Verdana" w:cs="Arial"/>
                <w:b/>
                <w:sz w:val="24"/>
                <w:szCs w:val="24"/>
              </w:rPr>
            </w:pPr>
            <w:r w:rsidRPr="00FB0629">
              <w:rPr>
                <w:rFonts w:ascii="Verdana" w:hAnsi="Verdana" w:cs="Arial"/>
                <w:b/>
                <w:sz w:val="24"/>
                <w:szCs w:val="24"/>
              </w:rPr>
              <w:t xml:space="preserve">Evidence gathering actions in the </w:t>
            </w:r>
            <w:r w:rsidRPr="00FB0629">
              <w:rPr>
                <w:rFonts w:ascii="Verdana" w:hAnsi="Verdana" w:cs="Arial"/>
                <w:b/>
                <w:sz w:val="24"/>
                <w:szCs w:val="24"/>
              </w:rPr>
              <w:t>PiE</w:t>
            </w:r>
            <w:r w:rsidRPr="00FB0629">
              <w:rPr>
                <w:rFonts w:ascii="Verdana" w:hAnsi="Verdana" w:cs="Arial"/>
                <w:b/>
                <w:sz w:val="24"/>
                <w:szCs w:val="24"/>
              </w:rPr>
              <w:t xml:space="preserve"> roadmap relevant to the Environment Agency (medium term)</w:t>
            </w:r>
          </w:p>
          <w:p w:rsidR="00FA350A" w:rsidRPr="00FB0629" w:rsidP="00FA350A">
            <w:pPr>
              <w:spacing w:after="160" w:line="259" w:lineRule="auto"/>
              <w:rPr>
                <w:rFonts w:ascii="Verdana" w:hAnsi="Verdana" w:cs="Arial"/>
                <w:b/>
                <w:sz w:val="24"/>
                <w:szCs w:val="24"/>
              </w:rPr>
            </w:pPr>
          </w:p>
        </w:tc>
        <w:tc>
          <w:tcPr>
            <w:tcW w:w="6469" w:type="dxa"/>
            <w:tcBorders>
              <w:top w:val="single" w:sz="4" w:space="0" w:color="auto"/>
              <w:left w:val="single" w:sz="4" w:space="0" w:color="auto"/>
              <w:bottom w:val="single" w:sz="4" w:space="0" w:color="auto"/>
              <w:right w:val="single" w:sz="4" w:space="0" w:color="auto"/>
            </w:tcBorders>
            <w:hideMark/>
          </w:tcPr>
          <w:p w:rsidR="00FA350A" w:rsidRPr="00FB0629" w:rsidP="00FA350A">
            <w:pPr>
              <w:spacing w:after="160" w:line="259" w:lineRule="auto"/>
              <w:rPr>
                <w:rFonts w:ascii="Verdana" w:hAnsi="Verdana" w:cs="Arial"/>
                <w:b/>
                <w:sz w:val="24"/>
                <w:szCs w:val="24"/>
              </w:rPr>
            </w:pPr>
            <w:r w:rsidRPr="00FB0629">
              <w:rPr>
                <w:rFonts w:ascii="Verdana" w:hAnsi="Verdana" w:cs="Arial"/>
                <w:b/>
                <w:sz w:val="24"/>
                <w:szCs w:val="24"/>
              </w:rPr>
              <w:t>Update</w:t>
            </w:r>
          </w:p>
        </w:tc>
      </w:tr>
      <w:tr w:rsidTr="005E669C">
        <w:tblPrEx>
          <w:tblW w:w="0" w:type="auto"/>
          <w:tblInd w:w="-5" w:type="dxa"/>
          <w:tblLook w:val="04A0"/>
        </w:tblPrEx>
        <w:tc>
          <w:tcPr>
            <w:tcW w:w="2552" w:type="dxa"/>
            <w:tcBorders>
              <w:top w:val="single" w:sz="4" w:space="0" w:color="auto"/>
              <w:left w:val="single" w:sz="4" w:space="0" w:color="auto"/>
              <w:bottom w:val="single" w:sz="4" w:space="0" w:color="auto"/>
              <w:right w:val="single" w:sz="4" w:space="0" w:color="auto"/>
            </w:tcBorders>
          </w:tcPr>
          <w:p w:rsidR="00FA350A" w:rsidRPr="00FB0629" w:rsidP="00FA350A">
            <w:pPr>
              <w:spacing w:after="160" w:line="259" w:lineRule="auto"/>
              <w:rPr>
                <w:rFonts w:ascii="Verdana" w:hAnsi="Verdana" w:cs="Arial"/>
                <w:sz w:val="24"/>
                <w:szCs w:val="24"/>
              </w:rPr>
            </w:pPr>
            <w:r w:rsidRPr="00FB0629">
              <w:rPr>
                <w:rFonts w:ascii="Verdana" w:hAnsi="Verdana" w:cs="Arial"/>
                <w:sz w:val="24"/>
                <w:szCs w:val="24"/>
              </w:rPr>
              <w:t>The EA, the Scottish Environmental Protection Agency, Natural Resources Wales and the Northern Ireland EA will harmonise approaches and determine overall trends for the levels of fipronil and imidacloprid across the UK to support assessment of progress.</w:t>
            </w:r>
          </w:p>
          <w:p w:rsidR="00FA350A" w:rsidRPr="00FB0629" w:rsidP="00FA350A">
            <w:pPr>
              <w:spacing w:after="160" w:line="259" w:lineRule="auto"/>
              <w:rPr>
                <w:rFonts w:ascii="Verdana" w:hAnsi="Verdana" w:cs="Arial"/>
                <w:sz w:val="24"/>
                <w:szCs w:val="24"/>
              </w:rPr>
            </w:pPr>
          </w:p>
        </w:tc>
        <w:tc>
          <w:tcPr>
            <w:tcW w:w="6469" w:type="dxa"/>
            <w:tcBorders>
              <w:top w:val="single" w:sz="4" w:space="0" w:color="auto"/>
              <w:left w:val="single" w:sz="4" w:space="0" w:color="auto"/>
              <w:bottom w:val="single" w:sz="4" w:space="0" w:color="auto"/>
              <w:right w:val="single" w:sz="4" w:space="0" w:color="auto"/>
            </w:tcBorders>
          </w:tcPr>
          <w:p w:rsidR="00FA350A" w:rsidRPr="00FB0629" w:rsidP="00FA350A">
            <w:pPr>
              <w:spacing w:after="160" w:line="259" w:lineRule="auto"/>
              <w:rPr>
                <w:rFonts w:ascii="Verdana" w:hAnsi="Verdana" w:cs="Arial"/>
                <w:sz w:val="24"/>
                <w:szCs w:val="24"/>
              </w:rPr>
            </w:pPr>
            <w:r w:rsidRPr="00FB0629">
              <w:rPr>
                <w:rFonts w:ascii="Verdana" w:hAnsi="Verdana" w:cs="Arial"/>
                <w:sz w:val="24"/>
                <w:szCs w:val="24"/>
              </w:rPr>
              <w:t>The respective Agencies use different sampling and analytical approaches to collect environmental data. The temporal and spatial scale of data collected also varies. The Agencies have discussed harmonisation and determined that in the short term it is not feasible to harmonise monitoring. This will be revisited if and when a fully quantitative method is required to accurately determine concentrations.</w:t>
            </w:r>
          </w:p>
          <w:p w:rsidR="00FA350A" w:rsidRPr="00FB0629" w:rsidP="00FA350A">
            <w:pPr>
              <w:spacing w:after="160" w:line="259" w:lineRule="auto"/>
              <w:rPr>
                <w:rFonts w:ascii="Verdana" w:hAnsi="Verdana" w:cs="Arial"/>
                <w:sz w:val="24"/>
                <w:szCs w:val="24"/>
              </w:rPr>
            </w:pPr>
          </w:p>
          <w:p w:rsidR="00FA350A" w:rsidRPr="00FB0629" w:rsidP="00FA350A">
            <w:pPr>
              <w:spacing w:after="160" w:line="259" w:lineRule="auto"/>
              <w:rPr>
                <w:rFonts w:ascii="Verdana" w:hAnsi="Verdana" w:cs="Arial"/>
                <w:sz w:val="24"/>
                <w:szCs w:val="24"/>
              </w:rPr>
            </w:pPr>
            <w:r w:rsidRPr="00FB0629">
              <w:rPr>
                <w:rFonts w:ascii="Verdana" w:hAnsi="Verdana" w:cs="Arial"/>
                <w:sz w:val="24"/>
                <w:szCs w:val="24"/>
              </w:rPr>
              <w:t>Further to the agreed action, we are exploring what additional insights can be gained from the environmental monitoring data we have collected for these substances. Our ability to confidently observe trends over time in imidacloprid and fipronil using the data we have collected is limited because it is semi-quantitative so there is uncertainty in concentrations reported.</w:t>
            </w:r>
          </w:p>
          <w:p w:rsidR="00FA350A" w:rsidRPr="00FB0629" w:rsidP="00FA350A">
            <w:pPr>
              <w:spacing w:after="160" w:line="259" w:lineRule="auto"/>
              <w:rPr>
                <w:rFonts w:ascii="Verdana" w:hAnsi="Verdana" w:cs="Arial"/>
                <w:sz w:val="24"/>
                <w:szCs w:val="24"/>
              </w:rPr>
            </w:pPr>
          </w:p>
        </w:tc>
      </w:tr>
      <w:tr w:rsidTr="005E669C">
        <w:tblPrEx>
          <w:tblW w:w="0" w:type="auto"/>
          <w:tblInd w:w="-5" w:type="dxa"/>
          <w:tblLook w:val="04A0"/>
        </w:tblPrEx>
        <w:tc>
          <w:tcPr>
            <w:tcW w:w="2552" w:type="dxa"/>
            <w:tcBorders>
              <w:top w:val="single" w:sz="4" w:space="0" w:color="auto"/>
              <w:left w:val="single" w:sz="4" w:space="0" w:color="auto"/>
              <w:bottom w:val="single" w:sz="4" w:space="0" w:color="auto"/>
              <w:right w:val="single" w:sz="4" w:space="0" w:color="auto"/>
            </w:tcBorders>
          </w:tcPr>
          <w:p w:rsidR="00FA350A" w:rsidRPr="00FB0629" w:rsidP="00FA350A">
            <w:pPr>
              <w:spacing w:after="160" w:line="259" w:lineRule="auto"/>
              <w:rPr>
                <w:rFonts w:ascii="Verdana" w:hAnsi="Verdana" w:cs="Arial"/>
                <w:sz w:val="24"/>
                <w:szCs w:val="24"/>
              </w:rPr>
            </w:pPr>
            <w:r w:rsidRPr="00FB0629">
              <w:rPr>
                <w:rFonts w:ascii="Verdana" w:hAnsi="Verdana" w:cs="Arial"/>
                <w:sz w:val="24"/>
                <w:szCs w:val="24"/>
              </w:rPr>
              <w:t>The Group will engage with academia to identify and prioritise research needs relating to cat and dog topical parasiticides and improve collaboration opportunities.</w:t>
            </w:r>
          </w:p>
          <w:p w:rsidR="00FA350A" w:rsidRPr="00FB0629" w:rsidP="00FA350A">
            <w:pPr>
              <w:spacing w:after="160" w:line="259" w:lineRule="auto"/>
              <w:rPr>
                <w:rFonts w:ascii="Verdana" w:hAnsi="Verdana" w:cs="Arial"/>
                <w:sz w:val="24"/>
                <w:szCs w:val="24"/>
              </w:rPr>
            </w:pPr>
          </w:p>
        </w:tc>
        <w:tc>
          <w:tcPr>
            <w:tcW w:w="6469" w:type="dxa"/>
            <w:tcBorders>
              <w:top w:val="single" w:sz="4" w:space="0" w:color="auto"/>
              <w:left w:val="single" w:sz="4" w:space="0" w:color="auto"/>
              <w:bottom w:val="single" w:sz="4" w:space="0" w:color="auto"/>
              <w:right w:val="single" w:sz="4" w:space="0" w:color="auto"/>
            </w:tcBorders>
            <w:hideMark/>
          </w:tcPr>
          <w:p w:rsidR="00FA350A" w:rsidRPr="00FB0629" w:rsidP="00FA350A">
            <w:pPr>
              <w:spacing w:after="160" w:line="259" w:lineRule="auto"/>
              <w:rPr>
                <w:rFonts w:ascii="Verdana" w:hAnsi="Verdana" w:cs="Arial"/>
                <w:sz w:val="24"/>
                <w:szCs w:val="24"/>
              </w:rPr>
            </w:pPr>
            <w:r w:rsidRPr="00FB0629">
              <w:rPr>
                <w:rFonts w:ascii="Verdana" w:hAnsi="Verdana" w:cs="Arial"/>
                <w:sz w:val="24"/>
                <w:szCs w:val="24"/>
              </w:rPr>
              <w:t xml:space="preserve">The Environment Agency engages with academia on a case-by-case basis where opportunities link to regulatory and evidence needs. </w:t>
            </w:r>
          </w:p>
        </w:tc>
      </w:tr>
      <w:tr w:rsidTr="005E669C">
        <w:tblPrEx>
          <w:tblW w:w="0" w:type="auto"/>
          <w:tblInd w:w="-5" w:type="dxa"/>
          <w:tblLook w:val="04A0"/>
        </w:tblPrEx>
        <w:tc>
          <w:tcPr>
            <w:tcW w:w="2552" w:type="dxa"/>
            <w:tcBorders>
              <w:top w:val="single" w:sz="4" w:space="0" w:color="auto"/>
              <w:left w:val="single" w:sz="4" w:space="0" w:color="auto"/>
              <w:bottom w:val="single" w:sz="4" w:space="0" w:color="auto"/>
              <w:right w:val="single" w:sz="4" w:space="0" w:color="auto"/>
            </w:tcBorders>
          </w:tcPr>
          <w:p w:rsidR="00FA350A" w:rsidRPr="00FB0629" w:rsidP="00FA350A">
            <w:pPr>
              <w:spacing w:after="160" w:line="259" w:lineRule="auto"/>
              <w:rPr>
                <w:rFonts w:ascii="Verdana" w:hAnsi="Verdana" w:cs="Arial"/>
                <w:sz w:val="24"/>
                <w:szCs w:val="24"/>
              </w:rPr>
            </w:pPr>
            <w:r w:rsidRPr="00FB0629">
              <w:rPr>
                <w:rFonts w:ascii="Verdana" w:hAnsi="Verdana" w:cs="Arial"/>
                <w:sz w:val="24"/>
                <w:szCs w:val="24"/>
              </w:rPr>
              <w:t>The Group will investigate all potential sources of fipronil and imidacloprid, such as biocides (HSE), imported fabrics (EA), imported produce (HSE), manufacturing, use of historical agricultural products, off label and illegal use.</w:t>
            </w:r>
          </w:p>
          <w:p w:rsidR="00FA350A" w:rsidRPr="00FB0629" w:rsidP="00FA350A">
            <w:pPr>
              <w:spacing w:after="160" w:line="259" w:lineRule="auto"/>
              <w:rPr>
                <w:rFonts w:ascii="Verdana" w:hAnsi="Verdana" w:cs="Arial"/>
                <w:sz w:val="24"/>
                <w:szCs w:val="24"/>
              </w:rPr>
            </w:pPr>
          </w:p>
        </w:tc>
        <w:tc>
          <w:tcPr>
            <w:tcW w:w="6469" w:type="dxa"/>
            <w:tcBorders>
              <w:top w:val="single" w:sz="4" w:space="0" w:color="auto"/>
              <w:left w:val="single" w:sz="4" w:space="0" w:color="auto"/>
              <w:bottom w:val="single" w:sz="4" w:space="0" w:color="auto"/>
              <w:right w:val="single" w:sz="4" w:space="0" w:color="auto"/>
            </w:tcBorders>
            <w:hideMark/>
          </w:tcPr>
          <w:p w:rsidR="00FA350A" w:rsidRPr="00FB0629" w:rsidP="00FA350A">
            <w:pPr>
              <w:spacing w:after="160" w:line="259" w:lineRule="auto"/>
              <w:rPr>
                <w:rFonts w:ascii="Verdana" w:hAnsi="Verdana" w:cs="Arial"/>
                <w:sz w:val="24"/>
                <w:szCs w:val="24"/>
              </w:rPr>
            </w:pPr>
            <w:r w:rsidRPr="00FB0629">
              <w:rPr>
                <w:rFonts w:ascii="Verdana" w:hAnsi="Verdana" w:cs="Arial"/>
                <w:sz w:val="24"/>
                <w:szCs w:val="24"/>
              </w:rPr>
              <w:t xml:space="preserve"> Imported fabrics (EA) – see answer Q2.</w:t>
            </w:r>
          </w:p>
        </w:tc>
      </w:tr>
      <w:tr w:rsidTr="005E669C">
        <w:tblPrEx>
          <w:tblW w:w="0" w:type="auto"/>
          <w:tblInd w:w="-5" w:type="dxa"/>
          <w:tblLook w:val="04A0"/>
        </w:tblPrEx>
        <w:tc>
          <w:tcPr>
            <w:tcW w:w="2552" w:type="dxa"/>
            <w:tcBorders>
              <w:top w:val="single" w:sz="4" w:space="0" w:color="auto"/>
              <w:left w:val="single" w:sz="4" w:space="0" w:color="auto"/>
              <w:bottom w:val="single" w:sz="4" w:space="0" w:color="auto"/>
              <w:right w:val="single" w:sz="4" w:space="0" w:color="auto"/>
            </w:tcBorders>
          </w:tcPr>
          <w:p w:rsidR="00FA350A" w:rsidRPr="00FB0629" w:rsidP="00FA350A">
            <w:pPr>
              <w:spacing w:after="160" w:line="259" w:lineRule="auto"/>
              <w:rPr>
                <w:rFonts w:ascii="Verdana" w:hAnsi="Verdana" w:cs="Arial"/>
                <w:b/>
                <w:sz w:val="24"/>
                <w:szCs w:val="24"/>
              </w:rPr>
            </w:pPr>
            <w:r w:rsidRPr="00FB0629">
              <w:rPr>
                <w:rFonts w:ascii="Verdana" w:hAnsi="Verdana" w:cs="Arial"/>
                <w:b/>
                <w:sz w:val="24"/>
                <w:szCs w:val="24"/>
              </w:rPr>
              <w:t>Regulatory (long term)</w:t>
            </w:r>
          </w:p>
          <w:p w:rsidR="00FA350A" w:rsidRPr="00FB0629" w:rsidP="00FA350A">
            <w:pPr>
              <w:spacing w:after="160" w:line="259" w:lineRule="auto"/>
              <w:rPr>
                <w:rFonts w:ascii="Verdana" w:hAnsi="Verdana" w:cs="Arial"/>
                <w:b/>
                <w:sz w:val="24"/>
                <w:szCs w:val="24"/>
              </w:rPr>
            </w:pPr>
          </w:p>
        </w:tc>
        <w:tc>
          <w:tcPr>
            <w:tcW w:w="6469" w:type="dxa"/>
            <w:tcBorders>
              <w:top w:val="single" w:sz="4" w:space="0" w:color="auto"/>
              <w:left w:val="single" w:sz="4" w:space="0" w:color="auto"/>
              <w:bottom w:val="single" w:sz="4" w:space="0" w:color="auto"/>
              <w:right w:val="single" w:sz="4" w:space="0" w:color="auto"/>
            </w:tcBorders>
          </w:tcPr>
          <w:p w:rsidR="00FA350A" w:rsidRPr="00FB0629" w:rsidP="00FA350A">
            <w:pPr>
              <w:spacing w:after="160" w:line="259" w:lineRule="auto"/>
              <w:rPr>
                <w:rFonts w:ascii="Verdana" w:hAnsi="Verdana" w:cs="Arial"/>
                <w:sz w:val="24"/>
                <w:szCs w:val="24"/>
              </w:rPr>
            </w:pPr>
          </w:p>
        </w:tc>
      </w:tr>
      <w:tr w:rsidTr="005E669C">
        <w:tblPrEx>
          <w:tblW w:w="0" w:type="auto"/>
          <w:tblInd w:w="-5" w:type="dxa"/>
          <w:tblLook w:val="04A0"/>
        </w:tblPrEx>
        <w:tc>
          <w:tcPr>
            <w:tcW w:w="2552" w:type="dxa"/>
            <w:tcBorders>
              <w:top w:val="single" w:sz="4" w:space="0" w:color="auto"/>
              <w:left w:val="single" w:sz="4" w:space="0" w:color="auto"/>
              <w:bottom w:val="single" w:sz="4" w:space="0" w:color="auto"/>
              <w:right w:val="single" w:sz="4" w:space="0" w:color="auto"/>
            </w:tcBorders>
          </w:tcPr>
          <w:p w:rsidR="00FA350A" w:rsidRPr="00FB0629" w:rsidP="00FA350A">
            <w:pPr>
              <w:spacing w:after="160" w:line="259" w:lineRule="auto"/>
              <w:rPr>
                <w:rFonts w:ascii="Verdana" w:hAnsi="Verdana" w:cs="Arial"/>
                <w:sz w:val="24"/>
                <w:szCs w:val="24"/>
              </w:rPr>
            </w:pPr>
            <w:r w:rsidRPr="00FB0629">
              <w:rPr>
                <w:rFonts w:ascii="Verdana" w:hAnsi="Verdana" w:cs="Arial"/>
                <w:sz w:val="24"/>
                <w:szCs w:val="24"/>
              </w:rPr>
              <w:t>The four environment agencies will establish and agree on Environmental Quality Standard (EQS) values for fipronil and imidacloprid.</w:t>
            </w:r>
          </w:p>
          <w:p w:rsidR="00FA350A" w:rsidRPr="00FB0629" w:rsidP="00FA350A">
            <w:pPr>
              <w:spacing w:after="160" w:line="259" w:lineRule="auto"/>
              <w:rPr>
                <w:rFonts w:ascii="Verdana" w:hAnsi="Verdana" w:cs="Arial"/>
                <w:sz w:val="24"/>
                <w:szCs w:val="24"/>
              </w:rPr>
            </w:pPr>
          </w:p>
        </w:tc>
        <w:tc>
          <w:tcPr>
            <w:tcW w:w="6469" w:type="dxa"/>
            <w:tcBorders>
              <w:top w:val="single" w:sz="4" w:space="0" w:color="auto"/>
              <w:left w:val="single" w:sz="4" w:space="0" w:color="auto"/>
              <w:bottom w:val="single" w:sz="4" w:space="0" w:color="auto"/>
              <w:right w:val="single" w:sz="4" w:space="0" w:color="auto"/>
            </w:tcBorders>
            <w:hideMark/>
          </w:tcPr>
          <w:p w:rsidR="00FA350A" w:rsidRPr="00FB0629" w:rsidP="00FA350A">
            <w:pPr>
              <w:spacing w:after="160" w:line="259" w:lineRule="auto"/>
              <w:rPr>
                <w:rFonts w:ascii="Verdana" w:hAnsi="Verdana" w:cs="Arial"/>
                <w:sz w:val="24"/>
                <w:szCs w:val="24"/>
              </w:rPr>
            </w:pPr>
            <w:r w:rsidRPr="00FB0629">
              <w:rPr>
                <w:rFonts w:ascii="Verdana" w:hAnsi="Verdana" w:cs="Arial"/>
                <w:sz w:val="24"/>
                <w:szCs w:val="24"/>
              </w:rPr>
              <w:t>See response to Q4 below.</w:t>
            </w:r>
          </w:p>
        </w:tc>
      </w:tr>
    </w:tbl>
    <w:p w:rsidR="00EB4574" w:rsidRPr="00FB0629" w:rsidP="00EB4574">
      <w:pPr>
        <w:rPr>
          <w:rFonts w:ascii="Verdana" w:hAnsi="Verdana" w:cs="Arial"/>
          <w:sz w:val="24"/>
          <w:szCs w:val="24"/>
        </w:rPr>
      </w:pPr>
    </w:p>
    <w:p w:rsidR="00EB4574" w:rsidRPr="00FB0629" w:rsidP="00EB4574">
      <w:pPr>
        <w:rPr>
          <w:rFonts w:ascii="Verdana" w:hAnsi="Verdana" w:cs="Arial"/>
          <w:b/>
          <w:bCs/>
          <w:sz w:val="24"/>
          <w:szCs w:val="24"/>
        </w:rPr>
      </w:pPr>
      <w:r w:rsidRPr="00FB0629">
        <w:rPr>
          <w:rFonts w:ascii="Verdana" w:hAnsi="Verdana" w:cs="Arial"/>
          <w:b/>
          <w:bCs/>
          <w:sz w:val="24"/>
          <w:szCs w:val="24"/>
        </w:rPr>
        <w:t>PiE</w:t>
      </w:r>
      <w:r w:rsidRPr="00FB0629">
        <w:rPr>
          <w:rFonts w:ascii="Verdana" w:hAnsi="Verdana" w:cs="Arial"/>
          <w:b/>
          <w:bCs/>
          <w:sz w:val="24"/>
          <w:szCs w:val="24"/>
        </w:rPr>
        <w:t> Roadmap – </w:t>
      </w:r>
      <w:r w:rsidRPr="00FB0629" w:rsidR="2E4D2190">
        <w:rPr>
          <w:rFonts w:ascii="Verdana" w:hAnsi="Verdana" w:cs="Arial"/>
          <w:b/>
          <w:bCs/>
          <w:sz w:val="24"/>
          <w:szCs w:val="24"/>
        </w:rPr>
        <w:t xml:space="preserve">VMD </w:t>
      </w:r>
      <w:r w:rsidRPr="00FB0629">
        <w:rPr>
          <w:rFonts w:ascii="Verdana" w:hAnsi="Verdana" w:cs="Arial"/>
          <w:b/>
          <w:bCs/>
          <w:sz w:val="24"/>
          <w:szCs w:val="24"/>
        </w:rPr>
        <w:t xml:space="preserve">progress update. </w:t>
      </w:r>
    </w:p>
    <w:p w:rsidR="00EB4574" w:rsidRPr="00FB0629" w:rsidP="00EB4574">
      <w:pPr>
        <w:rPr>
          <w:rFonts w:ascii="Verdana" w:hAnsi="Verdana" w:cs="Arial"/>
          <w:sz w:val="24"/>
          <w:szCs w:val="24"/>
        </w:rPr>
      </w:pPr>
      <w:r>
        <w:fldChar w:fldCharType="begin"/>
      </w:r>
      <w:r>
        <w:instrText xml:space="preserve"> HYPERLINK "https://www.gov.uk/government/publications/cross-government-pharmaceuticals-in-the-environment-group-roadmap" \t "_blank" </w:instrText>
      </w:r>
      <w:r>
        <w:fldChar w:fldCharType="separate"/>
      </w:r>
      <w:r w:rsidRPr="00FB0629">
        <w:rPr>
          <w:rStyle w:val="Hyperlink"/>
          <w:rFonts w:ascii="Verdana" w:hAnsi="Verdana" w:cs="Arial"/>
          <w:color w:val="auto"/>
          <w:sz w:val="24"/>
          <w:szCs w:val="24"/>
        </w:rPr>
        <w:t>Cross-government Pharmaceuticals in the Environment Group Roadmap - GOV.UK</w:t>
      </w:r>
      <w:r>
        <w:fldChar w:fldCharType="end"/>
      </w:r>
      <w:r w:rsidRPr="00FB0629">
        <w:rPr>
          <w:rFonts w:ascii="Verdana" w:hAnsi="Verdana" w:cs="Arial"/>
          <w:sz w:val="24"/>
          <w:szCs w:val="24"/>
        </w:rPr>
        <w:t> </w:t>
      </w:r>
    </w:p>
    <w:p w:rsidR="00EB4574" w:rsidRPr="00FB0629" w:rsidP="00EB4574">
      <w:pPr>
        <w:rPr>
          <w:rFonts w:ascii="Verdana" w:hAnsi="Verdana" w:cs="Arial"/>
          <w:sz w:val="24"/>
          <w:szCs w:val="24"/>
        </w:rPr>
      </w:pPr>
      <w:r w:rsidRPr="00FB0629">
        <w:rPr>
          <w:rFonts w:ascii="Verdana" w:hAnsi="Verdana" w:cs="Arial"/>
          <w:sz w:val="24"/>
          <w:szCs w:val="24"/>
        </w:rPr>
        <w:t>The roadmap outlines three key stages for action, communication and education, evidence gathering and regulatory actions:  </w:t>
      </w:r>
    </w:p>
    <w:p w:rsidR="00EB4574" w:rsidRPr="00FB0629" w:rsidP="00EB4574">
      <w:pPr>
        <w:rPr>
          <w:rFonts w:ascii="Verdana" w:hAnsi="Verdana" w:cs="Arial"/>
          <w:sz w:val="24"/>
          <w:szCs w:val="24"/>
        </w:rPr>
      </w:pPr>
      <w:r w:rsidRPr="00FB0629">
        <w:rPr>
          <w:rFonts w:ascii="Verdana" w:hAnsi="Verdana" w:cs="Arial"/>
          <w:sz w:val="24"/>
          <w:szCs w:val="24"/>
        </w:rPr>
        <w:t> </w:t>
      </w:r>
    </w:p>
    <w:p w:rsidR="00EB4574" w:rsidRPr="00FB0629" w:rsidP="00EB4574">
      <w:pPr>
        <w:spacing w:after="0"/>
        <w:rPr>
          <w:rFonts w:ascii="Verdana" w:hAnsi="Verdana" w:cs="Arial"/>
          <w:sz w:val="24"/>
          <w:szCs w:val="24"/>
        </w:rPr>
      </w:pPr>
      <w:r w:rsidRPr="00FB0629">
        <w:rPr>
          <w:rFonts w:ascii="Verdana" w:hAnsi="Verdana" w:cs="Arial"/>
          <w:b/>
          <w:bCs/>
          <w:sz w:val="24"/>
          <w:szCs w:val="24"/>
        </w:rPr>
        <w:t>Communication and Education</w:t>
      </w:r>
      <w:r w:rsidRPr="00FB0629">
        <w:rPr>
          <w:rFonts w:ascii="Verdana" w:hAnsi="Verdana" w:cs="Arial"/>
          <w:sz w:val="24"/>
          <w:szCs w:val="24"/>
        </w:rPr>
        <w:t> </w:t>
      </w:r>
    </w:p>
    <w:p w:rsidR="00EB4574" w:rsidRPr="00FB0629" w:rsidP="00EB4574">
      <w:pPr>
        <w:rPr>
          <w:rFonts w:ascii="Verdana" w:hAnsi="Verdana" w:cs="Arial"/>
          <w:sz w:val="24"/>
          <w:szCs w:val="24"/>
        </w:rPr>
      </w:pPr>
      <w:r w:rsidRPr="00FB0629">
        <w:rPr>
          <w:rFonts w:ascii="Verdana" w:hAnsi="Verdana" w:cs="Arial"/>
          <w:sz w:val="24"/>
          <w:szCs w:val="24"/>
        </w:rPr>
        <w:t>The VMD has launched a government led national stewardship campaign to support appropriate use and disposal of pet topical flea and tick treatments, helping reduce environmental risks while maintaining animal health. </w:t>
      </w:r>
      <w:r>
        <w:fldChar w:fldCharType="begin"/>
      </w:r>
      <w:r>
        <w:instrText xml:space="preserve"> HYPERLINK "https://bespotonaware.campaign.gov.uk/" \t "_blank" </w:instrText>
      </w:r>
      <w:r>
        <w:fldChar w:fldCharType="separate"/>
      </w:r>
      <w:r w:rsidRPr="00FB0629">
        <w:rPr>
          <w:rStyle w:val="Hyperlink"/>
          <w:rFonts w:ascii="Verdana" w:hAnsi="Verdana" w:cs="Arial"/>
          <w:color w:val="auto"/>
          <w:sz w:val="24"/>
          <w:szCs w:val="24"/>
        </w:rPr>
        <w:t xml:space="preserve">Be Spot </w:t>
      </w:r>
      <w:r w:rsidRPr="00FB0629">
        <w:rPr>
          <w:rStyle w:val="Hyperlink"/>
          <w:rFonts w:ascii="Verdana" w:hAnsi="Verdana" w:cs="Arial"/>
          <w:color w:val="auto"/>
          <w:sz w:val="24"/>
          <w:szCs w:val="24"/>
        </w:rPr>
        <w:t>On</w:t>
      </w:r>
      <w:r w:rsidRPr="00FB0629">
        <w:rPr>
          <w:rStyle w:val="Hyperlink"/>
          <w:rFonts w:ascii="Verdana" w:hAnsi="Verdana" w:cs="Arial"/>
          <w:color w:val="auto"/>
          <w:sz w:val="24"/>
          <w:szCs w:val="24"/>
        </w:rPr>
        <w:t xml:space="preserve"> Aware - Using Flea and Tick Treatments</w:t>
      </w:r>
      <w:r>
        <w:fldChar w:fldCharType="end"/>
      </w:r>
      <w:r w:rsidRPr="00FB0629">
        <w:rPr>
          <w:rFonts w:ascii="Verdana" w:hAnsi="Verdana" w:cs="Arial"/>
          <w:sz w:val="24"/>
          <w:szCs w:val="24"/>
        </w:rPr>
        <w:t>.  </w:t>
      </w:r>
    </w:p>
    <w:p w:rsidR="00EB4574" w:rsidRPr="00FB0629" w:rsidP="00EB4574">
      <w:pPr>
        <w:rPr>
          <w:rFonts w:ascii="Verdana" w:hAnsi="Verdana" w:cs="Arial"/>
          <w:sz w:val="24"/>
          <w:szCs w:val="24"/>
        </w:rPr>
      </w:pPr>
      <w:r w:rsidRPr="00FB0629">
        <w:rPr>
          <w:rFonts w:ascii="Verdana" w:hAnsi="Verdana" w:cs="Arial"/>
          <w:sz w:val="24"/>
          <w:szCs w:val="24"/>
        </w:rPr>
        <w:t> </w:t>
      </w:r>
    </w:p>
    <w:p w:rsidR="00EB4574" w:rsidRPr="00FB0629" w:rsidP="00EB4574">
      <w:pPr>
        <w:rPr>
          <w:rFonts w:ascii="Verdana" w:hAnsi="Verdana" w:cs="Arial"/>
          <w:sz w:val="24"/>
          <w:szCs w:val="24"/>
        </w:rPr>
      </w:pPr>
      <w:r w:rsidRPr="00FB0629">
        <w:rPr>
          <w:rFonts w:ascii="Verdana" w:hAnsi="Verdana" w:cs="Arial"/>
          <w:sz w:val="24"/>
          <w:szCs w:val="24"/>
        </w:rPr>
        <w:t>Key messages in campaign are:  </w:t>
      </w:r>
    </w:p>
    <w:p w:rsidR="00EB4574" w:rsidRPr="00FB0629" w:rsidP="00EB4574">
      <w:pPr>
        <w:numPr>
          <w:ilvl w:val="0"/>
          <w:numId w:val="4"/>
        </w:numPr>
        <w:rPr>
          <w:rFonts w:ascii="Verdana" w:hAnsi="Verdana" w:cs="Arial"/>
          <w:sz w:val="24"/>
          <w:szCs w:val="24"/>
        </w:rPr>
      </w:pPr>
      <w:r w:rsidRPr="00FB0629">
        <w:rPr>
          <w:rFonts w:ascii="Verdana" w:hAnsi="Verdana" w:cs="Arial"/>
          <w:sz w:val="24"/>
          <w:szCs w:val="24"/>
          <w:u w:val="single"/>
        </w:rPr>
        <w:t>PLAN</w:t>
      </w:r>
      <w:r w:rsidRPr="00FB0629">
        <w:rPr>
          <w:rFonts w:ascii="Verdana" w:hAnsi="Verdana" w:cs="Arial"/>
          <w:sz w:val="24"/>
          <w:szCs w:val="24"/>
        </w:rPr>
        <w:t>: If you need to wash your pet then do it in the days before applying the medicine, rather than afterwards. Pick a time to apply the medicine when you won’t be in close contact with your pet, for example at night or before you go to work. </w:t>
      </w:r>
    </w:p>
    <w:p w:rsidR="00EB4574" w:rsidRPr="00FB0629" w:rsidP="00EB4574">
      <w:pPr>
        <w:numPr>
          <w:ilvl w:val="0"/>
          <w:numId w:val="5"/>
        </w:numPr>
        <w:rPr>
          <w:rFonts w:ascii="Verdana" w:hAnsi="Verdana" w:cs="Arial"/>
          <w:sz w:val="24"/>
          <w:szCs w:val="24"/>
        </w:rPr>
      </w:pPr>
      <w:r w:rsidRPr="00FB0629">
        <w:rPr>
          <w:rFonts w:ascii="Verdana" w:hAnsi="Verdana" w:cs="Arial"/>
          <w:sz w:val="24"/>
          <w:szCs w:val="24"/>
          <w:u w:val="single"/>
        </w:rPr>
        <w:t>APPLY:</w:t>
      </w:r>
      <w:r w:rsidRPr="00FB0629">
        <w:rPr>
          <w:rFonts w:ascii="Verdana" w:hAnsi="Verdana" w:cs="Arial"/>
          <w:sz w:val="24"/>
          <w:szCs w:val="24"/>
        </w:rPr>
        <w:t> Read the product instructions or visit the </w:t>
      </w:r>
      <w:r>
        <w:fldChar w:fldCharType="begin"/>
      </w:r>
      <w:r>
        <w:instrText xml:space="preserve"> HYPERLINK "https://www.vmd.defra.gov.uk/productinformationdatabase/" \t "_blank" </w:instrText>
      </w:r>
      <w:r>
        <w:fldChar w:fldCharType="separate"/>
      </w:r>
      <w:r w:rsidRPr="00FB0629">
        <w:rPr>
          <w:rStyle w:val="Hyperlink"/>
          <w:rFonts w:ascii="Verdana" w:hAnsi="Verdana" w:cs="Arial"/>
          <w:color w:val="auto"/>
          <w:sz w:val="24"/>
          <w:szCs w:val="24"/>
        </w:rPr>
        <w:t>Veterinary Medicines Directorate’s Product Information Database</w:t>
      </w:r>
      <w:r>
        <w:fldChar w:fldCharType="end"/>
      </w:r>
      <w:r w:rsidRPr="00FB0629">
        <w:rPr>
          <w:rFonts w:ascii="Verdana" w:hAnsi="Verdana" w:cs="Arial"/>
          <w:sz w:val="24"/>
          <w:szCs w:val="24"/>
        </w:rPr>
        <w:t> to understand how to apply it right. Part your pet’s fur at the application site(s) until you can see the skin, apply directly to the skin not the fur. </w:t>
      </w:r>
    </w:p>
    <w:p w:rsidR="00EB4574" w:rsidRPr="00FB0629" w:rsidP="00EB4574">
      <w:pPr>
        <w:numPr>
          <w:ilvl w:val="0"/>
          <w:numId w:val="6"/>
        </w:numPr>
        <w:rPr>
          <w:rFonts w:ascii="Verdana" w:hAnsi="Verdana" w:cs="Arial"/>
          <w:sz w:val="24"/>
          <w:szCs w:val="24"/>
        </w:rPr>
      </w:pPr>
      <w:r w:rsidRPr="00FB0629">
        <w:rPr>
          <w:rFonts w:ascii="Verdana" w:hAnsi="Verdana" w:cs="Arial"/>
          <w:sz w:val="24"/>
          <w:szCs w:val="24"/>
          <w:u w:val="single"/>
        </w:rPr>
        <w:t>PROTECT:</w:t>
      </w:r>
      <w:r w:rsidRPr="00FB0629">
        <w:rPr>
          <w:rFonts w:ascii="Verdana" w:hAnsi="Verdana" w:cs="Arial"/>
          <w:sz w:val="24"/>
          <w:szCs w:val="24"/>
        </w:rPr>
        <w:t xml:space="preserve"> Don’t touch the application site until it is dry. Do not let your pet swim for </w:t>
      </w:r>
      <w:r w:rsidRPr="00FB0629">
        <w:rPr>
          <w:rFonts w:ascii="Verdana" w:hAnsi="Verdana" w:cs="Arial"/>
          <w:i/>
          <w:iCs/>
          <w:sz w:val="24"/>
          <w:szCs w:val="24"/>
        </w:rPr>
        <w:t>at least</w:t>
      </w:r>
      <w:r w:rsidRPr="00FB0629">
        <w:rPr>
          <w:rFonts w:ascii="Verdana" w:hAnsi="Verdana" w:cs="Arial"/>
          <w:sz w:val="24"/>
          <w:szCs w:val="24"/>
        </w:rPr>
        <w:t xml:space="preserve"> 4 days after application. Try to limit swimming and washing of your pet in the weeks after application. Bin used pipettes - don’t rinse them down the sink or recycle. Ask your medicine supplier about returning unused or expired medicine. Put pet fur from treated animals in the bin, don’t leave it out for nesting birds.  </w:t>
      </w:r>
    </w:p>
    <w:p w:rsidR="00EB4574" w:rsidRPr="00FB0629" w:rsidP="00EB4574">
      <w:pPr>
        <w:rPr>
          <w:rFonts w:ascii="Verdana" w:hAnsi="Verdana" w:cs="Arial"/>
          <w:sz w:val="24"/>
          <w:szCs w:val="24"/>
        </w:rPr>
      </w:pPr>
      <w:r w:rsidRPr="00FB0629">
        <w:rPr>
          <w:rFonts w:ascii="Verdana" w:hAnsi="Verdana" w:cs="Arial"/>
          <w:sz w:val="24"/>
          <w:szCs w:val="24"/>
        </w:rPr>
        <w:t> </w:t>
      </w:r>
    </w:p>
    <w:p w:rsidR="00EB4574" w:rsidRPr="00FB0629" w:rsidP="00EB4574">
      <w:pPr>
        <w:numPr>
          <w:ilvl w:val="0"/>
          <w:numId w:val="7"/>
        </w:numPr>
        <w:rPr>
          <w:rFonts w:ascii="Verdana" w:hAnsi="Verdana" w:cs="Arial"/>
          <w:sz w:val="24"/>
          <w:szCs w:val="24"/>
        </w:rPr>
      </w:pPr>
      <w:r w:rsidRPr="00FB0629">
        <w:rPr>
          <w:rFonts w:ascii="Verdana" w:hAnsi="Verdana" w:cs="Arial"/>
          <w:sz w:val="24"/>
          <w:szCs w:val="24"/>
        </w:rPr>
        <w:t>Seek professional advice from your vet or medicine supplier about your flea and tick control if the above steps prove difficult for you and your pet, or if your medicine appears to not be working. </w:t>
      </w:r>
    </w:p>
    <w:p w:rsidR="00EB4574" w:rsidP="00EB4574">
      <w:pPr>
        <w:rPr>
          <w:rFonts w:ascii="Verdana" w:hAnsi="Verdana" w:cs="Arial"/>
          <w:sz w:val="24"/>
          <w:szCs w:val="24"/>
        </w:rPr>
      </w:pPr>
      <w:r w:rsidRPr="00FB0629">
        <w:rPr>
          <w:rFonts w:ascii="Verdana" w:hAnsi="Verdana" w:cs="Arial"/>
          <w:sz w:val="24"/>
          <w:szCs w:val="24"/>
        </w:rPr>
        <w:t> </w:t>
      </w:r>
    </w:p>
    <w:p w:rsidR="007514A0" w:rsidRPr="00FB0629" w:rsidP="00EB4574">
      <w:pPr>
        <w:rPr>
          <w:rFonts w:ascii="Verdana" w:hAnsi="Verdana" w:cs="Arial"/>
          <w:sz w:val="24"/>
          <w:szCs w:val="24"/>
        </w:rPr>
      </w:pPr>
    </w:p>
    <w:p w:rsidR="00EB4574" w:rsidRPr="00FB0629" w:rsidP="00EB4574">
      <w:pPr>
        <w:spacing w:after="0"/>
        <w:rPr>
          <w:rFonts w:ascii="Verdana" w:hAnsi="Verdana" w:cs="Arial"/>
          <w:sz w:val="24"/>
          <w:szCs w:val="24"/>
        </w:rPr>
      </w:pPr>
      <w:r w:rsidRPr="00FB0629">
        <w:rPr>
          <w:rFonts w:ascii="Verdana" w:hAnsi="Verdana" w:cs="Arial"/>
          <w:b/>
          <w:bCs/>
          <w:sz w:val="24"/>
          <w:szCs w:val="24"/>
        </w:rPr>
        <w:t>Evidence Gathering</w:t>
      </w:r>
      <w:r w:rsidRPr="00FB0629">
        <w:rPr>
          <w:rFonts w:ascii="Verdana" w:hAnsi="Verdana" w:cs="Arial"/>
          <w:sz w:val="24"/>
          <w:szCs w:val="24"/>
        </w:rPr>
        <w:t> </w:t>
      </w:r>
    </w:p>
    <w:p w:rsidR="00EB4574" w:rsidRPr="00FB0629" w:rsidP="00EB4574">
      <w:pPr>
        <w:rPr>
          <w:rFonts w:ascii="Verdana" w:hAnsi="Verdana" w:cs="Arial"/>
          <w:sz w:val="24"/>
          <w:szCs w:val="24"/>
        </w:rPr>
      </w:pPr>
      <w:r w:rsidRPr="00FB0629">
        <w:rPr>
          <w:rFonts w:ascii="Verdana" w:hAnsi="Verdana" w:cs="Arial"/>
          <w:sz w:val="24"/>
          <w:szCs w:val="24"/>
        </w:rPr>
        <w:t>The following table summarises </w:t>
      </w:r>
      <w:r w:rsidRPr="00FB0629">
        <w:rPr>
          <w:rFonts w:ascii="Verdana" w:hAnsi="Verdana" w:cs="Arial"/>
          <w:b/>
          <w:bCs/>
          <w:sz w:val="24"/>
          <w:szCs w:val="24"/>
        </w:rPr>
        <w:t>published VMD commissioned research: </w:t>
      </w:r>
      <w:r w:rsidRPr="00FB0629">
        <w:rPr>
          <w:rFonts w:ascii="Verdana" w:hAnsi="Verdana" w:cs="Arial"/>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36"/>
        <w:gridCol w:w="1398"/>
        <w:gridCol w:w="3127"/>
        <w:gridCol w:w="3049"/>
      </w:tblGrid>
      <w:tr>
        <w:tblPrEx>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1455"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Evidence Gap  </w:t>
            </w:r>
          </w:p>
        </w:tc>
        <w:tc>
          <w:tcPr>
            <w:tcW w:w="1305"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Project Title  </w:t>
            </w:r>
          </w:p>
        </w:tc>
        <w:tc>
          <w:tcPr>
            <w:tcW w:w="3015"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Summary of Research  </w:t>
            </w:r>
          </w:p>
        </w:tc>
        <w:tc>
          <w:tcPr>
            <w:tcW w:w="3675"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Limitations / Next Steps  </w:t>
            </w:r>
          </w:p>
        </w:tc>
      </w:tr>
      <w:tr>
        <w:tblPrEx>
          <w:tblW w:w="0" w:type="dxa"/>
          <w:tblCellMar>
            <w:left w:w="0" w:type="dxa"/>
            <w:right w:w="0" w:type="dxa"/>
          </w:tblCellMar>
          <w:tblLook w:val="04A0"/>
        </w:tblPrEx>
        <w:trPr>
          <w:trHeight w:val="2700"/>
        </w:trPr>
        <w:tc>
          <w:tcPr>
            <w:tcW w:w="1455" w:type="dxa"/>
            <w:vMerge w:val="restart"/>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Confirmation of VMPs as an exposure pathway. Does not rule out contribution from other sources.  </w:t>
            </w:r>
          </w:p>
        </w:tc>
        <w:tc>
          <w:tcPr>
            <w:tcW w:w="1305"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Perkins et al., 2024 Down-the-Drain  </w:t>
            </w:r>
          </w:p>
        </w:tc>
        <w:tc>
          <w:tcPr>
            <w:tcW w:w="3015"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Flea and tick spot-</w:t>
            </w:r>
            <w:r w:rsidRPr="00FB0629">
              <w:rPr>
                <w:rFonts w:ascii="Verdana" w:hAnsi="Verdana" w:cs="Arial"/>
                <w:sz w:val="24"/>
                <w:szCs w:val="24"/>
              </w:rPr>
              <w:t>ons</w:t>
            </w:r>
            <w:r w:rsidRPr="00FB0629">
              <w:rPr>
                <w:rFonts w:ascii="Verdana" w:hAnsi="Verdana" w:cs="Arial"/>
                <w:sz w:val="24"/>
                <w:szCs w:val="24"/>
              </w:rPr>
              <w:t> can enter the environment via wastewater. Fipronil or imidacloprid was detected in all wash-off samples. Bathing caused the highest emissions per event, but handwashing contributed most overall due to its frequency. Wash-off levels decreased over time. </w:t>
            </w:r>
          </w:p>
        </w:tc>
        <w:tc>
          <w:tcPr>
            <w:tcW w:w="3675" w:type="dxa"/>
            <w:vMerge w:val="restart"/>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b/>
                <w:bCs/>
                <w:sz w:val="24"/>
                <w:szCs w:val="24"/>
              </w:rPr>
              <w:t>Limitations:</w:t>
            </w:r>
            <w:r w:rsidRPr="00FB0629">
              <w:rPr>
                <w:rFonts w:ascii="Verdana" w:hAnsi="Verdana" w:cs="Arial"/>
                <w:sz w:val="24"/>
                <w:szCs w:val="24"/>
              </w:rPr>
              <w:t> Considered seminal confirmatory studies that demonstrate that VMPs do contribute to environmental levels.  However, as studies are based on modelling with multiple assumptions, findings are considered broad estimates rather than precise measurements.  </w:t>
            </w:r>
          </w:p>
          <w:p w:rsidR="00EB4574" w:rsidRPr="00FB0629" w:rsidP="00EB4574">
            <w:pPr>
              <w:rPr>
                <w:rFonts w:ascii="Verdana" w:hAnsi="Verdana" w:cs="Arial"/>
                <w:sz w:val="24"/>
                <w:szCs w:val="24"/>
              </w:rPr>
            </w:pPr>
            <w:r w:rsidRPr="00FB0629">
              <w:rPr>
                <w:rFonts w:ascii="Verdana" w:hAnsi="Verdana" w:cs="Arial"/>
                <w:sz w:val="24"/>
                <w:szCs w:val="24"/>
              </w:rPr>
              <w:t> </w:t>
            </w:r>
          </w:p>
          <w:p w:rsidR="00EB4574" w:rsidRPr="00FB0629" w:rsidP="00EB4574">
            <w:pPr>
              <w:rPr>
                <w:rFonts w:ascii="Verdana" w:hAnsi="Verdana" w:cs="Arial"/>
                <w:sz w:val="24"/>
                <w:szCs w:val="24"/>
              </w:rPr>
            </w:pPr>
            <w:r w:rsidRPr="00FB0629">
              <w:rPr>
                <w:rFonts w:ascii="Verdana" w:hAnsi="Verdana" w:cs="Arial"/>
                <w:b/>
                <w:bCs/>
                <w:sz w:val="24"/>
                <w:szCs w:val="24"/>
              </w:rPr>
              <w:t>Next Steps:</w:t>
            </w:r>
            <w:r w:rsidRPr="00FB0629">
              <w:rPr>
                <w:rFonts w:ascii="Verdana" w:hAnsi="Verdana" w:cs="Arial"/>
                <w:sz w:val="24"/>
                <w:szCs w:val="24"/>
              </w:rPr>
              <w:t> Roadmap was largely developed in response to these findings. Measured steps to progress as evidence develops.  </w:t>
            </w:r>
          </w:p>
        </w:tc>
      </w:tr>
      <w:tr>
        <w:tblPrEx>
          <w:tblW w:w="0" w:type="dxa"/>
          <w:tblCellMar>
            <w:left w:w="0" w:type="dxa"/>
            <w:right w:w="0" w:type="dxa"/>
          </w:tblCellMar>
          <w:tblLook w:val="04A0"/>
        </w:tblPrEx>
        <w:trPr>
          <w:trHeight w:val="825"/>
        </w:trPr>
        <w:tc>
          <w:tcPr>
            <w:tcW w:w="0" w:type="auto"/>
            <w:vMerge/>
            <w:tcBorders>
              <w:top w:val="single" w:sz="6" w:space="0" w:color="auto"/>
              <w:left w:val="single" w:sz="6" w:space="0" w:color="auto"/>
              <w:bottom w:val="single" w:sz="6" w:space="0" w:color="auto"/>
              <w:right w:val="single" w:sz="6" w:space="0" w:color="auto"/>
            </w:tcBorders>
            <w:vAlign w:val="center"/>
            <w:hideMark/>
          </w:tcPr>
          <w:p w:rsidR="00EB4574" w:rsidRPr="00FB0629" w:rsidP="00EB4574">
            <w:pPr>
              <w:rPr>
                <w:rFonts w:ascii="Verdana" w:hAnsi="Verdana" w:cs="Arial"/>
                <w:sz w:val="24"/>
                <w:szCs w:val="24"/>
              </w:rPr>
            </w:pPr>
          </w:p>
        </w:tc>
        <w:tc>
          <w:tcPr>
            <w:tcW w:w="1305"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Perkins et al., 2025 </w:t>
            </w:r>
          </w:p>
          <w:p w:rsidR="00EB4574" w:rsidRPr="00FB0629" w:rsidP="00EB4574">
            <w:pPr>
              <w:rPr>
                <w:rFonts w:ascii="Verdana" w:hAnsi="Verdana" w:cs="Arial"/>
                <w:sz w:val="24"/>
                <w:szCs w:val="24"/>
              </w:rPr>
            </w:pPr>
            <w:r w:rsidRPr="00FB0629">
              <w:rPr>
                <w:rFonts w:ascii="Verdana" w:hAnsi="Verdana" w:cs="Arial"/>
                <w:sz w:val="24"/>
                <w:szCs w:val="24"/>
              </w:rPr>
              <w:t>Swimming   </w:t>
            </w:r>
          </w:p>
        </w:tc>
        <w:tc>
          <w:tcPr>
            <w:tcW w:w="3015"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Shown that dog swimming can result in wash-off to lakes and rivers across the treatment period.  </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EB4574" w:rsidRPr="00FB0629" w:rsidP="00EB4574">
            <w:pPr>
              <w:rPr>
                <w:rFonts w:ascii="Verdana" w:hAnsi="Verdana" w:cs="Arial"/>
                <w:sz w:val="24"/>
                <w:szCs w:val="24"/>
              </w:rPr>
            </w:pPr>
          </w:p>
        </w:tc>
      </w:tr>
      <w:tr>
        <w:tblPrEx>
          <w:tblW w:w="0" w:type="dxa"/>
          <w:tblCellMar>
            <w:left w:w="0" w:type="dxa"/>
            <w:right w:w="0" w:type="dxa"/>
          </w:tblCellMar>
          <w:tblLook w:val="04A0"/>
        </w:tblPrEx>
        <w:trPr>
          <w:trHeight w:val="825"/>
        </w:trPr>
        <w:tc>
          <w:tcPr>
            <w:tcW w:w="1455"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Lack of robust evidence on pet owner practices  </w:t>
            </w:r>
          </w:p>
        </w:tc>
        <w:tc>
          <w:tcPr>
            <w:tcW w:w="1305"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VMD Pet owner survey </w:t>
            </w:r>
          </w:p>
        </w:tc>
        <w:tc>
          <w:tcPr>
            <w:tcW w:w="3015"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Collected indicative baseline data on pet owner practices and behaviours relevant to environmental exposure.  </w:t>
            </w:r>
          </w:p>
          <w:p w:rsidR="00EB4574" w:rsidRPr="00FB0629" w:rsidP="00EB4574">
            <w:pPr>
              <w:rPr>
                <w:rFonts w:ascii="Verdana" w:hAnsi="Verdana" w:cs="Arial"/>
                <w:sz w:val="24"/>
                <w:szCs w:val="24"/>
              </w:rPr>
            </w:pPr>
            <w:r w:rsidRPr="00FB0629">
              <w:rPr>
                <w:rFonts w:ascii="Verdana" w:hAnsi="Verdana" w:cs="Arial"/>
                <w:sz w:val="24"/>
                <w:szCs w:val="24"/>
              </w:rPr>
              <w:t> </w:t>
            </w:r>
          </w:p>
          <w:p w:rsidR="00EB4574" w:rsidRPr="00FB0629" w:rsidP="00EB4574">
            <w:pPr>
              <w:rPr>
                <w:rFonts w:ascii="Verdana" w:hAnsi="Verdana" w:cs="Arial"/>
                <w:sz w:val="24"/>
                <w:szCs w:val="24"/>
              </w:rPr>
            </w:pPr>
            <w:r w:rsidRPr="00FB0629">
              <w:rPr>
                <w:rFonts w:ascii="Verdana" w:hAnsi="Verdana" w:cs="Arial"/>
                <w:sz w:val="24"/>
                <w:szCs w:val="24"/>
              </w:rPr>
              <w:t>Environmental concern among respondents was higher among those who sought veterinary advice, read product literature, or were already aware of environmental risks. </w:t>
            </w:r>
          </w:p>
          <w:p w:rsidR="00EB4574" w:rsidRPr="00FB0629" w:rsidP="00EB4574">
            <w:pPr>
              <w:rPr>
                <w:rFonts w:ascii="Verdana" w:hAnsi="Verdana" w:cs="Arial"/>
                <w:sz w:val="24"/>
                <w:szCs w:val="24"/>
              </w:rPr>
            </w:pPr>
            <w:r w:rsidRPr="00FB0629">
              <w:rPr>
                <w:rFonts w:ascii="Verdana" w:hAnsi="Verdana" w:cs="Arial"/>
                <w:sz w:val="24"/>
                <w:szCs w:val="24"/>
              </w:rPr>
              <w:t> </w:t>
            </w:r>
          </w:p>
        </w:tc>
        <w:tc>
          <w:tcPr>
            <w:tcW w:w="3675"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b/>
                <w:bCs/>
                <w:sz w:val="24"/>
                <w:szCs w:val="24"/>
              </w:rPr>
              <w:t>Limitations: </w:t>
            </w:r>
            <w:r w:rsidRPr="00FB0629">
              <w:rPr>
                <w:rFonts w:ascii="Verdana" w:hAnsi="Verdana" w:cs="Arial"/>
                <w:sz w:val="24"/>
                <w:szCs w:val="24"/>
              </w:rPr>
              <w:t>Potential response bias (e.g. more engaged or informed respondents). Distribution via veterinary networks may influence sample demographics. </w:t>
            </w:r>
          </w:p>
          <w:p w:rsidR="00EB4574" w:rsidRPr="00FB0629" w:rsidP="00EB4574">
            <w:pPr>
              <w:rPr>
                <w:rFonts w:ascii="Verdana" w:hAnsi="Verdana" w:cs="Arial"/>
                <w:sz w:val="24"/>
                <w:szCs w:val="24"/>
              </w:rPr>
            </w:pPr>
            <w:r w:rsidRPr="00FB0629">
              <w:rPr>
                <w:rFonts w:ascii="Verdana" w:hAnsi="Verdana" w:cs="Arial"/>
                <w:sz w:val="24"/>
                <w:szCs w:val="24"/>
              </w:rPr>
              <w:t> </w:t>
            </w:r>
          </w:p>
          <w:p w:rsidR="00EB4574" w:rsidRPr="00FB0629" w:rsidP="00EB4574">
            <w:pPr>
              <w:rPr>
                <w:rFonts w:ascii="Verdana" w:hAnsi="Verdana" w:cs="Arial"/>
                <w:sz w:val="24"/>
                <w:szCs w:val="24"/>
              </w:rPr>
            </w:pPr>
            <w:r w:rsidRPr="00FB0629">
              <w:rPr>
                <w:rFonts w:ascii="Verdana" w:hAnsi="Verdana" w:cs="Arial"/>
                <w:b/>
                <w:bCs/>
                <w:sz w:val="24"/>
                <w:szCs w:val="24"/>
              </w:rPr>
              <w:t>Next steps: </w:t>
            </w:r>
            <w:r w:rsidRPr="00FB0629">
              <w:rPr>
                <w:rFonts w:ascii="Verdana" w:hAnsi="Verdana" w:cs="Arial"/>
                <w:sz w:val="24"/>
                <w:szCs w:val="24"/>
              </w:rPr>
              <w:t>Use findings to inform targeted messaging through the </w:t>
            </w:r>
            <w:r w:rsidRPr="00FB0629">
              <w:rPr>
                <w:rFonts w:ascii="Verdana" w:hAnsi="Verdana" w:cs="Arial"/>
                <w:i/>
                <w:iCs/>
                <w:sz w:val="24"/>
                <w:szCs w:val="24"/>
              </w:rPr>
              <w:t>Be Spot </w:t>
            </w:r>
            <w:r w:rsidRPr="00FB0629">
              <w:rPr>
                <w:rFonts w:ascii="Verdana" w:hAnsi="Verdana" w:cs="Arial"/>
                <w:i/>
                <w:iCs/>
                <w:sz w:val="24"/>
                <w:szCs w:val="24"/>
              </w:rPr>
              <w:t>On</w:t>
            </w:r>
            <w:r w:rsidRPr="00FB0629">
              <w:rPr>
                <w:rFonts w:ascii="Verdana" w:hAnsi="Verdana" w:cs="Arial"/>
                <w:i/>
                <w:iCs/>
                <w:sz w:val="24"/>
                <w:szCs w:val="24"/>
              </w:rPr>
              <w:t> Aware</w:t>
            </w:r>
            <w:r w:rsidRPr="00FB0629">
              <w:rPr>
                <w:rFonts w:ascii="Verdana" w:hAnsi="Verdana" w:cs="Arial"/>
                <w:sz w:val="24"/>
                <w:szCs w:val="24"/>
              </w:rPr>
              <w:t> campaign,  </w:t>
            </w:r>
          </w:p>
          <w:p w:rsidR="00EB4574" w:rsidRPr="00FB0629" w:rsidP="00EB4574">
            <w:pPr>
              <w:rPr>
                <w:rFonts w:ascii="Verdana" w:hAnsi="Verdana" w:cs="Arial"/>
                <w:sz w:val="24"/>
                <w:szCs w:val="24"/>
              </w:rPr>
            </w:pPr>
            <w:r w:rsidRPr="00FB0629">
              <w:rPr>
                <w:rFonts w:ascii="Verdana" w:hAnsi="Verdana" w:cs="Arial"/>
                <w:sz w:val="24"/>
                <w:szCs w:val="24"/>
              </w:rPr>
              <w:t>and undertake further behavioural research to better understand parasiticide use and supply to support future regulatory decisions. </w:t>
            </w:r>
          </w:p>
          <w:p w:rsidR="00EB4574" w:rsidRPr="00FB0629" w:rsidP="00EB4574">
            <w:pPr>
              <w:rPr>
                <w:rFonts w:ascii="Verdana" w:hAnsi="Verdana" w:cs="Arial"/>
                <w:sz w:val="24"/>
                <w:szCs w:val="24"/>
              </w:rPr>
            </w:pPr>
            <w:r w:rsidRPr="00FB0629">
              <w:rPr>
                <w:rFonts w:ascii="Verdana" w:hAnsi="Verdana" w:cs="Arial"/>
                <w:sz w:val="24"/>
                <w:szCs w:val="24"/>
              </w:rPr>
              <w:t> </w:t>
            </w:r>
          </w:p>
        </w:tc>
      </w:tr>
      <w:tr>
        <w:tblPrEx>
          <w:tblW w:w="0" w:type="dxa"/>
          <w:tblCellMar>
            <w:left w:w="0" w:type="dxa"/>
            <w:right w:w="0" w:type="dxa"/>
          </w:tblCellMar>
          <w:tblLook w:val="04A0"/>
        </w:tblPrEx>
        <w:trPr>
          <w:trHeight w:val="825"/>
        </w:trPr>
        <w:tc>
          <w:tcPr>
            <w:tcW w:w="9480" w:type="dxa"/>
            <w:gridSpan w:val="4"/>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Taken together, these studies have shifted our understanding from veterinary medicines being a potential source of environmental exposure to being likely contributors. However, there remains uncertainty around the scale of contribution and variability in real-world use, which is why further evidence development and proportionate next steps are important. </w:t>
            </w:r>
          </w:p>
        </w:tc>
      </w:tr>
    </w:tbl>
    <w:p w:rsidR="00EB4574" w:rsidRPr="00FB0629" w:rsidP="00EB4574">
      <w:pPr>
        <w:rPr>
          <w:rFonts w:ascii="Verdana" w:hAnsi="Verdana" w:cs="Arial"/>
          <w:sz w:val="24"/>
          <w:szCs w:val="24"/>
        </w:rPr>
      </w:pPr>
      <w:r w:rsidRPr="00FB0629">
        <w:rPr>
          <w:rFonts w:ascii="Verdana" w:hAnsi="Verdana" w:cs="Arial"/>
          <w:sz w:val="24"/>
          <w:szCs w:val="24"/>
        </w:rPr>
        <w:t> </w:t>
      </w:r>
    </w:p>
    <w:p w:rsidR="00D844BA" w:rsidRPr="00FB0629" w:rsidP="00EB4574">
      <w:pPr>
        <w:rPr>
          <w:rFonts w:ascii="Verdana" w:hAnsi="Verdana" w:cs="Arial"/>
          <w:sz w:val="24"/>
          <w:szCs w:val="24"/>
        </w:rPr>
      </w:pPr>
    </w:p>
    <w:p w:rsidR="00EB4574" w:rsidRPr="00FB0629" w:rsidP="00EB4574">
      <w:pPr>
        <w:rPr>
          <w:rFonts w:ascii="Verdana" w:hAnsi="Verdana" w:cs="Arial"/>
          <w:sz w:val="24"/>
          <w:szCs w:val="24"/>
        </w:rPr>
      </w:pPr>
      <w:r w:rsidRPr="00FB0629">
        <w:rPr>
          <w:rFonts w:ascii="Verdana" w:hAnsi="Verdana" w:cs="Arial"/>
          <w:b/>
          <w:bCs/>
          <w:sz w:val="24"/>
          <w:szCs w:val="24"/>
        </w:rPr>
        <w:t>Current VMD commissioned projects, ongoing and yet to be published: </w:t>
      </w:r>
      <w:r w:rsidRPr="00FB0629">
        <w:rPr>
          <w:rFonts w:ascii="Verdana" w:hAnsi="Verdana" w:cs="Arial"/>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567"/>
        <w:gridCol w:w="1492"/>
        <w:gridCol w:w="2674"/>
        <w:gridCol w:w="2277"/>
      </w:tblGrid>
      <w:tr>
        <w:tblPrEx>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2070"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Evidence Gap  </w:t>
            </w:r>
          </w:p>
        </w:tc>
        <w:tc>
          <w:tcPr>
            <w:tcW w:w="1620"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Project Title  </w:t>
            </w:r>
          </w:p>
        </w:tc>
        <w:tc>
          <w:tcPr>
            <w:tcW w:w="2640"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Summary of Research  </w:t>
            </w:r>
          </w:p>
        </w:tc>
        <w:tc>
          <w:tcPr>
            <w:tcW w:w="3135"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Findings &amp; Next Steps  </w:t>
            </w:r>
          </w:p>
        </w:tc>
      </w:tr>
      <w:tr>
        <w:tblPrEx>
          <w:tblW w:w="0" w:type="dxa"/>
          <w:tblCellMar>
            <w:left w:w="0" w:type="dxa"/>
            <w:right w:w="0" w:type="dxa"/>
          </w:tblCellMar>
          <w:tblLook w:val="04A0"/>
        </w:tblPrEx>
        <w:trPr>
          <w:trHeight w:val="7080"/>
        </w:trPr>
        <w:tc>
          <w:tcPr>
            <w:tcW w:w="2070"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Evidence to help determine optimal use of these treatments.  </w:t>
            </w:r>
          </w:p>
          <w:p w:rsidR="00EB4574" w:rsidRPr="00FB0629" w:rsidP="00EB4574">
            <w:pPr>
              <w:rPr>
                <w:rFonts w:ascii="Verdana" w:hAnsi="Verdana" w:cs="Arial"/>
                <w:sz w:val="24"/>
                <w:szCs w:val="24"/>
              </w:rPr>
            </w:pPr>
            <w:r w:rsidRPr="00FB0629">
              <w:rPr>
                <w:rFonts w:ascii="Verdana" w:hAnsi="Verdana" w:cs="Arial"/>
                <w:sz w:val="24"/>
                <w:szCs w:val="24"/>
              </w:rPr>
              <w:t> </w:t>
            </w:r>
          </w:p>
        </w:tc>
        <w:tc>
          <w:tcPr>
            <w:tcW w:w="1620"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Multidisciplinary Study with Research Team at the University of Plymouth  </w:t>
            </w:r>
          </w:p>
          <w:p w:rsidR="00EB4574" w:rsidRPr="00FB0629" w:rsidP="00EB4574">
            <w:pPr>
              <w:rPr>
                <w:rFonts w:ascii="Verdana" w:hAnsi="Verdana" w:cs="Arial"/>
                <w:sz w:val="24"/>
                <w:szCs w:val="24"/>
              </w:rPr>
            </w:pPr>
            <w:r w:rsidRPr="00FB0629">
              <w:rPr>
                <w:rFonts w:ascii="Verdana" w:hAnsi="Verdana" w:cs="Arial"/>
                <w:sz w:val="24"/>
                <w:szCs w:val="24"/>
              </w:rPr>
              <w:t> </w:t>
            </w:r>
          </w:p>
          <w:p w:rsidR="00EB4574" w:rsidRPr="00FB0629" w:rsidP="00EB4574">
            <w:pPr>
              <w:rPr>
                <w:rFonts w:ascii="Verdana" w:hAnsi="Verdana" w:cs="Arial"/>
                <w:sz w:val="24"/>
                <w:szCs w:val="24"/>
              </w:rPr>
            </w:pPr>
            <w:r w:rsidRPr="00FB0629">
              <w:rPr>
                <w:rFonts w:ascii="Verdana" w:hAnsi="Verdana" w:cs="Arial"/>
                <w:sz w:val="24"/>
                <w:szCs w:val="24"/>
              </w:rPr>
              <w:t> </w:t>
            </w:r>
          </w:p>
        </w:tc>
        <w:tc>
          <w:tcPr>
            <w:tcW w:w="2640"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 xml:space="preserve">The project brought together expertise from biological science, environmental chemistry and social science to examine the use of companion animal </w:t>
            </w:r>
            <w:r w:rsidRPr="00FB0629">
              <w:rPr>
                <w:rFonts w:ascii="Verdana" w:hAnsi="Verdana" w:cs="Arial"/>
                <w:sz w:val="24"/>
                <w:szCs w:val="24"/>
              </w:rPr>
              <w:t>ectoparasiticides</w:t>
            </w:r>
            <w:r w:rsidRPr="00FB0629">
              <w:rPr>
                <w:rFonts w:ascii="Verdana" w:hAnsi="Verdana" w:cs="Arial"/>
                <w:sz w:val="24"/>
                <w:szCs w:val="24"/>
              </w:rPr>
              <w:t xml:space="preserve"> and their implications for environmental, animal and public health. The research included a review of the available scientific evidence base alongside original social research conducted between December 2025 and March 2026 with veterinary professionals and pet owners across England. </w:t>
            </w:r>
          </w:p>
        </w:tc>
        <w:tc>
          <w:tcPr>
            <w:tcW w:w="3135"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This study is complete but not yet published. Publication will depend on peer review process.  </w:t>
            </w:r>
          </w:p>
          <w:p w:rsidR="00EB4574" w:rsidRPr="00FB0629" w:rsidP="00EB4574">
            <w:pPr>
              <w:rPr>
                <w:rFonts w:ascii="Verdana" w:hAnsi="Verdana" w:cs="Arial"/>
                <w:sz w:val="24"/>
                <w:szCs w:val="24"/>
              </w:rPr>
            </w:pPr>
            <w:r w:rsidRPr="00FB0629">
              <w:rPr>
                <w:rFonts w:ascii="Verdana" w:hAnsi="Verdana" w:cs="Arial"/>
                <w:sz w:val="24"/>
                <w:szCs w:val="24"/>
              </w:rPr>
              <w:t> </w:t>
            </w:r>
          </w:p>
          <w:p w:rsidR="00EB4574" w:rsidRPr="00FB0629" w:rsidP="00EB4574">
            <w:pPr>
              <w:rPr>
                <w:rFonts w:ascii="Verdana" w:hAnsi="Verdana" w:cs="Arial"/>
                <w:sz w:val="24"/>
                <w:szCs w:val="24"/>
              </w:rPr>
            </w:pPr>
            <w:r w:rsidRPr="00FB0629">
              <w:rPr>
                <w:rFonts w:ascii="Verdana" w:hAnsi="Verdana" w:cs="Arial"/>
                <w:sz w:val="24"/>
                <w:szCs w:val="24"/>
              </w:rPr>
              <w:t>Key findings are below:  </w:t>
            </w:r>
          </w:p>
          <w:p w:rsidR="00EB4574" w:rsidRPr="00FB0629" w:rsidP="00EB4574">
            <w:pPr>
              <w:rPr>
                <w:rFonts w:ascii="Verdana" w:hAnsi="Verdana" w:cs="Arial"/>
                <w:sz w:val="24"/>
                <w:szCs w:val="24"/>
              </w:rPr>
            </w:pPr>
            <w:r w:rsidRPr="00FB0629">
              <w:rPr>
                <w:rFonts w:ascii="Verdana" w:hAnsi="Verdana" w:cs="Arial"/>
                <w:sz w:val="24"/>
                <w:szCs w:val="24"/>
              </w:rPr>
              <w:t> </w:t>
            </w:r>
          </w:p>
          <w:p w:rsidR="00EB4574" w:rsidRPr="00FB0629" w:rsidP="00EB4574">
            <w:pPr>
              <w:numPr>
                <w:ilvl w:val="0"/>
                <w:numId w:val="8"/>
              </w:numPr>
              <w:rPr>
                <w:rFonts w:ascii="Verdana" w:hAnsi="Verdana" w:cs="Arial"/>
                <w:sz w:val="24"/>
                <w:szCs w:val="24"/>
              </w:rPr>
            </w:pPr>
            <w:r w:rsidRPr="00FB0629">
              <w:rPr>
                <w:rFonts w:ascii="Verdana" w:hAnsi="Verdana" w:cs="Arial"/>
                <w:sz w:val="24"/>
                <w:szCs w:val="24"/>
              </w:rPr>
              <w:t>Monthly Health Plans contributing to routinised prescribing </w:t>
            </w:r>
          </w:p>
          <w:p w:rsidR="00EB4574" w:rsidRPr="00FB0629" w:rsidP="00EB4574">
            <w:pPr>
              <w:rPr>
                <w:rFonts w:ascii="Verdana" w:hAnsi="Verdana" w:cs="Arial"/>
                <w:sz w:val="24"/>
                <w:szCs w:val="24"/>
              </w:rPr>
            </w:pPr>
            <w:r w:rsidRPr="00FB0629">
              <w:rPr>
                <w:rFonts w:ascii="Verdana" w:hAnsi="Verdana" w:cs="Arial"/>
                <w:sz w:val="24"/>
                <w:szCs w:val="24"/>
              </w:rPr>
              <w:t> </w:t>
            </w:r>
          </w:p>
          <w:p w:rsidR="00EB4574" w:rsidRPr="00FB0629" w:rsidP="00EB4574">
            <w:pPr>
              <w:numPr>
                <w:ilvl w:val="0"/>
                <w:numId w:val="9"/>
              </w:numPr>
              <w:rPr>
                <w:rFonts w:ascii="Verdana" w:hAnsi="Verdana" w:cs="Arial"/>
                <w:sz w:val="24"/>
                <w:szCs w:val="24"/>
              </w:rPr>
            </w:pPr>
            <w:r w:rsidRPr="00FB0629">
              <w:rPr>
                <w:rFonts w:ascii="Verdana" w:hAnsi="Verdana" w:cs="Arial"/>
                <w:sz w:val="24"/>
                <w:szCs w:val="24"/>
              </w:rPr>
              <w:t>Routinised use normalised among pet owners </w:t>
            </w:r>
          </w:p>
          <w:p w:rsidR="00EB4574" w:rsidRPr="00FB0629" w:rsidP="00EB4574">
            <w:pPr>
              <w:rPr>
                <w:rFonts w:ascii="Verdana" w:hAnsi="Verdana" w:cs="Arial"/>
                <w:sz w:val="24"/>
                <w:szCs w:val="24"/>
              </w:rPr>
            </w:pPr>
            <w:r w:rsidRPr="00FB0629">
              <w:rPr>
                <w:rFonts w:ascii="Verdana" w:hAnsi="Verdana" w:cs="Arial"/>
                <w:sz w:val="24"/>
                <w:szCs w:val="24"/>
              </w:rPr>
              <w:t> </w:t>
            </w:r>
          </w:p>
          <w:p w:rsidR="00EB4574" w:rsidRPr="00FB0629" w:rsidP="00EB4574">
            <w:pPr>
              <w:numPr>
                <w:ilvl w:val="0"/>
                <w:numId w:val="10"/>
              </w:numPr>
              <w:rPr>
                <w:rFonts w:ascii="Verdana" w:hAnsi="Verdana" w:cs="Arial"/>
                <w:sz w:val="24"/>
                <w:szCs w:val="24"/>
              </w:rPr>
            </w:pPr>
            <w:r w:rsidRPr="00FB0629">
              <w:rPr>
                <w:rFonts w:ascii="Verdana" w:hAnsi="Verdana" w:cs="Arial"/>
                <w:sz w:val="24"/>
                <w:szCs w:val="24"/>
              </w:rPr>
              <w:t>Pet owner application behaviours revealed limited and inconsistent engagement with risk mitigation practices. </w:t>
            </w:r>
          </w:p>
          <w:p w:rsidR="00EB4574" w:rsidRPr="00FB0629" w:rsidP="00EB4574">
            <w:pPr>
              <w:rPr>
                <w:rFonts w:ascii="Verdana" w:hAnsi="Verdana" w:cs="Arial"/>
                <w:sz w:val="24"/>
                <w:szCs w:val="24"/>
              </w:rPr>
            </w:pPr>
            <w:r w:rsidRPr="00FB0629">
              <w:rPr>
                <w:rFonts w:ascii="Verdana" w:hAnsi="Verdana" w:cs="Arial"/>
                <w:sz w:val="24"/>
                <w:szCs w:val="24"/>
              </w:rPr>
              <w:t> </w:t>
            </w:r>
          </w:p>
          <w:p w:rsidR="00EB4574" w:rsidRPr="00FB0629" w:rsidP="00EB4574">
            <w:pPr>
              <w:numPr>
                <w:ilvl w:val="0"/>
                <w:numId w:val="11"/>
              </w:numPr>
              <w:rPr>
                <w:rFonts w:ascii="Verdana" w:hAnsi="Verdana" w:cs="Arial"/>
                <w:sz w:val="24"/>
                <w:szCs w:val="24"/>
              </w:rPr>
            </w:pPr>
            <w:r w:rsidRPr="00FB0629">
              <w:rPr>
                <w:rFonts w:ascii="Verdana" w:hAnsi="Verdana" w:cs="Arial"/>
                <w:sz w:val="24"/>
                <w:szCs w:val="24"/>
              </w:rPr>
              <w:t>Lack of a Shared Definition and Practical Framework for Risk-</w:t>
            </w:r>
            <w:r w:rsidRPr="00FB0629">
              <w:rPr>
                <w:rFonts w:ascii="Verdana" w:hAnsi="Verdana" w:cs="Arial"/>
                <w:sz w:val="24"/>
                <w:szCs w:val="24"/>
              </w:rPr>
              <w:t>Based Prescribing </w:t>
            </w:r>
          </w:p>
          <w:p w:rsidR="00EB4574" w:rsidRPr="00FB0629" w:rsidP="00EB4574">
            <w:pPr>
              <w:rPr>
                <w:rFonts w:ascii="Verdana" w:hAnsi="Verdana" w:cs="Arial"/>
                <w:sz w:val="24"/>
                <w:szCs w:val="24"/>
              </w:rPr>
            </w:pPr>
            <w:r w:rsidRPr="00FB0629">
              <w:rPr>
                <w:rFonts w:ascii="Verdana" w:hAnsi="Verdana" w:cs="Arial"/>
                <w:sz w:val="24"/>
                <w:szCs w:val="24"/>
              </w:rPr>
              <w:t> </w:t>
            </w:r>
          </w:p>
          <w:p w:rsidR="00EB4574" w:rsidRPr="00FB0629" w:rsidP="00EB4574">
            <w:pPr>
              <w:rPr>
                <w:rFonts w:ascii="Verdana" w:hAnsi="Verdana" w:cs="Arial"/>
                <w:sz w:val="24"/>
                <w:szCs w:val="24"/>
              </w:rPr>
            </w:pPr>
            <w:r w:rsidRPr="00FB0629">
              <w:rPr>
                <w:rFonts w:ascii="Verdana" w:hAnsi="Verdana" w:cs="Arial"/>
                <w:sz w:val="24"/>
                <w:szCs w:val="24"/>
              </w:rPr>
              <w:t>Next Steps:  </w:t>
            </w:r>
          </w:p>
          <w:p w:rsidR="00EB4574" w:rsidRPr="00FB0629" w:rsidP="00EB4574">
            <w:pPr>
              <w:rPr>
                <w:rFonts w:ascii="Verdana" w:hAnsi="Verdana" w:cs="Arial"/>
                <w:sz w:val="24"/>
                <w:szCs w:val="24"/>
              </w:rPr>
            </w:pPr>
            <w:r w:rsidRPr="00FB0629">
              <w:rPr>
                <w:rFonts w:ascii="Verdana" w:hAnsi="Verdana" w:cs="Arial"/>
                <w:sz w:val="24"/>
                <w:szCs w:val="24"/>
              </w:rPr>
              <w:t>This work will add to the evidence base informing risk-based use.  </w:t>
            </w:r>
          </w:p>
        </w:tc>
      </w:tr>
      <w:tr>
        <w:tblPrEx>
          <w:tblW w:w="0" w:type="dxa"/>
          <w:tblCellMar>
            <w:left w:w="0" w:type="dxa"/>
            <w:right w:w="0" w:type="dxa"/>
          </w:tblCellMar>
          <w:tblLook w:val="04A0"/>
        </w:tblPrEx>
        <w:trPr>
          <w:trHeight w:val="825"/>
        </w:trPr>
        <w:tc>
          <w:tcPr>
            <w:tcW w:w="2070"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Developing environmental risk assessment process for pet parasiticides working within the international regulatory framework </w:t>
            </w:r>
          </w:p>
        </w:tc>
        <w:tc>
          <w:tcPr>
            <w:tcW w:w="1620"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Exposure modelling for down the drain emissions, rapid evidence </w:t>
            </w:r>
            <w:r w:rsidRPr="00FB0629">
              <w:rPr>
                <w:rFonts w:ascii="Verdana" w:hAnsi="Verdana" w:cs="Arial"/>
                <w:sz w:val="24"/>
                <w:szCs w:val="24"/>
              </w:rPr>
              <w:t>review</w:t>
            </w:r>
            <w:r w:rsidRPr="00FB0629">
              <w:rPr>
                <w:rFonts w:ascii="Verdana" w:hAnsi="Verdana" w:cs="Arial"/>
                <w:sz w:val="24"/>
                <w:szCs w:val="24"/>
              </w:rPr>
              <w:t>. </w:t>
            </w:r>
          </w:p>
        </w:tc>
        <w:tc>
          <w:tcPr>
            <w:tcW w:w="2640"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Reviewing existing modelling tools and determining optimal model and parameters to assess wastewater and surface water exposure. </w:t>
            </w:r>
          </w:p>
          <w:p w:rsidR="00EB4574" w:rsidRPr="00FB0629" w:rsidP="00EB4574">
            <w:pPr>
              <w:rPr>
                <w:rFonts w:ascii="Verdana" w:hAnsi="Verdana" w:cs="Arial"/>
                <w:sz w:val="24"/>
                <w:szCs w:val="24"/>
              </w:rPr>
            </w:pPr>
            <w:r w:rsidRPr="00FB0629">
              <w:rPr>
                <w:rFonts w:ascii="Verdana" w:hAnsi="Verdana" w:cs="Arial"/>
                <w:sz w:val="24"/>
                <w:szCs w:val="24"/>
              </w:rPr>
              <w:t> </w:t>
            </w:r>
          </w:p>
          <w:p w:rsidR="00EB4574" w:rsidRPr="00FB0629" w:rsidP="00EB4574">
            <w:pPr>
              <w:rPr>
                <w:rFonts w:ascii="Verdana" w:hAnsi="Verdana" w:cs="Arial"/>
                <w:sz w:val="24"/>
                <w:szCs w:val="24"/>
              </w:rPr>
            </w:pPr>
            <w:r w:rsidRPr="00FB0629">
              <w:rPr>
                <w:rFonts w:ascii="Verdana" w:hAnsi="Verdana" w:cs="Arial"/>
                <w:sz w:val="24"/>
                <w:szCs w:val="24"/>
              </w:rPr>
              <w:t> </w:t>
            </w:r>
          </w:p>
        </w:tc>
        <w:tc>
          <w:tcPr>
            <w:tcW w:w="3135" w:type="dxa"/>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sz w:val="24"/>
                <w:szCs w:val="24"/>
              </w:rPr>
              <w:t>It is anticipated that this work will be complete by the end of summer 2026, although it is not going to result in a published paper.  </w:t>
            </w:r>
          </w:p>
          <w:p w:rsidR="00EB4574" w:rsidRPr="00FB0629" w:rsidP="00EB4574">
            <w:pPr>
              <w:rPr>
                <w:rFonts w:ascii="Verdana" w:hAnsi="Verdana" w:cs="Arial"/>
                <w:sz w:val="24"/>
                <w:szCs w:val="24"/>
              </w:rPr>
            </w:pPr>
            <w:r w:rsidRPr="00FB0629">
              <w:rPr>
                <w:rFonts w:ascii="Verdana" w:hAnsi="Verdana" w:cs="Arial"/>
                <w:sz w:val="24"/>
                <w:szCs w:val="24"/>
              </w:rPr>
              <w:t>  </w:t>
            </w:r>
          </w:p>
          <w:p w:rsidR="00EB4574" w:rsidRPr="00FB0629" w:rsidP="00EB4574">
            <w:pPr>
              <w:rPr>
                <w:rFonts w:ascii="Verdana" w:hAnsi="Verdana" w:cs="Arial"/>
                <w:sz w:val="24"/>
                <w:szCs w:val="24"/>
              </w:rPr>
            </w:pPr>
            <w:r w:rsidRPr="00FB0629">
              <w:rPr>
                <w:rFonts w:ascii="Verdana" w:hAnsi="Verdana" w:cs="Arial"/>
                <w:sz w:val="24"/>
                <w:szCs w:val="24"/>
              </w:rPr>
              <w:t xml:space="preserve">Instead, it </w:t>
            </w:r>
            <w:r w:rsidRPr="00FB0629" w:rsidR="170CF0EE">
              <w:rPr>
                <w:rFonts w:ascii="Verdana" w:hAnsi="Verdana" w:cs="Arial"/>
                <w:sz w:val="24"/>
                <w:szCs w:val="24"/>
              </w:rPr>
              <w:t xml:space="preserve">will </w:t>
            </w:r>
            <w:r w:rsidRPr="00FB0629">
              <w:rPr>
                <w:rFonts w:ascii="Verdana" w:hAnsi="Verdana" w:cs="Arial"/>
                <w:sz w:val="24"/>
                <w:szCs w:val="24"/>
              </w:rPr>
              <w:t>aid in the development of practical guidance on carrying out Phase II risk assessments for pet parasite medications.  </w:t>
            </w:r>
          </w:p>
        </w:tc>
      </w:tr>
      <w:tr>
        <w:tblPrEx>
          <w:tblW w:w="0" w:type="dxa"/>
          <w:tblCellMar>
            <w:left w:w="0" w:type="dxa"/>
            <w:right w:w="0" w:type="dxa"/>
          </w:tblCellMar>
          <w:tblLook w:val="04A0"/>
        </w:tblPrEx>
        <w:trPr>
          <w:trHeight w:val="825"/>
        </w:trPr>
        <w:tc>
          <w:tcPr>
            <w:tcW w:w="9480" w:type="dxa"/>
            <w:gridSpan w:val="4"/>
            <w:tcBorders>
              <w:top w:val="single" w:sz="6" w:space="0" w:color="auto"/>
              <w:left w:val="single" w:sz="6" w:space="0" w:color="auto"/>
              <w:bottom w:val="single" w:sz="6" w:space="0" w:color="auto"/>
              <w:right w:val="single" w:sz="6" w:space="0" w:color="auto"/>
            </w:tcBorders>
            <w:hideMark/>
          </w:tcPr>
          <w:p w:rsidR="00EB4574" w:rsidRPr="00FB0629" w:rsidP="00EB4574">
            <w:pPr>
              <w:rPr>
                <w:rFonts w:ascii="Verdana" w:hAnsi="Verdana" w:cs="Arial"/>
                <w:sz w:val="24"/>
                <w:szCs w:val="24"/>
              </w:rPr>
            </w:pPr>
            <w:r w:rsidRPr="00FB0629">
              <w:rPr>
                <w:rFonts w:ascii="Verdana" w:hAnsi="Verdana" w:cs="Arial"/>
                <w:b/>
                <w:bCs/>
                <w:sz w:val="24"/>
                <w:szCs w:val="24"/>
              </w:rPr>
              <w:t>Two strands of ongoing, unpublished work are currently underway: </w:t>
            </w:r>
            <w:r w:rsidRPr="00FB0629">
              <w:rPr>
                <w:rFonts w:ascii="Verdana" w:hAnsi="Verdana" w:cs="Arial"/>
                <w:sz w:val="24"/>
                <w:szCs w:val="24"/>
              </w:rPr>
              <w:t> </w:t>
            </w:r>
          </w:p>
          <w:p w:rsidR="00EB4574" w:rsidRPr="00FB0629" w:rsidP="00EB4574">
            <w:pPr>
              <w:numPr>
                <w:ilvl w:val="0"/>
                <w:numId w:val="12"/>
              </w:numPr>
              <w:rPr>
                <w:rFonts w:ascii="Verdana" w:hAnsi="Verdana" w:cs="Arial"/>
                <w:sz w:val="24"/>
                <w:szCs w:val="24"/>
              </w:rPr>
            </w:pPr>
            <w:r w:rsidRPr="00FB0629">
              <w:rPr>
                <w:rFonts w:ascii="Verdana" w:hAnsi="Verdana" w:cs="Arial"/>
                <w:sz w:val="24"/>
                <w:szCs w:val="24"/>
              </w:rPr>
              <w:t>Use and behaviours: Early findings indicate routinised prescribing and limited risk mitigation, with no agreed framework for risk-based use. </w:t>
            </w:r>
          </w:p>
          <w:p w:rsidR="00EB4574" w:rsidRPr="00FB0629" w:rsidP="00EB4574">
            <w:pPr>
              <w:numPr>
                <w:ilvl w:val="0"/>
                <w:numId w:val="13"/>
              </w:numPr>
              <w:rPr>
                <w:rFonts w:ascii="Verdana" w:hAnsi="Verdana" w:cs="Arial"/>
                <w:sz w:val="24"/>
                <w:szCs w:val="24"/>
              </w:rPr>
            </w:pPr>
            <w:r w:rsidRPr="00FB0629">
              <w:rPr>
                <w:rFonts w:ascii="Verdana" w:hAnsi="Verdana" w:cs="Arial"/>
                <w:sz w:val="24"/>
                <w:szCs w:val="24"/>
              </w:rPr>
              <w:t>Regulatory science: Parallel work is developing environmental exposure modelling to support Phase II risk assessment and improve regulatory approaches. </w:t>
            </w:r>
          </w:p>
        </w:tc>
      </w:tr>
    </w:tbl>
    <w:p w:rsidR="00EB4574" w:rsidRPr="00FB0629" w:rsidP="00EB4574">
      <w:pPr>
        <w:rPr>
          <w:rFonts w:ascii="Verdana" w:hAnsi="Verdana" w:cs="Arial"/>
          <w:sz w:val="24"/>
          <w:szCs w:val="24"/>
        </w:rPr>
      </w:pPr>
      <w:r w:rsidRPr="00FB0629">
        <w:rPr>
          <w:rFonts w:ascii="Verdana" w:hAnsi="Verdana" w:cs="Arial"/>
          <w:sz w:val="24"/>
          <w:szCs w:val="24"/>
        </w:rPr>
        <w:t> </w:t>
      </w:r>
    </w:p>
    <w:p w:rsidR="00EB4574" w:rsidRPr="00FB0629" w:rsidP="00EB4574">
      <w:pPr>
        <w:rPr>
          <w:rFonts w:ascii="Verdana" w:hAnsi="Verdana" w:cs="Arial"/>
          <w:sz w:val="24"/>
          <w:szCs w:val="24"/>
        </w:rPr>
      </w:pPr>
      <w:r w:rsidRPr="00FB0629">
        <w:rPr>
          <w:rFonts w:ascii="Verdana" w:hAnsi="Verdana" w:cs="Arial"/>
          <w:b/>
          <w:bCs/>
          <w:sz w:val="24"/>
          <w:szCs w:val="24"/>
        </w:rPr>
        <w:t>Regulatory Actions </w:t>
      </w:r>
      <w:r w:rsidRPr="00FB0629">
        <w:rPr>
          <w:rFonts w:ascii="Verdana" w:hAnsi="Verdana" w:cs="Arial"/>
          <w:sz w:val="24"/>
          <w:szCs w:val="24"/>
        </w:rPr>
        <w:t> </w:t>
      </w:r>
    </w:p>
    <w:p w:rsidR="00E30472" w:rsidRPr="00FB0629" w:rsidP="006C3330">
      <w:pPr>
        <w:rPr>
          <w:rFonts w:ascii="Verdana" w:hAnsi="Verdana" w:cs="Arial"/>
          <w:sz w:val="24"/>
          <w:szCs w:val="24"/>
        </w:rPr>
      </w:pPr>
      <w:r w:rsidRPr="00FB0629">
        <w:rPr>
          <w:rFonts w:ascii="Verdana" w:hAnsi="Verdana" w:cs="Arial"/>
          <w:sz w:val="24"/>
          <w:szCs w:val="24"/>
        </w:rPr>
        <w:t>VMD is responsible for setting legal distribution categories and must balance considerations of animal health and welfare, public health, environmental protection, and access to veterinary medicines. Currently, many veterinary medicines containing these substances are classified as AVM-GSL, meaning they can be supplied without professional advice. However, a growing body of evidence indicates that fipronil and imidacloprid from veterinary use may pose risks to the wider environment.  </w:t>
      </w:r>
    </w:p>
    <w:p w:rsidR="00EB4574" w:rsidRPr="00FB0629" w:rsidP="006C3330">
      <w:pPr>
        <w:rPr>
          <w:rFonts w:ascii="Verdana" w:hAnsi="Verdana" w:cs="Arial"/>
          <w:sz w:val="24"/>
          <w:szCs w:val="24"/>
        </w:rPr>
      </w:pPr>
      <w:r w:rsidRPr="00FB0629">
        <w:rPr>
          <w:rFonts w:ascii="Verdana" w:hAnsi="Verdana" w:cs="Arial"/>
          <w:sz w:val="24"/>
          <w:szCs w:val="24"/>
        </w:rPr>
        <w:t xml:space="preserve">In light of emerging evidence of environmental risk, </w:t>
      </w:r>
      <w:r w:rsidRPr="00FB0629">
        <w:rPr>
          <w:rFonts w:ascii="Verdana" w:hAnsi="Verdana" w:cs="Arial"/>
          <w:sz w:val="24"/>
          <w:szCs w:val="24"/>
        </w:rPr>
        <w:t>VMD is undertaking an evidence-based review of the distribution categories for veterinary medicines containing fipronil or imidacloprid.  </w:t>
      </w:r>
      <w:r w:rsidRPr="00FB0629">
        <w:rPr>
          <w:rFonts w:ascii="Verdana" w:hAnsi="Verdana" w:cs="Arial"/>
          <w:sz w:val="24"/>
          <w:szCs w:val="24"/>
        </w:rPr>
        <w:t>Specifically,</w:t>
      </w:r>
      <w:r w:rsidRPr="00FB0629">
        <w:rPr>
          <w:rFonts w:ascii="Verdana" w:hAnsi="Verdana" w:cs="Arial"/>
          <w:sz w:val="24"/>
          <w:szCs w:val="24"/>
        </w:rPr>
        <w:t xml:space="preserve"> whether changes to the distribution category are warranted. This includes considering whether restricting supply routes, so that these products are only available with advice from a veterinary surgeon, Suitably Qualified Person, or pharmacist, could promote more responsible use and disposal, and in turn help reduce environmental risks.  Ensuring that pet owners receive appropriate guidance at the point of sale is a key consideration. </w:t>
      </w:r>
    </w:p>
    <w:p w:rsidR="00EB4574" w:rsidRPr="00FB0629" w:rsidP="006C3330">
      <w:pPr>
        <w:rPr>
          <w:rFonts w:ascii="Verdana" w:hAnsi="Verdana" w:cs="Arial"/>
          <w:sz w:val="24"/>
          <w:szCs w:val="24"/>
        </w:rPr>
      </w:pPr>
      <w:r w:rsidRPr="00FB0629">
        <w:rPr>
          <w:rFonts w:ascii="Verdana" w:hAnsi="Verdana" w:cs="Arial"/>
          <w:sz w:val="24"/>
          <w:szCs w:val="24"/>
        </w:rPr>
        <w:t xml:space="preserve">As part of the review, </w:t>
      </w:r>
      <w:r w:rsidRPr="00FB0629">
        <w:rPr>
          <w:rFonts w:ascii="Verdana" w:hAnsi="Verdana" w:cs="Arial"/>
          <w:sz w:val="24"/>
          <w:szCs w:val="24"/>
        </w:rPr>
        <w:t>VMD launched a Call for Evidence on 16 April 2026</w:t>
      </w:r>
      <w:r w:rsidRPr="00FB0629">
        <w:rPr>
          <w:rFonts w:ascii="Verdana" w:hAnsi="Verdana" w:cs="Arial"/>
          <w:sz w:val="24"/>
          <w:szCs w:val="24"/>
        </w:rPr>
        <w:t xml:space="preserve">, </w:t>
      </w:r>
      <w:r w:rsidRPr="00FB0629">
        <w:rPr>
          <w:rFonts w:ascii="Verdana" w:hAnsi="Verdana" w:cs="Arial"/>
          <w:sz w:val="24"/>
          <w:szCs w:val="24"/>
        </w:rPr>
        <w:t>seek</w:t>
      </w:r>
      <w:r w:rsidRPr="00FB0629">
        <w:rPr>
          <w:rFonts w:ascii="Verdana" w:hAnsi="Verdana" w:cs="Arial"/>
          <w:sz w:val="24"/>
          <w:szCs w:val="24"/>
        </w:rPr>
        <w:t>ing</w:t>
      </w:r>
      <w:r w:rsidRPr="00FB0629">
        <w:rPr>
          <w:rFonts w:ascii="Verdana" w:hAnsi="Verdana" w:cs="Arial"/>
          <w:sz w:val="24"/>
          <w:szCs w:val="24"/>
        </w:rPr>
        <w:t xml:space="preserve"> data on environmental contamination, including the effects of these substances on aquatic ecosystems and non-target species, as well as information on the potential impacts of restricting supply routes on pet owners, animal health and welfare, businesses, and the wider sector. </w:t>
      </w:r>
      <w:r w:rsidRPr="00FB0629">
        <w:rPr>
          <w:rFonts w:ascii="Verdana" w:hAnsi="Verdana" w:cs="Arial"/>
          <w:sz w:val="24"/>
          <w:szCs w:val="24"/>
        </w:rPr>
        <w:t>The call for evidence closed on 11 June, receiving a high volume of responses. Early analysis indicates a broad range of views, with quantitative data suggesting overall support for requiring professional advice at the point of sale. However, further qualitative analysis is needed to understand differing positions on the appropriate distribution category for these medicines and to fully assess the implications of any potential changes. </w:t>
      </w:r>
    </w:p>
    <w:p w:rsidR="006C3330" w:rsidRPr="00FB0629" w:rsidP="006C3330">
      <w:pPr>
        <w:rPr>
          <w:rFonts w:ascii="Verdana" w:hAnsi="Verdana" w:cs="Arial"/>
          <w:sz w:val="24"/>
          <w:szCs w:val="24"/>
        </w:rPr>
      </w:pPr>
      <w:r w:rsidRPr="00FB0629">
        <w:rPr>
          <w:rFonts w:ascii="Verdana" w:hAnsi="Verdana" w:cs="Arial"/>
          <w:sz w:val="24"/>
          <w:szCs w:val="24"/>
        </w:rPr>
        <w:t xml:space="preserve">A summary of responses to the Call for Evidence will be published within 12 weeks of its closure, and the findings will feed into the </w:t>
      </w:r>
      <w:r w:rsidRPr="00FB0629">
        <w:rPr>
          <w:rFonts w:ascii="Verdana" w:hAnsi="Verdana" w:cs="Arial"/>
          <w:sz w:val="24"/>
          <w:szCs w:val="24"/>
        </w:rPr>
        <w:t>wider subsequent report.  </w:t>
      </w:r>
      <w:r w:rsidRPr="00FB0629">
        <w:rPr>
          <w:rFonts w:ascii="Verdana" w:hAnsi="Verdana" w:cs="Arial"/>
          <w:sz w:val="24"/>
          <w:szCs w:val="24"/>
        </w:rPr>
        <w:t>The full review process is expected to take around a year, including evidence gathering, stakeholder engagement and impact assessment before any decisions are made. </w:t>
      </w:r>
    </w:p>
    <w:p w:rsidR="00EB4574" w:rsidRPr="00FB0629" w:rsidP="006C3330">
      <w:pPr>
        <w:rPr>
          <w:rFonts w:ascii="Verdana" w:hAnsi="Verdana" w:cs="Arial"/>
          <w:sz w:val="24"/>
          <w:szCs w:val="24"/>
        </w:rPr>
      </w:pPr>
      <w:r w:rsidRPr="00FB0629">
        <w:rPr>
          <w:rFonts w:ascii="Verdana" w:hAnsi="Verdana" w:cs="Arial"/>
          <w:sz w:val="24"/>
          <w:szCs w:val="24"/>
        </w:rPr>
        <w:t>Any decisions will follow a transparent and consultative process. Animal welfare, and human health will remain paramount throughout, and any future regulatory changes will be based on robust scientific evidence, with sufficient time allowed for implementation. </w:t>
      </w:r>
    </w:p>
    <w:p w:rsidR="00EB4574" w:rsidRPr="00FB0629" w:rsidP="00EB4574">
      <w:pPr>
        <w:rPr>
          <w:rFonts w:ascii="Verdana" w:hAnsi="Verdana" w:cs="Arial"/>
          <w:sz w:val="24"/>
          <w:szCs w:val="24"/>
        </w:rPr>
      </w:pPr>
      <w:r w:rsidRPr="00FB0629">
        <w:rPr>
          <w:rFonts w:ascii="Verdana" w:hAnsi="Verdana" w:cs="Arial"/>
          <w:sz w:val="24"/>
          <w:szCs w:val="24"/>
        </w:rPr>
        <w:t> </w:t>
      </w:r>
    </w:p>
    <w:p w:rsidR="00EB4574" w:rsidRPr="00FB0629" w:rsidP="00EB4574">
      <w:pPr>
        <w:rPr>
          <w:rFonts w:ascii="Verdana" w:hAnsi="Verdana" w:cs="Arial"/>
          <w:sz w:val="24"/>
          <w:szCs w:val="24"/>
        </w:rPr>
      </w:pPr>
      <w:r w:rsidRPr="00FB0629">
        <w:rPr>
          <w:rFonts w:ascii="Verdana" w:hAnsi="Verdana" w:cs="Arial"/>
          <w:b/>
          <w:bCs/>
          <w:sz w:val="24"/>
          <w:szCs w:val="24"/>
        </w:rPr>
        <w:t>Stewardship &amp; Risk based use – next steps, beyond communication campaign</w:t>
      </w:r>
      <w:r w:rsidRPr="00FB0629">
        <w:rPr>
          <w:rFonts w:ascii="Verdana" w:hAnsi="Verdana" w:cs="Arial"/>
          <w:sz w:val="24"/>
          <w:szCs w:val="24"/>
        </w:rPr>
        <w:t> </w:t>
      </w:r>
    </w:p>
    <w:p w:rsidR="00EB4574" w:rsidRPr="00FB0629" w:rsidP="00EB4574">
      <w:pPr>
        <w:rPr>
          <w:rFonts w:ascii="Verdana" w:hAnsi="Verdana" w:cs="Arial"/>
          <w:sz w:val="24"/>
          <w:szCs w:val="24"/>
        </w:rPr>
      </w:pPr>
      <w:r w:rsidRPr="00FB0629">
        <w:rPr>
          <w:rFonts w:ascii="Verdana" w:hAnsi="Verdana" w:cs="Arial"/>
          <w:sz w:val="24"/>
          <w:szCs w:val="24"/>
        </w:rPr>
        <w:t>VMD commissioned research on pet owner application behaviours revealed limited and inconsistent engagement with risk mitigation practices. The research has also shown that health-plan models, client expectations around routine treatment, time limitations within consultations, and the lack of a clear professional framework for risk-based decision-making are key barriers to implementing a risk-based approach.  </w:t>
      </w:r>
    </w:p>
    <w:p w:rsidR="00EB4574" w:rsidRPr="00FB0629" w:rsidP="00EB4574">
      <w:pPr>
        <w:rPr>
          <w:rFonts w:ascii="Verdana" w:hAnsi="Verdana" w:cs="Arial"/>
          <w:sz w:val="24"/>
          <w:szCs w:val="24"/>
        </w:rPr>
      </w:pPr>
      <w:r w:rsidRPr="00FB0629">
        <w:rPr>
          <w:rFonts w:ascii="Verdana" w:hAnsi="Verdana" w:cs="Arial"/>
          <w:sz w:val="24"/>
          <w:szCs w:val="24"/>
        </w:rPr>
        <w:t>To date, VMD lead communication (e.g. campaign) has focused on stewardship actions after the decision to treat, reflecting a lack of clear consensus on what “risk-based use” means in practice. The next step is therefore to develop a shared understanding of risk-based use across the sector. </w:t>
      </w:r>
    </w:p>
    <w:p w:rsidR="00EB4574" w:rsidRPr="00FB0629" w:rsidP="00EB4574">
      <w:pPr>
        <w:rPr>
          <w:rFonts w:ascii="Verdana" w:hAnsi="Verdana" w:cs="Arial"/>
          <w:sz w:val="24"/>
          <w:szCs w:val="24"/>
        </w:rPr>
      </w:pPr>
      <w:r w:rsidRPr="00FB0629">
        <w:rPr>
          <w:rFonts w:ascii="Verdana" w:hAnsi="Verdana" w:cs="Arial"/>
          <w:sz w:val="24"/>
          <w:szCs w:val="24"/>
        </w:rPr>
        <w:t>Stakeholders have also identified this as a priority; however, broader collaboration is needed to ensure consistent decision-making and support behaviour change, including situations where treatment may not be appropriate. </w:t>
      </w:r>
      <w:r w:rsidRPr="00FB0629" w:rsidR="006C3330">
        <w:rPr>
          <w:rFonts w:ascii="Verdana" w:hAnsi="Verdana" w:cs="Arial"/>
          <w:sz w:val="24"/>
          <w:szCs w:val="24"/>
        </w:rPr>
        <w:t xml:space="preserve"> </w:t>
      </w:r>
      <w:r w:rsidRPr="00FB0629">
        <w:rPr>
          <w:rFonts w:ascii="Verdana" w:hAnsi="Verdana" w:cs="Arial"/>
          <w:sz w:val="24"/>
          <w:szCs w:val="24"/>
        </w:rPr>
        <w:t>While this work sits beyond the VMD’s regulatory remit, we remain committed to facilitating collaboration and supporting research.</w:t>
      </w:r>
      <w:r w:rsidRPr="00FB0629" w:rsidR="006C3330">
        <w:rPr>
          <w:rFonts w:ascii="Verdana" w:hAnsi="Verdana" w:cs="Arial"/>
          <w:sz w:val="24"/>
          <w:szCs w:val="24"/>
        </w:rPr>
        <w:t xml:space="preserve"> </w:t>
      </w:r>
      <w:r w:rsidRPr="00FB0629">
        <w:rPr>
          <w:rFonts w:ascii="Verdana" w:hAnsi="Verdana" w:cs="Arial"/>
          <w:sz w:val="24"/>
          <w:szCs w:val="24"/>
        </w:rPr>
        <w:t xml:space="preserve"> We will continue to deliver our core regulatory responsibilities, while also supporting wider, pan-industry initiatives. </w:t>
      </w:r>
    </w:p>
    <w:p w:rsidR="00EB4574" w:rsidRPr="00FB0629" w:rsidP="00EB4574">
      <w:pPr>
        <w:rPr>
          <w:rFonts w:ascii="Verdana" w:hAnsi="Verdana" w:cs="Arial"/>
          <w:sz w:val="24"/>
          <w:szCs w:val="24"/>
        </w:rPr>
      </w:pPr>
      <w:r w:rsidRPr="00FB0629">
        <w:rPr>
          <w:rFonts w:ascii="Verdana" w:hAnsi="Verdana" w:cs="Arial"/>
          <w:sz w:val="24"/>
          <w:szCs w:val="24"/>
        </w:rPr>
        <w:t> </w:t>
      </w:r>
    </w:p>
    <w:p w:rsidR="00D844BA" w:rsidRPr="00FB0629" w:rsidP="00EB4574">
      <w:pPr>
        <w:rPr>
          <w:rFonts w:ascii="Verdana" w:hAnsi="Verdana" w:cs="Arial"/>
          <w:sz w:val="24"/>
          <w:szCs w:val="24"/>
        </w:rPr>
      </w:pPr>
    </w:p>
    <w:p w:rsidR="00D844BA" w:rsidRPr="00FB0629" w:rsidP="00EB4574">
      <w:pPr>
        <w:rPr>
          <w:rFonts w:ascii="Verdana" w:hAnsi="Verdana" w:cs="Arial"/>
          <w:sz w:val="24"/>
          <w:szCs w:val="24"/>
        </w:rPr>
      </w:pPr>
    </w:p>
    <w:p w:rsidR="00D844BA" w:rsidRPr="00FB0629" w:rsidP="00EB4574">
      <w:pPr>
        <w:rPr>
          <w:rFonts w:ascii="Verdana" w:hAnsi="Verdana" w:cs="Arial"/>
          <w:sz w:val="24"/>
          <w:szCs w:val="24"/>
        </w:rPr>
      </w:pPr>
    </w:p>
    <w:p w:rsidR="00D844BA" w:rsidRPr="00FB0629" w:rsidP="00EB4574">
      <w:pPr>
        <w:rPr>
          <w:rFonts w:ascii="Verdana" w:hAnsi="Verdana" w:cs="Arial"/>
          <w:sz w:val="24"/>
          <w:szCs w:val="24"/>
        </w:rPr>
      </w:pPr>
    </w:p>
    <w:p w:rsidR="00D844BA" w:rsidRPr="00FB0629" w:rsidP="00EB4574">
      <w:pPr>
        <w:rPr>
          <w:rFonts w:ascii="Verdana" w:hAnsi="Verdana" w:cs="Arial"/>
          <w:sz w:val="24"/>
          <w:szCs w:val="24"/>
        </w:rPr>
      </w:pPr>
    </w:p>
    <w:p w:rsidR="00CA1BC4" w:rsidRPr="00FB0629" w:rsidP="006C3330">
      <w:pPr>
        <w:rPr>
          <w:rFonts w:ascii="Verdana" w:hAnsi="Verdana" w:cs="Arial"/>
          <w:sz w:val="24"/>
          <w:szCs w:val="24"/>
        </w:rPr>
      </w:pPr>
    </w:p>
    <w:p w:rsidR="00362241" w:rsidRPr="00FB0629" w:rsidP="006C3330">
      <w:pPr>
        <w:rPr>
          <w:rFonts w:ascii="Verdana" w:hAnsi="Verdana" w:cs="Arial"/>
          <w:b/>
          <w:bCs/>
          <w:sz w:val="24"/>
          <w:szCs w:val="24"/>
        </w:rPr>
      </w:pPr>
      <w:r w:rsidRPr="00FB0629">
        <w:rPr>
          <w:rFonts w:ascii="Verdana" w:hAnsi="Verdana" w:cs="Arial"/>
          <w:b/>
          <w:bCs/>
          <w:sz w:val="24"/>
          <w:szCs w:val="24"/>
        </w:rPr>
        <w:t xml:space="preserve">Q4 </w:t>
      </w:r>
      <w:r w:rsidRPr="00FB0629" w:rsidR="00882481">
        <w:rPr>
          <w:rFonts w:ascii="Verdana" w:hAnsi="Verdana" w:cs="Arial"/>
          <w:b/>
          <w:bCs/>
          <w:sz w:val="24"/>
          <w:szCs w:val="24"/>
        </w:rPr>
        <w:t>How many product authorisations have been a) withdrawn and b) refused in the last 5 years?</w:t>
      </w:r>
    </w:p>
    <w:p w:rsidR="00695FB2" w:rsidRPr="00FB0629" w:rsidP="00695FB2">
      <w:pPr>
        <w:rPr>
          <w:rFonts w:ascii="Verdana" w:hAnsi="Verdana" w:cs="Arial"/>
          <w:sz w:val="24"/>
          <w:szCs w:val="24"/>
        </w:rPr>
      </w:pPr>
      <w:r w:rsidRPr="00FB0629">
        <w:rPr>
          <w:rFonts w:ascii="Verdana" w:hAnsi="Verdana" w:cs="Arial"/>
          <w:sz w:val="24"/>
          <w:szCs w:val="24"/>
        </w:rPr>
        <w:t xml:space="preserve">Based on a search of the VMD's internal database, records indicate that over the past five years the VMD has refused five applications and 34 applications have been withdrawn. These figures relate to all veterinary medicinal products (VMPs) and are not limited to flea and tick treatments. </w:t>
      </w:r>
    </w:p>
    <w:p w:rsidR="00D844BA" w:rsidRPr="00FB0629" w:rsidP="0F6D2AFC">
      <w:pPr>
        <w:rPr>
          <w:rFonts w:ascii="Verdana" w:hAnsi="Verdana" w:cs="Arial"/>
          <w:sz w:val="24"/>
          <w:szCs w:val="24"/>
        </w:rPr>
      </w:pPr>
    </w:p>
    <w:p w:rsidR="00D844BA" w:rsidRPr="00FB0629" w:rsidP="0F6D2AFC">
      <w:pPr>
        <w:rPr>
          <w:rFonts w:ascii="Verdana" w:hAnsi="Verdana" w:cs="Arial"/>
          <w:sz w:val="24"/>
          <w:szCs w:val="24"/>
        </w:rPr>
      </w:pPr>
    </w:p>
    <w:p w:rsidR="00AF7DE5" w:rsidRPr="00FB0629" w:rsidP="00AF7DE5">
      <w:pPr>
        <w:rPr>
          <w:rFonts w:ascii="Verdana" w:hAnsi="Verdana" w:cs="Arial"/>
          <w:b/>
          <w:bCs/>
          <w:sz w:val="24"/>
          <w:szCs w:val="24"/>
        </w:rPr>
      </w:pPr>
      <w:r w:rsidRPr="00FB0629">
        <w:rPr>
          <w:rFonts w:ascii="Verdana" w:hAnsi="Verdana" w:cs="Arial"/>
          <w:b/>
          <w:bCs/>
          <w:sz w:val="24"/>
          <w:szCs w:val="24"/>
        </w:rPr>
        <w:t xml:space="preserve">Q5 </w:t>
      </w:r>
      <w:r w:rsidRPr="00FB0629" w:rsidR="00882481">
        <w:rPr>
          <w:rFonts w:ascii="Verdana" w:hAnsi="Verdana" w:cs="Arial"/>
          <w:b/>
          <w:bCs/>
          <w:sz w:val="24"/>
          <w:szCs w:val="24"/>
        </w:rPr>
        <w:t>How are you planning to improve guidance to SQPs (both online and in person), vets, and veterinary nurses to ensure pet owners are getting appropriate advice on product use?</w:t>
      </w:r>
    </w:p>
    <w:p w:rsidR="00AF7DE5" w:rsidRPr="00FB0629" w:rsidP="00AF7DE5">
      <w:pPr>
        <w:jc w:val="both"/>
        <w:rPr>
          <w:rFonts w:ascii="Verdana" w:hAnsi="Verdana" w:cs="Arial"/>
          <w:sz w:val="24"/>
          <w:szCs w:val="24"/>
        </w:rPr>
      </w:pPr>
      <w:r w:rsidRPr="00FB0629">
        <w:rPr>
          <w:rFonts w:ascii="Verdana" w:hAnsi="Verdana" w:cs="Arial"/>
          <w:sz w:val="24"/>
          <w:szCs w:val="24"/>
        </w:rPr>
        <w:t>The VMD recognises the importance of ensuring that pet owners receive appropriate, consistent advice on the safe and effective use of flea and tick products.</w:t>
      </w:r>
    </w:p>
    <w:p w:rsidR="00AF7DE5" w:rsidRPr="00FB0629" w:rsidP="00AF7DE5">
      <w:pPr>
        <w:jc w:val="both"/>
        <w:rPr>
          <w:rFonts w:ascii="Verdana" w:hAnsi="Verdana" w:cs="Arial"/>
          <w:sz w:val="24"/>
          <w:szCs w:val="24"/>
        </w:rPr>
      </w:pPr>
      <w:r w:rsidRPr="00FB0629">
        <w:rPr>
          <w:rFonts w:ascii="Verdana" w:hAnsi="Verdana" w:cs="Arial"/>
          <w:sz w:val="24"/>
          <w:szCs w:val="24"/>
        </w:rPr>
        <w:t xml:space="preserve">We already maintain strong working relationships with SQP </w:t>
      </w:r>
      <w:r w:rsidRPr="00FB0629" w:rsidR="00C9135C">
        <w:rPr>
          <w:rFonts w:ascii="Verdana" w:hAnsi="Verdana" w:cs="Arial"/>
          <w:sz w:val="24"/>
          <w:szCs w:val="24"/>
        </w:rPr>
        <w:t>registration</w:t>
      </w:r>
      <w:r w:rsidRPr="00FB0629">
        <w:rPr>
          <w:rFonts w:ascii="Verdana" w:hAnsi="Verdana" w:cs="Arial"/>
          <w:sz w:val="24"/>
          <w:szCs w:val="24"/>
        </w:rPr>
        <w:t xml:space="preserve"> bodies, veterinary regulators, and professional organisations, which provides an established route for communication and improvement of guidance where needed.</w:t>
      </w:r>
      <w:r w:rsidRPr="00FB0629" w:rsidR="002D7BBC">
        <w:rPr>
          <w:rFonts w:ascii="Verdana" w:hAnsi="Verdana" w:cs="Arial"/>
          <w:sz w:val="24"/>
          <w:szCs w:val="24"/>
        </w:rPr>
        <w:t xml:space="preserve"> We work collaboratively with these grou</w:t>
      </w:r>
      <w:r w:rsidRPr="00FB0629" w:rsidR="00060F2A">
        <w:rPr>
          <w:rFonts w:ascii="Verdana" w:hAnsi="Verdana" w:cs="Arial"/>
          <w:sz w:val="24"/>
          <w:szCs w:val="24"/>
        </w:rPr>
        <w:t xml:space="preserve">ps to ensure that </w:t>
      </w:r>
      <w:r w:rsidRPr="00FB0629" w:rsidR="00EE4A10">
        <w:rPr>
          <w:rFonts w:ascii="Verdana" w:hAnsi="Verdana" w:cs="Arial"/>
          <w:sz w:val="24"/>
          <w:szCs w:val="24"/>
        </w:rPr>
        <w:t>animal welfare is prioritised</w:t>
      </w:r>
      <w:r w:rsidRPr="00FB0629" w:rsidR="00B33909">
        <w:rPr>
          <w:rFonts w:ascii="Verdana" w:hAnsi="Verdana" w:cs="Arial"/>
          <w:sz w:val="24"/>
          <w:szCs w:val="24"/>
        </w:rPr>
        <w:t xml:space="preserve"> appropriately</w:t>
      </w:r>
      <w:r w:rsidRPr="00FB0629" w:rsidR="00EE4A10">
        <w:rPr>
          <w:rFonts w:ascii="Verdana" w:hAnsi="Verdana" w:cs="Arial"/>
          <w:sz w:val="24"/>
          <w:szCs w:val="24"/>
        </w:rPr>
        <w:t>.</w:t>
      </w:r>
    </w:p>
    <w:p w:rsidR="00AF7DE5" w:rsidRPr="00FB0629" w:rsidP="00AF7DE5">
      <w:pPr>
        <w:jc w:val="both"/>
        <w:rPr>
          <w:rFonts w:ascii="Verdana" w:hAnsi="Verdana" w:cs="Arial"/>
          <w:sz w:val="24"/>
          <w:szCs w:val="24"/>
        </w:rPr>
      </w:pPr>
      <w:r w:rsidRPr="00FB0629">
        <w:rPr>
          <w:rFonts w:ascii="Verdana" w:hAnsi="Verdana" w:cs="Arial"/>
          <w:sz w:val="24"/>
          <w:szCs w:val="24"/>
        </w:rPr>
        <w:t>Looking ahead, the VMD is actively considering how guidance could be strengthened across all supply routes. If changes were introduced, for example, a requirement for point-of-sale advice, the VMD would work closely with SQP training bodies, the veterinary profession, and other relevant organisations to ensure that appropriate training, guidance, and processes are developed and implemented effectively.</w:t>
      </w:r>
    </w:p>
    <w:p w:rsidR="00AF7DE5" w:rsidRPr="00FB0629" w:rsidP="00AF7DE5">
      <w:pPr>
        <w:jc w:val="both"/>
        <w:rPr>
          <w:rFonts w:ascii="Verdana" w:hAnsi="Verdana" w:cs="Arial"/>
          <w:sz w:val="24"/>
          <w:szCs w:val="24"/>
        </w:rPr>
      </w:pPr>
      <w:r w:rsidRPr="00FB0629">
        <w:rPr>
          <w:rFonts w:ascii="Verdana" w:hAnsi="Verdana" w:cs="Arial"/>
          <w:sz w:val="24"/>
          <w:szCs w:val="24"/>
        </w:rPr>
        <w:t>This approach would ensure that any improvements are proportionate, evidence-based, and deliver consistent, practical advice to support responsible product use.</w:t>
      </w:r>
    </w:p>
    <w:p w:rsidR="007514A0" w:rsidP="00FA350A">
      <w:pPr>
        <w:rPr>
          <w:rFonts w:ascii="Verdana" w:hAnsi="Verdana" w:cs="Arial"/>
          <w:sz w:val="24"/>
          <w:szCs w:val="24"/>
        </w:rPr>
      </w:pPr>
    </w:p>
    <w:p w:rsidR="00882481" w:rsidRPr="00FB0629" w:rsidP="00FA350A">
      <w:pPr>
        <w:rPr>
          <w:rFonts w:ascii="Verdana" w:hAnsi="Verdana" w:cs="Arial"/>
          <w:b/>
          <w:bCs/>
          <w:sz w:val="24"/>
          <w:szCs w:val="24"/>
        </w:rPr>
      </w:pPr>
      <w:r w:rsidRPr="00FB0629">
        <w:rPr>
          <w:rFonts w:ascii="Verdana" w:hAnsi="Verdana" w:cs="Arial"/>
          <w:b/>
          <w:bCs/>
          <w:sz w:val="24"/>
          <w:szCs w:val="24"/>
        </w:rPr>
        <w:t xml:space="preserve">Q6 </w:t>
      </w:r>
      <w:r w:rsidRPr="00FB0629" w:rsidR="6225DA00">
        <w:rPr>
          <w:rFonts w:ascii="Verdana" w:hAnsi="Verdana" w:cs="Arial"/>
          <w:b/>
          <w:bCs/>
          <w:sz w:val="24"/>
          <w:szCs w:val="24"/>
        </w:rPr>
        <w:t>Francine referenced a study showing imidacloprid persisting in soils – please could the study or the reference be sent to us?</w:t>
      </w:r>
    </w:p>
    <w:p w:rsidR="3C5FA345" w:rsidRPr="00FB0629" w:rsidP="32B9F4CC">
      <w:pPr>
        <w:rPr>
          <w:rFonts w:ascii="Verdana" w:hAnsi="Verdana" w:cs="Arial"/>
          <w:sz w:val="24"/>
          <w:szCs w:val="24"/>
        </w:rPr>
      </w:pPr>
      <w:r w:rsidRPr="00FB0629">
        <w:rPr>
          <w:rFonts w:ascii="Verdana" w:hAnsi="Verdana" w:cs="Arial"/>
          <w:sz w:val="24"/>
          <w:szCs w:val="24"/>
        </w:rPr>
        <w:t>The attached, 2023 LUCAS report on soils and imidacloprid across the EU indicates that, despite regulatory restrictions, imidacloprid residues from agricultural use remain widely detectable in soils and rivers. While not UK-specific, similar patterns would be expected here (see Figures 17–18; conclusions p.39).</w:t>
      </w:r>
    </w:p>
    <w:p w:rsidR="32B9F4CC" w:rsidRPr="00FB0629" w:rsidP="32B9F4CC">
      <w:pPr>
        <w:rPr>
          <w:rFonts w:ascii="Verdana" w:hAnsi="Verdana" w:cs="Arial"/>
          <w:b/>
          <w:bCs/>
          <w:sz w:val="24"/>
          <w:szCs w:val="24"/>
        </w:rPr>
      </w:pPr>
    </w:p>
    <w:p w:rsidR="00882481" w:rsidRPr="00FB0629" w:rsidP="00FA350A">
      <w:pPr>
        <w:rPr>
          <w:rFonts w:ascii="Verdana" w:hAnsi="Verdana" w:cs="Arial"/>
          <w:b/>
          <w:bCs/>
          <w:sz w:val="24"/>
          <w:szCs w:val="24"/>
        </w:rPr>
      </w:pPr>
      <w:r w:rsidRPr="00FB0629">
        <w:rPr>
          <w:rFonts w:ascii="Verdana" w:hAnsi="Verdana" w:cs="Arial"/>
          <w:b/>
          <w:bCs/>
          <w:sz w:val="24"/>
          <w:szCs w:val="24"/>
        </w:rPr>
        <w:t xml:space="preserve">Q7 </w:t>
      </w:r>
      <w:r w:rsidRPr="00FB0629">
        <w:rPr>
          <w:rFonts w:ascii="Verdana" w:hAnsi="Verdana" w:cs="Arial"/>
          <w:b/>
          <w:bCs/>
          <w:sz w:val="24"/>
          <w:szCs w:val="24"/>
        </w:rPr>
        <w:t>Why does the UK not have an EQS for fipronil and imidacloprid?</w:t>
      </w:r>
      <w:r w:rsidRPr="00FB0629">
        <w:rPr>
          <w:rFonts w:ascii="Verdana" w:hAnsi="Verdana" w:cs="Arial"/>
          <w:b/>
          <w:bCs/>
          <w:sz w:val="24"/>
          <w:szCs w:val="24"/>
        </w:rPr>
        <w:t xml:space="preserve"> (EA)</w:t>
      </w:r>
    </w:p>
    <w:p w:rsidR="00FA350A" w:rsidRPr="00FB0629" w:rsidP="00FA350A">
      <w:pPr>
        <w:rPr>
          <w:rFonts w:ascii="Verdana" w:hAnsi="Verdana" w:cs="Arial"/>
          <w:sz w:val="24"/>
          <w:szCs w:val="24"/>
        </w:rPr>
      </w:pPr>
      <w:r w:rsidRPr="00FB0629">
        <w:rPr>
          <w:rFonts w:ascii="Verdana" w:hAnsi="Verdana" w:cs="Arial"/>
          <w:sz w:val="24"/>
          <w:szCs w:val="24"/>
        </w:rPr>
        <w:t>England does not currently have environmental quality standards (EQSs) for fipronil or imidacloprid because these substances have not been adopted as priority substances or specific pollutants within the UK Water Framework Directive standards-setting framework. New EQS would be developed following instruction to the Agencies by the Secretary of State.</w:t>
      </w:r>
    </w:p>
    <w:p w:rsidR="00FA350A" w:rsidRPr="00FB0629" w:rsidP="00FA350A">
      <w:pPr>
        <w:rPr>
          <w:rFonts w:ascii="Verdana" w:hAnsi="Verdana" w:cs="Arial"/>
          <w:sz w:val="24"/>
          <w:szCs w:val="24"/>
        </w:rPr>
      </w:pPr>
      <w:r w:rsidRPr="00FB0629">
        <w:rPr>
          <w:rFonts w:ascii="Verdana" w:hAnsi="Verdana" w:cs="Arial"/>
          <w:sz w:val="24"/>
          <w:szCs w:val="24"/>
        </w:rPr>
        <w:t xml:space="preserve">EQSs are developed where there is sufficient regulatory evidence, agreed assessment methodologies and a policy decision that a substance should be formally regulated through environmental quality standards. </w:t>
      </w:r>
    </w:p>
    <w:p w:rsidR="00FA350A" w:rsidRPr="00FB0629" w:rsidP="00FA350A">
      <w:pPr>
        <w:rPr>
          <w:rFonts w:ascii="Verdana" w:hAnsi="Verdana" w:cs="Arial"/>
          <w:sz w:val="24"/>
          <w:szCs w:val="24"/>
        </w:rPr>
      </w:pPr>
      <w:r w:rsidRPr="00FB0629">
        <w:rPr>
          <w:rFonts w:ascii="Verdana" w:hAnsi="Verdana" w:cs="Arial"/>
          <w:sz w:val="24"/>
          <w:szCs w:val="24"/>
        </w:rPr>
        <w:t>Both fipronil and imidacloprid have been detected in UK surface waters and are recognised as being highly toxic to aquatic invertebrates, however regulatory efforts to date have focused on monitoring, research and source identification rather than establishing statutory EQSs.</w:t>
      </w:r>
    </w:p>
    <w:p w:rsidR="00FA350A" w:rsidRPr="00FB0629" w:rsidP="00FA350A">
      <w:pPr>
        <w:ind w:left="360"/>
        <w:rPr>
          <w:rFonts w:ascii="Verdana" w:hAnsi="Verdana" w:cs="Arial"/>
          <w:sz w:val="24"/>
          <w:szCs w:val="24"/>
        </w:rPr>
      </w:pPr>
    </w:p>
    <w:p w:rsidR="00882481" w:rsidRPr="00FB0629">
      <w:pPr>
        <w:rPr>
          <w:rFonts w:ascii="Verdana" w:hAnsi="Verdana" w:cs="Arial"/>
          <w:sz w:val="24"/>
          <w:szCs w:val="24"/>
        </w:rPr>
      </w:pPr>
      <w:r w:rsidRPr="00FB0629">
        <w:rPr>
          <w:rFonts w:ascii="Verdana" w:hAnsi="Verdana" w:cs="Arial"/>
          <w:sz w:val="24"/>
          <w:szCs w:val="24"/>
        </w:rPr>
        <w:t>02/07/2026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E6BF1" w:rsidP="00FA350A">
      <w:pPr>
        <w:spacing w:after="0" w:line="240" w:lineRule="auto"/>
      </w:pPr>
      <w:r>
        <w:separator/>
      </w:r>
    </w:p>
  </w:footnote>
  <w:footnote w:type="continuationSeparator" w:id="1">
    <w:p w:rsidR="005E6BF1" w:rsidP="00FA350A">
      <w:pPr>
        <w:spacing w:after="0" w:line="240" w:lineRule="auto"/>
      </w:pPr>
      <w:r>
        <w:continuationSeparator/>
      </w:r>
    </w:p>
  </w:footnote>
  <w:footnote w:id="2">
    <w:p w:rsidR="00FA350A" w:rsidRPr="00FB0629" w:rsidP="00FA350A">
      <w:pPr>
        <w:pStyle w:val="FootnoteText"/>
        <w:rPr>
          <w:rFonts w:ascii="Verdana" w:hAnsi="Verdana"/>
          <w:lang w:val="en-US"/>
        </w:rPr>
      </w:pPr>
      <w:r w:rsidRPr="00FB0629">
        <w:rPr>
          <w:rStyle w:val="FootnoteReference"/>
          <w:rFonts w:ascii="Verdana" w:hAnsi="Verdana"/>
        </w:rPr>
        <w:footnoteRef/>
      </w:r>
      <w:r w:rsidRPr="00FB0629">
        <w:rPr>
          <w:rFonts w:ascii="Verdana" w:hAnsi="Verdana"/>
        </w:rPr>
        <w:t xml:space="preserve"> </w:t>
      </w:r>
      <w:r>
        <w:fldChar w:fldCharType="begin"/>
      </w:r>
      <w:r>
        <w:instrText xml:space="preserve"> HYPERLINK "https://link.springer.com/article/10.1186/s12302-025-01236-0" </w:instrText>
      </w:r>
      <w:r>
        <w:fldChar w:fldCharType="separate"/>
      </w:r>
      <w:r w:rsidRPr="00FB0629">
        <w:rPr>
          <w:rStyle w:val="Hyperlink"/>
          <w:rFonts w:ascii="Verdana" w:hAnsi="Verdana"/>
        </w:rPr>
        <w:t>Imidacloprid in UK surface waters: trends, sources, and pathways | Environmental Sciences Europe | Springer Nature Link</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2E156B"/>
    <w:multiLevelType w:val="multilevel"/>
    <w:tmpl w:val="B7C81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7BB33D9"/>
    <w:multiLevelType w:val="multilevel"/>
    <w:tmpl w:val="A164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1A94643"/>
    <w:multiLevelType w:val="multilevel"/>
    <w:tmpl w:val="7B889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2A47E0"/>
    <w:multiLevelType w:val="multilevel"/>
    <w:tmpl w:val="63461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4824FD9"/>
    <w:multiLevelType w:val="multilevel"/>
    <w:tmpl w:val="DD86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514301E"/>
    <w:multiLevelType w:val="multilevel"/>
    <w:tmpl w:val="77543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5BB1DA8"/>
    <w:multiLevelType w:val="multilevel"/>
    <w:tmpl w:val="C91CF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75D5A62"/>
    <w:multiLevelType w:val="multilevel"/>
    <w:tmpl w:val="72EC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9D87E1D"/>
    <w:multiLevelType w:val="multilevel"/>
    <w:tmpl w:val="E6085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79755B4"/>
    <w:multiLevelType w:val="multilevel"/>
    <w:tmpl w:val="4E66F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C4E34B5"/>
    <w:multiLevelType w:val="multilevel"/>
    <w:tmpl w:val="603E9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2DB05C5"/>
    <w:multiLevelType w:val="multilevel"/>
    <w:tmpl w:val="0922A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2FF79A7"/>
    <w:multiLevelType w:val="multilevel"/>
    <w:tmpl w:val="9E42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6D64947"/>
    <w:multiLevelType w:val="hybridMultilevel"/>
    <w:tmpl w:val="BBD68A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4C9823AD"/>
    <w:multiLevelType w:val="multilevel"/>
    <w:tmpl w:val="A59A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E641D2B"/>
    <w:multiLevelType w:val="multilevel"/>
    <w:tmpl w:val="4A0AB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557E77AF"/>
    <w:multiLevelType w:val="multilevel"/>
    <w:tmpl w:val="95EAA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46B29F3"/>
    <w:multiLevelType w:val="multilevel"/>
    <w:tmpl w:val="F4168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6529246C"/>
    <w:multiLevelType w:val="multilevel"/>
    <w:tmpl w:val="D910E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6C695523"/>
    <w:multiLevelType w:val="multilevel"/>
    <w:tmpl w:val="DB4CB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E300685"/>
    <w:multiLevelType w:val="multilevel"/>
    <w:tmpl w:val="A7A85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E465029"/>
    <w:multiLevelType w:val="multilevel"/>
    <w:tmpl w:val="166CA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66C5A8F"/>
    <w:multiLevelType w:val="multilevel"/>
    <w:tmpl w:val="F028E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6DB0ADF"/>
    <w:multiLevelType w:val="multilevel"/>
    <w:tmpl w:val="5DE47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7998103D"/>
    <w:multiLevelType w:val="multilevel"/>
    <w:tmpl w:val="4D38E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num>
  <w:num w:numId="2">
    <w:abstractNumId w:val="21"/>
  </w:num>
  <w:num w:numId="3">
    <w:abstractNumId w:val="24"/>
  </w:num>
  <w:num w:numId="4">
    <w:abstractNumId w:val="9"/>
  </w:num>
  <w:num w:numId="5">
    <w:abstractNumId w:val="18"/>
  </w:num>
  <w:num w:numId="6">
    <w:abstractNumId w:val="17"/>
  </w:num>
  <w:num w:numId="7">
    <w:abstractNumId w:val="5"/>
  </w:num>
  <w:num w:numId="8">
    <w:abstractNumId w:val="8"/>
  </w:num>
  <w:num w:numId="9">
    <w:abstractNumId w:val="4"/>
  </w:num>
  <w:num w:numId="10">
    <w:abstractNumId w:val="7"/>
  </w:num>
  <w:num w:numId="11">
    <w:abstractNumId w:val="3"/>
  </w:num>
  <w:num w:numId="12">
    <w:abstractNumId w:val="11"/>
  </w:num>
  <w:num w:numId="13">
    <w:abstractNumId w:val="0"/>
  </w:num>
  <w:num w:numId="14">
    <w:abstractNumId w:val="10"/>
  </w:num>
  <w:num w:numId="15">
    <w:abstractNumId w:val="22"/>
  </w:num>
  <w:num w:numId="16">
    <w:abstractNumId w:val="1"/>
  </w:num>
  <w:num w:numId="17">
    <w:abstractNumId w:val="16"/>
  </w:num>
  <w:num w:numId="18">
    <w:abstractNumId w:val="6"/>
  </w:num>
  <w:num w:numId="19">
    <w:abstractNumId w:val="23"/>
  </w:num>
  <w:num w:numId="20">
    <w:abstractNumId w:val="14"/>
  </w:num>
  <w:num w:numId="21">
    <w:abstractNumId w:val="19"/>
  </w:num>
  <w:num w:numId="22">
    <w:abstractNumId w:val="15"/>
  </w:num>
  <w:num w:numId="23">
    <w:abstractNumId w:val="20"/>
  </w:num>
  <w:num w:numId="24">
    <w:abstractNumId w:val="12"/>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8824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24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24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24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24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24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4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4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4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4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24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24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4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4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4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4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4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481"/>
    <w:rPr>
      <w:rFonts w:eastAsiaTheme="majorEastAsia" w:cstheme="majorBidi"/>
      <w:color w:val="272727" w:themeColor="text1" w:themeTint="D8"/>
    </w:rPr>
  </w:style>
  <w:style w:type="paragraph" w:styleId="Title">
    <w:name w:val="Title"/>
    <w:basedOn w:val="Normal"/>
    <w:next w:val="Normal"/>
    <w:link w:val="TitleChar"/>
    <w:uiPriority w:val="10"/>
    <w:qFormat/>
    <w:rsid w:val="008824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4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4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4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481"/>
    <w:pPr>
      <w:spacing w:before="160"/>
      <w:jc w:val="center"/>
    </w:pPr>
    <w:rPr>
      <w:i/>
      <w:iCs/>
      <w:color w:val="404040" w:themeColor="text1" w:themeTint="BF"/>
    </w:rPr>
  </w:style>
  <w:style w:type="character" w:customStyle="1" w:styleId="QuoteChar">
    <w:name w:val="Quote Char"/>
    <w:basedOn w:val="DefaultParagraphFont"/>
    <w:link w:val="Quote"/>
    <w:uiPriority w:val="29"/>
    <w:rsid w:val="00882481"/>
    <w:rPr>
      <w:i/>
      <w:iCs/>
      <w:color w:val="404040" w:themeColor="text1" w:themeTint="BF"/>
    </w:rPr>
  </w:style>
  <w:style w:type="paragraph" w:styleId="ListParagraph">
    <w:name w:val="List Paragraph"/>
    <w:basedOn w:val="Normal"/>
    <w:uiPriority w:val="34"/>
    <w:qFormat/>
    <w:rsid w:val="00882481"/>
    <w:pPr>
      <w:ind w:left="720"/>
      <w:contextualSpacing/>
    </w:pPr>
  </w:style>
  <w:style w:type="character" w:styleId="IntenseEmphasis">
    <w:name w:val="Intense Emphasis"/>
    <w:basedOn w:val="DefaultParagraphFont"/>
    <w:uiPriority w:val="21"/>
    <w:qFormat/>
    <w:rsid w:val="00882481"/>
    <w:rPr>
      <w:i/>
      <w:iCs/>
      <w:color w:val="0F4761" w:themeColor="accent1" w:themeShade="BF"/>
    </w:rPr>
  </w:style>
  <w:style w:type="paragraph" w:styleId="IntenseQuote">
    <w:name w:val="Intense Quote"/>
    <w:basedOn w:val="Normal"/>
    <w:next w:val="Normal"/>
    <w:link w:val="IntenseQuoteChar"/>
    <w:uiPriority w:val="30"/>
    <w:qFormat/>
    <w:rsid w:val="008824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481"/>
    <w:rPr>
      <w:i/>
      <w:iCs/>
      <w:color w:val="0F4761" w:themeColor="accent1" w:themeShade="BF"/>
    </w:rPr>
  </w:style>
  <w:style w:type="character" w:styleId="IntenseReference">
    <w:name w:val="Intense Reference"/>
    <w:basedOn w:val="DefaultParagraphFont"/>
    <w:uiPriority w:val="32"/>
    <w:qFormat/>
    <w:rsid w:val="00882481"/>
    <w:rPr>
      <w:b/>
      <w:bCs/>
      <w:smallCaps/>
      <w:color w:val="0F4761" w:themeColor="accent1" w:themeShade="BF"/>
      <w:spacing w:val="5"/>
    </w:rPr>
  </w:style>
  <w:style w:type="character" w:styleId="CommentReference">
    <w:name w:val="annotation reference"/>
    <w:basedOn w:val="DefaultParagraphFont"/>
    <w:uiPriority w:val="99"/>
    <w:semiHidden/>
    <w:unhideWhenUsed/>
    <w:rsid w:val="00882481"/>
    <w:rPr>
      <w:sz w:val="16"/>
      <w:szCs w:val="16"/>
    </w:rPr>
  </w:style>
  <w:style w:type="paragraph" w:styleId="CommentText">
    <w:name w:val="annotation text"/>
    <w:basedOn w:val="Normal"/>
    <w:link w:val="CommentTextChar"/>
    <w:uiPriority w:val="99"/>
    <w:unhideWhenUsed/>
    <w:rsid w:val="00882481"/>
    <w:pPr>
      <w:spacing w:line="240" w:lineRule="auto"/>
    </w:pPr>
    <w:rPr>
      <w:sz w:val="20"/>
      <w:szCs w:val="20"/>
    </w:rPr>
  </w:style>
  <w:style w:type="character" w:customStyle="1" w:styleId="CommentTextChar">
    <w:name w:val="Comment Text Char"/>
    <w:basedOn w:val="DefaultParagraphFont"/>
    <w:link w:val="CommentText"/>
    <w:uiPriority w:val="99"/>
    <w:rsid w:val="00882481"/>
    <w:rPr>
      <w:sz w:val="20"/>
      <w:szCs w:val="20"/>
    </w:rPr>
  </w:style>
  <w:style w:type="paragraph" w:styleId="CommentSubject">
    <w:name w:val="annotation subject"/>
    <w:basedOn w:val="CommentText"/>
    <w:next w:val="CommentText"/>
    <w:link w:val="CommentSubjectChar"/>
    <w:uiPriority w:val="99"/>
    <w:semiHidden/>
    <w:unhideWhenUsed/>
    <w:rsid w:val="00882481"/>
    <w:rPr>
      <w:b/>
      <w:bCs/>
    </w:rPr>
  </w:style>
  <w:style w:type="character" w:customStyle="1" w:styleId="CommentSubjectChar">
    <w:name w:val="Comment Subject Char"/>
    <w:basedOn w:val="CommentTextChar"/>
    <w:link w:val="CommentSubject"/>
    <w:uiPriority w:val="99"/>
    <w:semiHidden/>
    <w:rsid w:val="00882481"/>
    <w:rPr>
      <w:b/>
      <w:bCs/>
      <w:sz w:val="20"/>
      <w:szCs w:val="20"/>
    </w:rPr>
  </w:style>
  <w:style w:type="character" w:styleId="Hyperlink">
    <w:name w:val="Hyperlink"/>
    <w:basedOn w:val="DefaultParagraphFont"/>
    <w:uiPriority w:val="99"/>
    <w:unhideWhenUsed/>
    <w:rsid w:val="00EB4574"/>
    <w:rPr>
      <w:color w:val="467886" w:themeColor="hyperlink"/>
      <w:u w:val="single"/>
    </w:rPr>
  </w:style>
  <w:style w:type="character" w:customStyle="1" w:styleId="UnresolvedMention">
    <w:name w:val="Unresolved Mention"/>
    <w:basedOn w:val="DefaultParagraphFont"/>
    <w:uiPriority w:val="99"/>
    <w:semiHidden/>
    <w:unhideWhenUsed/>
    <w:rsid w:val="00EB4574"/>
    <w:rPr>
      <w:color w:val="605E5C"/>
      <w:shd w:val="clear" w:color="auto" w:fill="E1DFDD"/>
    </w:rPr>
  </w:style>
  <w:style w:type="table" w:styleId="TableGrid">
    <w:name w:val="Table Grid"/>
    <w:basedOn w:val="TableNormal"/>
    <w:uiPriority w:val="39"/>
    <w:rsid w:val="00362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A350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A350A"/>
    <w:rPr>
      <w:sz w:val="20"/>
      <w:szCs w:val="20"/>
    </w:rPr>
  </w:style>
  <w:style w:type="character" w:styleId="FootnoteReference">
    <w:name w:val="footnote reference"/>
    <w:basedOn w:val="DefaultParagraphFont"/>
    <w:uiPriority w:val="99"/>
    <w:semiHidden/>
    <w:unhideWhenUsed/>
    <w:rsid w:val="00FA350A"/>
    <w:rPr>
      <w:vertAlign w:val="superscript"/>
    </w:rPr>
  </w:style>
  <w:style w:type="paragraph" w:styleId="Header">
    <w:name w:val="header"/>
    <w:basedOn w:val="Normal"/>
    <w:link w:val="HeaderChar"/>
    <w:uiPriority w:val="99"/>
    <w:unhideWhenUsed/>
    <w:rsid w:val="00164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C88"/>
  </w:style>
  <w:style w:type="paragraph" w:styleId="Footer">
    <w:name w:val="footer"/>
    <w:basedOn w:val="Normal"/>
    <w:link w:val="FooterChar"/>
    <w:uiPriority w:val="99"/>
    <w:unhideWhenUsed/>
    <w:rsid w:val="00164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C88"/>
  </w:style>
  <w:style w:type="character" w:customStyle="1" w:styleId="Mention">
    <w:name w:val="Mention"/>
    <w:basedOn w:val="DefaultParagraphFont"/>
    <w:uiPriority w:val="99"/>
    <w:unhideWhenUsed/>
    <w:rsid w:val="00AD755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3df310-d8c4-41e8-8d33-73092ae7ad20">
      <Terms xmlns="http://schemas.microsoft.com/office/infopath/2007/PartnerControls"/>
    </lcf76f155ced4ddcb4097134ff3c332f>
    <OldDMNo xmlns="5a3df310-d8c4-41e8-8d33-73092ae7ad20" xsi:nil="true"/>
    <Document xmlns="5a3df310-d8c4-41e8-8d33-73092ae7ad20" xsi:nil="true"/>
    <OldFMSNo xmlns="5a3df310-d8c4-41e8-8d33-73092ae7ad20" xsi:nil="true"/>
    <TaxCatchAll xmlns="f9679dc9-86bb-4a98-84f2-3597b7955ae3" xsi:nil="true"/>
    <ob349cf5655c49da8840df59ca8210fb xmlns="5a3df310-d8c4-41e8-8d33-73092ae7ad20">
      <Terms xmlns="http://schemas.microsoft.com/office/infopath/2007/PartnerControls"/>
    </ob349cf5655c49da8840df59ca8210fb>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177C0F153737419F4A558F2B63BE38" ma:contentTypeVersion="17" ma:contentTypeDescription="Create a new document." ma:contentTypeScope="" ma:versionID="d58ce4c9eedd8dd33590bc97456c3f11">
  <xsd:schema xmlns:xsd="http://www.w3.org/2001/XMLSchema" xmlns:xs="http://www.w3.org/2001/XMLSchema" xmlns:p="http://schemas.microsoft.com/office/2006/metadata/properties" xmlns:ns2="5a3df310-d8c4-41e8-8d33-73092ae7ad20" xmlns:ns3="f9679dc9-86bb-4a98-84f2-3597b7955ae3" targetNamespace="http://schemas.microsoft.com/office/2006/metadata/properties" ma:root="true" ma:fieldsID="a981a3788ed978f36caa20d1c6c54629" ns2:_="" ns3:_="">
    <xsd:import namespace="5a3df310-d8c4-41e8-8d33-73092ae7ad20"/>
    <xsd:import namespace="f9679dc9-86bb-4a98-84f2-3597b7955ae3"/>
    <xsd:element name="properties">
      <xsd:complexType>
        <xsd:sequence>
          <xsd:element name="documentManagement">
            <xsd:complexType>
              <xsd:all>
                <xsd:element ref="ns2:ob349cf5655c49da8840df59ca8210fb" minOccurs="0"/>
                <xsd:element ref="ns3:TaxCatchAll" minOccurs="0"/>
                <xsd:element ref="ns2:OldFMSNo" minOccurs="0"/>
                <xsd:element ref="ns2:OldDMNo"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Documen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3df310-d8c4-41e8-8d33-73092ae7ad20" elementFormDefault="qualified">
    <xsd:import namespace="http://schemas.microsoft.com/office/2006/documentManagement/types"/>
    <xsd:import namespace="http://schemas.microsoft.com/office/infopath/2007/PartnerControls"/>
    <xsd:element name="ob349cf5655c49da8840df59ca8210fb" ma:index="9" nillable="true" ma:taxonomy="true" ma:internalName="ob349cf5655c49da8840df59ca8210fb" ma:taxonomyFieldName="Business_x0020_Area" ma:displayName="Business Area" ma:default="" ma:fieldId="{8b349cf5-655c-49da-8840-df59ca8210fb}" ma:sspId="c1e1e48c-0f67-481a-a26f-fe0fffedcfeb" ma:termSetId="fe0a31c8-9558-4b6e-92da-51623f81c435" ma:anchorId="00000000-0000-0000-0000-000000000000" ma:open="false" ma:isKeyword="false">
      <xsd:complexType>
        <xsd:sequence>
          <xsd:element ref="pc:Terms" minOccurs="0" maxOccurs="1"/>
        </xsd:sequence>
      </xsd:complexType>
    </xsd:element>
    <xsd:element name="OldFMSNo" ma:index="11" nillable="true" ma:displayName="Old FMS No" ma:description="Legacy document reference number from FMS (File Management System)" ma:format="Dropdown" ma:internalName="OldFMSNo">
      <xsd:simpleType>
        <xsd:restriction base="dms:Text">
          <xsd:maxLength value="20"/>
        </xsd:restriction>
      </xsd:simpleType>
    </xsd:element>
    <xsd:element name="OldDMNo" ma:index="12" nillable="true" ma:displayName="Old DM No" ma:decimals="0" ma:description="Legacy Document Management (DM) number" ma:format="Dropdown" ma:indexed="true" ma:internalName="OldDMNo" ma:percentage="FALSE">
      <xsd:simpleType>
        <xsd:restriction base="dms:Number"/>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1e1e48c-0f67-481a-a26f-fe0fffedcfe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Document" ma:index="23" nillable="true" ma:displayName="Document" ma:format="Dropdown" ma:internalName="Document">
      <xsd:simpleType>
        <xsd:restriction base="dms:Choice">
          <xsd:enumeration value="Minutes"/>
          <xsd:enumeration value="Agenda"/>
          <xsd:enumeration value="Actions"/>
          <xsd:enumeration value="Decision log"/>
        </xsd:restriction>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679dc9-86bb-4a98-84f2-3597b7955ae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c59aa0d-e000-4936-a5f2-372c169857b3}" ma:internalName="TaxCatchAll" ma:showField="CatchAllData" ma:web="f9679dc9-86bb-4a98-84f2-3597b7955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8C7628-7A28-48D7-B506-D455285BE3F1}">
  <ds:schemaRefs>
    <ds:schemaRef ds:uri="http://schemas.microsoft.com/sharepoint/v3/contenttype/forms"/>
  </ds:schemaRefs>
</ds:datastoreItem>
</file>

<file path=customXml/itemProps2.xml><?xml version="1.0" encoding="utf-8"?>
<ds:datastoreItem xmlns:ds="http://schemas.openxmlformats.org/officeDocument/2006/customXml" ds:itemID="{66C4D515-FACD-4803-9141-F78850E8E4F1}">
  <ds:schemaRefs>
    <ds:schemaRef ds:uri="http://schemas.microsoft.com/office/2006/metadata/properties"/>
    <ds:schemaRef ds:uri="http://schemas.microsoft.com/office/infopath/2007/PartnerControls"/>
    <ds:schemaRef ds:uri="5a3df310-d8c4-41e8-8d33-73092ae7ad20"/>
    <ds:schemaRef ds:uri="f9679dc9-86bb-4a98-84f2-3597b7955ae3"/>
  </ds:schemaRefs>
</ds:datastoreItem>
</file>

<file path=customXml/itemProps3.xml><?xml version="1.0" encoding="utf-8"?>
<ds:datastoreItem xmlns:ds="http://schemas.openxmlformats.org/officeDocument/2006/customXml" ds:itemID="{E7331EC1-929E-4FD7-8BDE-D962BEE6D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3df310-d8c4-41e8-8d33-73092ae7ad20"/>
    <ds:schemaRef ds:uri="f9679dc9-86bb-4a98-84f2-3597b7955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860a19c-c7a4-4d82-b410-1cf24ec1aad2}" enabled="1" method="Standard" siteId="{af4da980-4af8-4d32-a4ef-4c59ffe06ef4}" removed="0"/>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PPM0042</dc:title>
  <cp:revision>0</cp:revision>
</cp:coreProperties>
</file>