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A1368" w:rsidRPr="004A1368" w:rsidP="00214587">
      <w:pPr>
        <w:rPr>
          <w:rFonts w:ascii="Verdana" w:hAnsi="Verdana"/>
          <w:b/>
          <w:bCs/>
          <w:sz w:val="28"/>
          <w:szCs w:val="28"/>
        </w:rPr>
      </w:pPr>
      <w:r w:rsidRPr="004A1368">
        <w:rPr>
          <w:rFonts w:ascii="Verdana" w:hAnsi="Verdana"/>
          <w:b/>
          <w:bCs/>
          <w:sz w:val="28"/>
          <w:szCs w:val="28"/>
        </w:rPr>
        <w:t xml:space="preserve">Supplementary written evidence from Dr Nina M </w:t>
      </w:r>
      <w:r w:rsidRPr="004A1368">
        <w:rPr>
          <w:rFonts w:ascii="Verdana" w:hAnsi="Verdana"/>
          <w:b/>
          <w:bCs/>
          <w:sz w:val="28"/>
          <w:szCs w:val="28"/>
        </w:rPr>
        <w:t>Rzechorzek</w:t>
      </w:r>
      <w:r w:rsidRPr="004A1368">
        <w:rPr>
          <w:rFonts w:ascii="Verdana" w:hAnsi="Verdana"/>
          <w:b/>
          <w:bCs/>
          <w:sz w:val="28"/>
          <w:szCs w:val="28"/>
        </w:rPr>
        <w:t xml:space="preserve"> (PMA012</w:t>
      </w:r>
      <w:r w:rsidR="00DE6140">
        <w:rPr>
          <w:rFonts w:ascii="Verdana" w:hAnsi="Verdana"/>
          <w:b/>
          <w:bCs/>
          <w:sz w:val="28"/>
          <w:szCs w:val="28"/>
        </w:rPr>
        <w:t>2</w:t>
      </w:r>
      <w:r w:rsidRPr="004A1368">
        <w:rPr>
          <w:rFonts w:ascii="Verdana" w:hAnsi="Verdana"/>
          <w:b/>
          <w:bCs/>
          <w:sz w:val="28"/>
          <w:szCs w:val="28"/>
        </w:rPr>
        <w:t>)</w:t>
      </w:r>
    </w:p>
    <w:p w:rsidR="00771259" w:rsidRPr="004A1368" w:rsidP="00214587">
      <w:pPr>
        <w:rPr>
          <w:rFonts w:ascii="Verdana" w:hAnsi="Verdana"/>
          <w:b/>
          <w:bCs/>
        </w:rPr>
      </w:pPr>
      <w:r w:rsidRPr="004A1368">
        <w:rPr>
          <w:rFonts w:ascii="Verdana" w:hAnsi="Verdana"/>
          <w:b/>
          <w:bCs/>
        </w:rPr>
        <w:t>P</w:t>
      </w:r>
      <w:r w:rsidRPr="004A1368" w:rsidR="00815323">
        <w:rPr>
          <w:rFonts w:ascii="Verdana" w:hAnsi="Verdana"/>
          <w:b/>
          <w:bCs/>
        </w:rPr>
        <w:t xml:space="preserve">ersonalised medicine and AI in the NHS: measure change, fund the pathway, and intervene at the right time. </w:t>
      </w:r>
    </w:p>
    <w:p w:rsidR="00214587" w:rsidRPr="004A1368" w:rsidP="00214587">
      <w:pPr>
        <w:rPr>
          <w:rFonts w:ascii="Verdana" w:hAnsi="Verdana"/>
        </w:rPr>
      </w:pPr>
      <w:r w:rsidRPr="004A1368">
        <w:rPr>
          <w:rFonts w:ascii="Verdana" w:hAnsi="Verdana"/>
          <w:b/>
          <w:bCs/>
        </w:rPr>
        <w:t>Use of generative AI</w:t>
      </w:r>
      <w:r w:rsidRPr="004A1368" w:rsidR="00815323">
        <w:rPr>
          <w:rFonts w:ascii="Verdana" w:hAnsi="Verdana"/>
          <w:b/>
          <w:bCs/>
        </w:rPr>
        <w:t>:</w:t>
      </w:r>
      <w:r w:rsidRPr="004A1368" w:rsidR="00815323">
        <w:rPr>
          <w:rFonts w:ascii="Verdana" w:hAnsi="Verdana"/>
        </w:rPr>
        <w:t xml:space="preserve"> </w:t>
      </w:r>
      <w:r w:rsidRPr="004A1368">
        <w:rPr>
          <w:rFonts w:ascii="Verdana" w:hAnsi="Verdana"/>
        </w:rPr>
        <w:t>Generative AI was used to support the structuring and editing of this supplementary note. The author has reviewed and verified the final content and accepts full ownership and responsibility for it.</w:t>
      </w:r>
    </w:p>
    <w:p w:rsidR="00214587" w:rsidRPr="004A1368" w:rsidP="00214587">
      <w:pPr>
        <w:rPr>
          <w:rFonts w:ascii="Verdana" w:hAnsi="Verdana"/>
        </w:rPr>
      </w:pPr>
      <w:r w:rsidRPr="004A1368">
        <w:rPr>
          <w:rFonts w:ascii="Verdana" w:hAnsi="Verdana"/>
          <w:b/>
          <w:bCs/>
        </w:rPr>
        <w:t>Status and relationship to the published evidence</w:t>
      </w:r>
      <w:r w:rsidRPr="004A1368" w:rsidR="006D0660">
        <w:rPr>
          <w:rFonts w:ascii="Verdana" w:hAnsi="Verdana"/>
          <w:b/>
          <w:bCs/>
        </w:rPr>
        <w:t>:</w:t>
      </w:r>
      <w:r w:rsidRPr="004A1368" w:rsidR="006D0660">
        <w:rPr>
          <w:rFonts w:ascii="Verdana" w:hAnsi="Verdana"/>
        </w:rPr>
        <w:t xml:space="preserve"> </w:t>
      </w:r>
      <w:r w:rsidRPr="004A1368">
        <w:rPr>
          <w:rFonts w:ascii="Verdana" w:hAnsi="Verdana"/>
        </w:rPr>
        <w:t>This supplementary note is submitted by the author in a personal expert capacity following an invitation from Committee staff to provide additional recommendations. The views expressed are her own and should not be taken to represent those of any employer, funder, collaborator</w:t>
      </w:r>
      <w:r w:rsidRPr="004A1368" w:rsidR="006D0660">
        <w:rPr>
          <w:rFonts w:ascii="Verdana" w:hAnsi="Verdana"/>
        </w:rPr>
        <w:t>,</w:t>
      </w:r>
      <w:r w:rsidRPr="004A1368">
        <w:rPr>
          <w:rFonts w:ascii="Verdana" w:hAnsi="Verdana"/>
        </w:rPr>
        <w:t xml:space="preserve"> or affiliated organisation.</w:t>
      </w:r>
    </w:p>
    <w:p w:rsidR="00214587" w:rsidRPr="004A1368" w:rsidP="00214587">
      <w:pPr>
        <w:rPr>
          <w:rFonts w:ascii="Verdana" w:hAnsi="Verdana"/>
        </w:rPr>
      </w:pPr>
      <w:r w:rsidRPr="004A1368">
        <w:rPr>
          <w:rFonts w:ascii="Verdana" w:hAnsi="Verdana"/>
        </w:rPr>
        <w:t>This note should be read alongside the author’s published written evidence, PMA0104. It does not withdraw, replace</w:t>
      </w:r>
      <w:r w:rsidRPr="004A1368" w:rsidR="006D0660">
        <w:rPr>
          <w:rFonts w:ascii="Verdana" w:hAnsi="Verdana"/>
        </w:rPr>
        <w:t>,</w:t>
      </w:r>
      <w:r w:rsidRPr="004A1368">
        <w:rPr>
          <w:rFonts w:ascii="Verdana" w:hAnsi="Verdana"/>
        </w:rPr>
        <w:t xml:space="preserve"> or amend that evidence. The principal arguments in PMA0104 remain:</w:t>
      </w:r>
    </w:p>
    <w:p w:rsidR="00214587" w:rsidRPr="004A1368" w:rsidP="006D0660">
      <w:pPr>
        <w:pStyle w:val="ListParagraph"/>
        <w:numPr>
          <w:ilvl w:val="0"/>
          <w:numId w:val="6"/>
        </w:numPr>
        <w:rPr>
          <w:rFonts w:ascii="Verdana" w:hAnsi="Verdana"/>
        </w:rPr>
      </w:pPr>
      <w:r w:rsidRPr="004A1368">
        <w:rPr>
          <w:rFonts w:ascii="Verdana" w:hAnsi="Verdana"/>
        </w:rPr>
        <w:t>personalised medicine should not be framed narrowly as a genomics-led agenda;</w:t>
      </w:r>
    </w:p>
    <w:p w:rsidR="00214587" w:rsidRPr="004A1368" w:rsidP="006D0660">
      <w:pPr>
        <w:pStyle w:val="ListParagraph"/>
        <w:numPr>
          <w:ilvl w:val="0"/>
          <w:numId w:val="6"/>
        </w:numPr>
        <w:rPr>
          <w:rFonts w:ascii="Verdana" w:hAnsi="Verdana"/>
        </w:rPr>
      </w:pPr>
      <w:r w:rsidRPr="004A1368">
        <w:rPr>
          <w:rFonts w:ascii="Verdana" w:hAnsi="Verdana"/>
        </w:rPr>
        <w:t>clinically relevant variation may arise from the interaction of molecular mechanisms, physiology, behaviour, function, treatment, environment</w:t>
      </w:r>
      <w:r w:rsidRPr="004A1368" w:rsidR="006D0660">
        <w:rPr>
          <w:rFonts w:ascii="Verdana" w:hAnsi="Verdana"/>
        </w:rPr>
        <w:t>,</w:t>
      </w:r>
      <w:r w:rsidRPr="004A1368">
        <w:rPr>
          <w:rFonts w:ascii="Verdana" w:hAnsi="Verdana"/>
        </w:rPr>
        <w:t xml:space="preserve"> and time;</w:t>
      </w:r>
    </w:p>
    <w:p w:rsidR="00214587" w:rsidRPr="004A1368" w:rsidP="006D0660">
      <w:pPr>
        <w:pStyle w:val="ListParagraph"/>
        <w:numPr>
          <w:ilvl w:val="0"/>
          <w:numId w:val="6"/>
        </w:numPr>
        <w:rPr>
          <w:rFonts w:ascii="Verdana" w:hAnsi="Verdana"/>
        </w:rPr>
      </w:pPr>
      <w:r w:rsidRPr="004A1368">
        <w:rPr>
          <w:rFonts w:ascii="Verdana" w:hAnsi="Verdana"/>
        </w:rPr>
        <w:t>AI should be judged by whether it improves a defined clinical decision and the pathway around it;</w:t>
      </w:r>
    </w:p>
    <w:p w:rsidR="00214587" w:rsidRPr="004A1368" w:rsidP="006D0660">
      <w:pPr>
        <w:pStyle w:val="ListParagraph"/>
        <w:numPr>
          <w:ilvl w:val="0"/>
          <w:numId w:val="6"/>
        </w:numPr>
        <w:rPr>
          <w:rFonts w:ascii="Verdana" w:hAnsi="Verdana"/>
        </w:rPr>
      </w:pPr>
      <w:r w:rsidRPr="004A1368">
        <w:rPr>
          <w:rFonts w:ascii="Verdana" w:hAnsi="Verdana"/>
        </w:rPr>
        <w:t>health-data infrastructure should support validated longitudinal physiological, behavioural, imaging</w:t>
      </w:r>
      <w:r w:rsidRPr="004A1368" w:rsidR="006D0660">
        <w:rPr>
          <w:rFonts w:ascii="Verdana" w:hAnsi="Verdana"/>
        </w:rPr>
        <w:t>,</w:t>
      </w:r>
      <w:r w:rsidRPr="004A1368">
        <w:rPr>
          <w:rFonts w:ascii="Verdana" w:hAnsi="Verdana"/>
        </w:rPr>
        <w:t xml:space="preserve"> and sensor-derived information alongside genomics and conventional records;</w:t>
      </w:r>
    </w:p>
    <w:p w:rsidR="00214587" w:rsidRPr="004A1368" w:rsidP="006D0660">
      <w:pPr>
        <w:pStyle w:val="ListParagraph"/>
        <w:numPr>
          <w:ilvl w:val="0"/>
          <w:numId w:val="6"/>
        </w:numPr>
        <w:rPr>
          <w:rFonts w:ascii="Verdana" w:hAnsi="Verdana"/>
        </w:rPr>
      </w:pPr>
      <w:r w:rsidRPr="004A1368">
        <w:rPr>
          <w:rFonts w:ascii="Verdana" w:hAnsi="Verdana"/>
        </w:rPr>
        <w:t>lower-burden and repeatable measurement could improve access and equity if it is validated for a defined intended use;</w:t>
      </w:r>
    </w:p>
    <w:p w:rsidR="00214587" w:rsidRPr="004A1368" w:rsidP="006D0660">
      <w:pPr>
        <w:pStyle w:val="ListParagraph"/>
        <w:numPr>
          <w:ilvl w:val="0"/>
          <w:numId w:val="6"/>
        </w:numPr>
        <w:rPr>
          <w:rFonts w:ascii="Verdana" w:hAnsi="Verdana"/>
        </w:rPr>
      </w:pPr>
      <w:r w:rsidRPr="004A1368">
        <w:rPr>
          <w:rFonts w:ascii="Verdana" w:hAnsi="Verdana"/>
        </w:rPr>
        <w:t>objective information should, where feasible, provide context for—not replace—patient-reported symptoms;</w:t>
      </w:r>
    </w:p>
    <w:p w:rsidR="00214587" w:rsidRPr="004A1368" w:rsidP="006D0660">
      <w:pPr>
        <w:pStyle w:val="ListParagraph"/>
        <w:numPr>
          <w:ilvl w:val="0"/>
          <w:numId w:val="6"/>
        </w:numPr>
        <w:rPr>
          <w:rFonts w:ascii="Verdana" w:hAnsi="Verdana"/>
        </w:rPr>
      </w:pPr>
      <w:r w:rsidRPr="004A1368">
        <w:rPr>
          <w:rFonts w:ascii="Verdana" w:hAnsi="Verdana"/>
        </w:rPr>
        <w:t>the UK’s central weakness is often not discovery but the failure to generate decision-grade evidence and embed useful innovations into NHS pathways; and</w:t>
      </w:r>
    </w:p>
    <w:p w:rsidR="00214587" w:rsidRPr="004A1368" w:rsidP="006D0660">
      <w:pPr>
        <w:pStyle w:val="ListParagraph"/>
        <w:numPr>
          <w:ilvl w:val="0"/>
          <w:numId w:val="6"/>
        </w:numPr>
        <w:rPr>
          <w:rFonts w:ascii="Verdana" w:hAnsi="Verdana"/>
        </w:rPr>
      </w:pPr>
      <w:r w:rsidRPr="004A1368">
        <w:rPr>
          <w:rFonts w:ascii="Verdana" w:hAnsi="Verdana"/>
        </w:rPr>
        <w:t>the people who translate between biomedical science, clinical care, technology, regulation, industry</w:t>
      </w:r>
      <w:r w:rsidRPr="004A1368" w:rsidR="006D0660">
        <w:rPr>
          <w:rFonts w:ascii="Verdana" w:hAnsi="Verdana"/>
        </w:rPr>
        <w:t>,</w:t>
      </w:r>
      <w:r w:rsidRPr="004A1368">
        <w:rPr>
          <w:rFonts w:ascii="Verdana" w:hAnsi="Verdana"/>
        </w:rPr>
        <w:t xml:space="preserve"> and implementation are part of the infrastructure required for innovation.</w:t>
      </w:r>
    </w:p>
    <w:p w:rsidR="00214587" w:rsidRPr="004A1368" w:rsidP="00214587">
      <w:pPr>
        <w:rPr>
          <w:rFonts w:ascii="Verdana" w:hAnsi="Verdana"/>
        </w:rPr>
      </w:pPr>
      <w:r w:rsidRPr="004A1368">
        <w:rPr>
          <w:rFonts w:ascii="Verdana" w:hAnsi="Verdana"/>
        </w:rPr>
        <w:t xml:space="preserve">The present note develops those propositions into a clearer three-part framework and provides more specific recommendations concerning temporal </w:t>
      </w:r>
      <w:r w:rsidRPr="004A1368">
        <w:rPr>
          <w:rFonts w:ascii="Verdana" w:hAnsi="Verdana"/>
        </w:rPr>
        <w:t>data, pathway adoption, timely intervention, human factors, clinical-academic capacity, environmental resilience, interoperability</w:t>
      </w:r>
      <w:r w:rsidRPr="004A1368" w:rsidR="006D0660">
        <w:rPr>
          <w:rFonts w:ascii="Verdana" w:hAnsi="Verdana"/>
        </w:rPr>
        <w:t>,</w:t>
      </w:r>
      <w:r w:rsidRPr="004A1368">
        <w:rPr>
          <w:rFonts w:ascii="Verdana" w:hAnsi="Verdana"/>
        </w:rPr>
        <w:t xml:space="preserve"> and lifecycle assurance.</w:t>
      </w:r>
    </w:p>
    <w:p w:rsidR="00214587" w:rsidRPr="004A1368" w:rsidP="00214587">
      <w:pPr>
        <w:rPr>
          <w:rFonts w:ascii="Verdana" w:hAnsi="Verdana"/>
          <w:b/>
          <w:bCs/>
        </w:rPr>
      </w:pPr>
      <w:r w:rsidRPr="004A1368">
        <w:rPr>
          <w:rFonts w:ascii="Verdana" w:hAnsi="Verdana"/>
          <w:b/>
          <w:bCs/>
        </w:rPr>
        <w:t>Summary of the supplementary recommendations</w:t>
      </w:r>
    </w:p>
    <w:p w:rsidR="00214587" w:rsidRPr="004A1368" w:rsidP="00214587">
      <w:pPr>
        <w:rPr>
          <w:rFonts w:ascii="Verdana" w:hAnsi="Verdana"/>
        </w:rPr>
      </w:pPr>
      <w:r w:rsidRPr="004A1368">
        <w:rPr>
          <w:rFonts w:ascii="Verdana" w:hAnsi="Verdana"/>
        </w:rPr>
        <w:t>The central recommendation is that Government should organise its approach to personalised medicine and AI around three linked actions:</w:t>
      </w:r>
    </w:p>
    <w:p w:rsidR="00214587" w:rsidRPr="004A1368" w:rsidP="00B313E7">
      <w:pPr>
        <w:numPr>
          <w:ilvl w:val="0"/>
          <w:numId w:val="2"/>
        </w:numPr>
        <w:ind w:left="360"/>
        <w:rPr>
          <w:rFonts w:ascii="Verdana" w:hAnsi="Verdana"/>
          <w:b/>
          <w:bCs/>
        </w:rPr>
      </w:pPr>
      <w:r w:rsidRPr="004A1368">
        <w:rPr>
          <w:rFonts w:ascii="Verdana" w:hAnsi="Verdana"/>
          <w:b/>
          <w:bCs/>
        </w:rPr>
        <w:t>Measure change</w:t>
      </w:r>
    </w:p>
    <w:p w:rsidR="00214587" w:rsidRPr="004A1368" w:rsidP="00DC077A">
      <w:pPr>
        <w:pStyle w:val="ListParagraph"/>
        <w:numPr>
          <w:ilvl w:val="0"/>
          <w:numId w:val="9"/>
        </w:numPr>
        <w:rPr>
          <w:rFonts w:ascii="Verdana" w:hAnsi="Verdana"/>
        </w:rPr>
      </w:pPr>
      <w:r w:rsidRPr="004A1368">
        <w:rPr>
          <w:rFonts w:ascii="Verdana" w:hAnsi="Verdana"/>
        </w:rPr>
        <w:t>Personalised medicine must capture not only who the patient is, but what state they are in, how that state is changing</w:t>
      </w:r>
      <w:r w:rsidRPr="004A1368" w:rsidR="00A54FC9">
        <w:rPr>
          <w:rFonts w:ascii="Verdana" w:hAnsi="Verdana"/>
        </w:rPr>
        <w:t>,</w:t>
      </w:r>
      <w:r w:rsidRPr="004A1368">
        <w:rPr>
          <w:rFonts w:ascii="Verdana" w:hAnsi="Verdana"/>
        </w:rPr>
        <w:t xml:space="preserve"> and where their trajectory may be heading.</w:t>
      </w:r>
    </w:p>
    <w:p w:rsidR="00214587" w:rsidRPr="004A1368" w:rsidP="00DC077A">
      <w:pPr>
        <w:pStyle w:val="ListParagraph"/>
        <w:numPr>
          <w:ilvl w:val="0"/>
          <w:numId w:val="9"/>
        </w:numPr>
        <w:rPr>
          <w:rFonts w:ascii="Verdana" w:hAnsi="Verdana"/>
        </w:rPr>
      </w:pPr>
      <w:r w:rsidRPr="004A1368">
        <w:rPr>
          <w:rFonts w:ascii="Verdana" w:hAnsi="Verdana"/>
        </w:rPr>
        <w:t>National health-data infrastructure should preserve clinically meaningful temporal and contextual information, including the timing of measurements, symptoms, treatments</w:t>
      </w:r>
      <w:r w:rsidRPr="004A1368" w:rsidR="00A54FC9">
        <w:rPr>
          <w:rFonts w:ascii="Verdana" w:hAnsi="Verdana"/>
        </w:rPr>
        <w:t>,</w:t>
      </w:r>
      <w:r w:rsidRPr="004A1368">
        <w:rPr>
          <w:rFonts w:ascii="Verdana" w:hAnsi="Verdana"/>
        </w:rPr>
        <w:t xml:space="preserve"> and relevant physiological or environmental exposures.</w:t>
      </w:r>
    </w:p>
    <w:p w:rsidR="00214587" w:rsidRPr="004A1368" w:rsidP="00DC077A">
      <w:pPr>
        <w:pStyle w:val="ListParagraph"/>
        <w:numPr>
          <w:ilvl w:val="0"/>
          <w:numId w:val="9"/>
        </w:numPr>
        <w:rPr>
          <w:rFonts w:ascii="Verdana" w:hAnsi="Verdana"/>
        </w:rPr>
      </w:pPr>
      <w:r w:rsidRPr="004A1368">
        <w:rPr>
          <w:rFonts w:ascii="Verdana" w:hAnsi="Verdana"/>
        </w:rPr>
        <w:t>The Health Data Research Service should lead an early demonstrator to develop proportionate standards for clinically meaningful temporal metadata in a small number of defined use cases.</w:t>
      </w:r>
    </w:p>
    <w:p w:rsidR="00214587" w:rsidRPr="004A1368" w:rsidP="00B313E7">
      <w:pPr>
        <w:numPr>
          <w:ilvl w:val="0"/>
          <w:numId w:val="3"/>
        </w:numPr>
        <w:ind w:left="360"/>
        <w:rPr>
          <w:rFonts w:ascii="Verdana" w:hAnsi="Verdana"/>
          <w:b/>
          <w:bCs/>
        </w:rPr>
      </w:pPr>
      <w:r w:rsidRPr="004A1368">
        <w:rPr>
          <w:rFonts w:ascii="Verdana" w:hAnsi="Verdana"/>
          <w:b/>
          <w:bCs/>
        </w:rPr>
        <w:t>Fund the pathway</w:t>
      </w:r>
    </w:p>
    <w:p w:rsidR="00214587" w:rsidRPr="004A1368" w:rsidP="00DC077A">
      <w:pPr>
        <w:pStyle w:val="ListParagraph"/>
        <w:numPr>
          <w:ilvl w:val="0"/>
          <w:numId w:val="10"/>
        </w:numPr>
        <w:rPr>
          <w:rFonts w:ascii="Verdana" w:hAnsi="Verdana"/>
        </w:rPr>
      </w:pPr>
      <w:r w:rsidRPr="004A1368">
        <w:rPr>
          <w:rFonts w:ascii="Verdana" w:hAnsi="Verdana"/>
        </w:rPr>
        <w:t>Technology does not create NHS value merely because it has been developed, procured</w:t>
      </w:r>
      <w:r w:rsidRPr="004A1368" w:rsidR="00FA174E">
        <w:rPr>
          <w:rFonts w:ascii="Verdana" w:hAnsi="Verdana"/>
        </w:rPr>
        <w:t>,</w:t>
      </w:r>
      <w:r w:rsidRPr="004A1368">
        <w:rPr>
          <w:rFonts w:ascii="Verdana" w:hAnsi="Verdana"/>
        </w:rPr>
        <w:t xml:space="preserve"> or installed. Installed is not embedded.</w:t>
      </w:r>
    </w:p>
    <w:p w:rsidR="00214587" w:rsidRPr="004A1368" w:rsidP="00DC077A">
      <w:pPr>
        <w:pStyle w:val="ListParagraph"/>
        <w:numPr>
          <w:ilvl w:val="0"/>
          <w:numId w:val="10"/>
        </w:numPr>
        <w:rPr>
          <w:rFonts w:ascii="Verdana" w:hAnsi="Verdana"/>
        </w:rPr>
      </w:pPr>
      <w:r w:rsidRPr="004A1368">
        <w:rPr>
          <w:rFonts w:ascii="Verdana" w:hAnsi="Verdana"/>
        </w:rPr>
        <w:t>Government and funders should establish a staged and accountable route from intended-use definition and prospective validation through pathway redesign, workforce preparation, health-economic assessment, conditional adoption</w:t>
      </w:r>
      <w:r w:rsidRPr="004A1368" w:rsidR="000303AC">
        <w:rPr>
          <w:rFonts w:ascii="Verdana" w:hAnsi="Verdana"/>
        </w:rPr>
        <w:t>,</w:t>
      </w:r>
      <w:r w:rsidRPr="004A1368">
        <w:rPr>
          <w:rFonts w:ascii="Verdana" w:hAnsi="Verdana"/>
        </w:rPr>
        <w:t xml:space="preserve"> and lifecycle review.</w:t>
      </w:r>
    </w:p>
    <w:p w:rsidR="00214587" w:rsidRPr="004A1368" w:rsidP="00DC077A">
      <w:pPr>
        <w:pStyle w:val="ListParagraph"/>
        <w:numPr>
          <w:ilvl w:val="0"/>
          <w:numId w:val="10"/>
        </w:numPr>
        <w:rPr>
          <w:rFonts w:ascii="Verdana" w:hAnsi="Verdana"/>
        </w:rPr>
      </w:pPr>
      <w:r w:rsidRPr="004A1368">
        <w:rPr>
          <w:rFonts w:ascii="Verdana" w:hAnsi="Verdana"/>
        </w:rPr>
        <w:t>A well-designed pilot should force a decision: scale, modify, repurpose</w:t>
      </w:r>
      <w:r w:rsidRPr="004A1368" w:rsidR="00336A1A">
        <w:rPr>
          <w:rFonts w:ascii="Verdana" w:hAnsi="Verdana"/>
        </w:rPr>
        <w:t>,</w:t>
      </w:r>
      <w:r w:rsidRPr="004A1368">
        <w:rPr>
          <w:rFonts w:ascii="Verdana" w:hAnsi="Verdana"/>
        </w:rPr>
        <w:t xml:space="preserve"> or stop.</w:t>
      </w:r>
    </w:p>
    <w:p w:rsidR="00214587" w:rsidRPr="004A1368" w:rsidP="00B313E7">
      <w:pPr>
        <w:numPr>
          <w:ilvl w:val="0"/>
          <w:numId w:val="4"/>
        </w:numPr>
        <w:ind w:left="360"/>
        <w:rPr>
          <w:rFonts w:ascii="Verdana" w:hAnsi="Verdana"/>
          <w:b/>
          <w:bCs/>
        </w:rPr>
      </w:pPr>
      <w:r w:rsidRPr="004A1368">
        <w:rPr>
          <w:rFonts w:ascii="Verdana" w:hAnsi="Verdana"/>
          <w:b/>
          <w:bCs/>
        </w:rPr>
        <w:t>Intervene at the right time</w:t>
      </w:r>
    </w:p>
    <w:p w:rsidR="00214587" w:rsidRPr="004A1368" w:rsidP="00DC077A">
      <w:pPr>
        <w:pStyle w:val="ListParagraph"/>
        <w:numPr>
          <w:ilvl w:val="0"/>
          <w:numId w:val="11"/>
        </w:numPr>
        <w:rPr>
          <w:rFonts w:ascii="Verdana" w:hAnsi="Verdana"/>
        </w:rPr>
      </w:pPr>
      <w:r w:rsidRPr="004A1368">
        <w:rPr>
          <w:rFonts w:ascii="Verdana" w:hAnsi="Verdana"/>
        </w:rPr>
        <w:t>Earlier is not always better. Personalised medicine should identify when investigation, monitoring, treatment, escalation</w:t>
      </w:r>
      <w:r w:rsidRPr="004A1368" w:rsidR="00FA174E">
        <w:rPr>
          <w:rFonts w:ascii="Verdana" w:hAnsi="Verdana"/>
        </w:rPr>
        <w:t>,</w:t>
      </w:r>
      <w:r w:rsidRPr="004A1368">
        <w:rPr>
          <w:rFonts w:ascii="Verdana" w:hAnsi="Verdana"/>
        </w:rPr>
        <w:t xml:space="preserve"> or watchful waiting is most likely to produce net benefit for a particular patient.</w:t>
      </w:r>
    </w:p>
    <w:p w:rsidR="00214587" w:rsidRPr="004A1368" w:rsidP="00DC077A">
      <w:pPr>
        <w:pStyle w:val="ListParagraph"/>
        <w:numPr>
          <w:ilvl w:val="0"/>
          <w:numId w:val="11"/>
        </w:numPr>
        <w:rPr>
          <w:rFonts w:ascii="Verdana" w:hAnsi="Verdana"/>
        </w:rPr>
      </w:pPr>
      <w:r w:rsidRPr="004A1368">
        <w:rPr>
          <w:rFonts w:ascii="Verdana" w:hAnsi="Verdana"/>
        </w:rPr>
        <w:t>Policy should focus on preventing avoidable deterioration and cascades of multimorbidity while recognising the risks of overdiagnosis, unnecessary intervention</w:t>
      </w:r>
      <w:r w:rsidRPr="004A1368" w:rsidR="00FA174E">
        <w:rPr>
          <w:rFonts w:ascii="Verdana" w:hAnsi="Verdana"/>
        </w:rPr>
        <w:t>,</w:t>
      </w:r>
      <w:r w:rsidRPr="004A1368">
        <w:rPr>
          <w:rFonts w:ascii="Verdana" w:hAnsi="Verdana"/>
        </w:rPr>
        <w:t xml:space="preserve"> and action taken before benefit is established.</w:t>
      </w:r>
    </w:p>
    <w:p w:rsidR="00214587" w:rsidRPr="004A1368" w:rsidP="00DC077A">
      <w:pPr>
        <w:pStyle w:val="ListParagraph"/>
        <w:numPr>
          <w:ilvl w:val="0"/>
          <w:numId w:val="11"/>
        </w:numPr>
        <w:rPr>
          <w:rFonts w:ascii="Verdana" w:hAnsi="Verdana"/>
        </w:rPr>
      </w:pPr>
      <w:r w:rsidRPr="004A1368">
        <w:rPr>
          <w:rFonts w:ascii="Verdana" w:hAnsi="Verdana"/>
        </w:rPr>
        <w:t>The costs and benefits of timely intervention should be assessed across the whole pathway and over an appropriate time horizon, including where the organisation paying for an intervention is not the organisation that later benefits.</w:t>
      </w:r>
    </w:p>
    <w:p w:rsidR="00214587" w:rsidRPr="004A1368" w:rsidP="00214587">
      <w:pPr>
        <w:rPr>
          <w:rFonts w:ascii="Verdana" w:hAnsi="Verdana"/>
          <w:b/>
          <w:bCs/>
        </w:rPr>
      </w:pPr>
      <w:r w:rsidRPr="004A1368">
        <w:rPr>
          <w:rFonts w:ascii="Verdana" w:hAnsi="Verdana"/>
          <w:b/>
          <w:bCs/>
        </w:rPr>
        <w:t>These three recommendations require several supporting conditions:</w:t>
      </w:r>
    </w:p>
    <w:p w:rsidR="00214587" w:rsidRPr="004A1368" w:rsidP="00802FB3">
      <w:pPr>
        <w:pStyle w:val="ListParagraph"/>
        <w:numPr>
          <w:ilvl w:val="0"/>
          <w:numId w:val="7"/>
        </w:numPr>
        <w:rPr>
          <w:rFonts w:ascii="Verdana" w:hAnsi="Verdana"/>
        </w:rPr>
      </w:pPr>
      <w:r w:rsidRPr="004A1368">
        <w:rPr>
          <w:rFonts w:ascii="Verdana" w:hAnsi="Verdana"/>
        </w:rPr>
        <w:t xml:space="preserve">evaluate the clinical decision and pathway, not </w:t>
      </w:r>
      <w:r w:rsidRPr="004A1368" w:rsidR="002B0198">
        <w:rPr>
          <w:rFonts w:ascii="Verdana" w:hAnsi="Verdana"/>
        </w:rPr>
        <w:t>just</w:t>
      </w:r>
      <w:r w:rsidRPr="004A1368">
        <w:rPr>
          <w:rFonts w:ascii="Verdana" w:hAnsi="Verdana"/>
        </w:rPr>
        <w:t xml:space="preserve"> the algorithm or device;</w:t>
      </w:r>
    </w:p>
    <w:p w:rsidR="00214587" w:rsidRPr="004A1368" w:rsidP="00802FB3">
      <w:pPr>
        <w:pStyle w:val="ListParagraph"/>
        <w:numPr>
          <w:ilvl w:val="0"/>
          <w:numId w:val="7"/>
        </w:numPr>
        <w:rPr>
          <w:rFonts w:ascii="Verdana" w:hAnsi="Verdana"/>
        </w:rPr>
      </w:pPr>
      <w:r w:rsidRPr="004A1368">
        <w:rPr>
          <w:rFonts w:ascii="Verdana" w:hAnsi="Verdana"/>
        </w:rPr>
        <w:t>measure usable capacity, downstream workload</w:t>
      </w:r>
      <w:r w:rsidRPr="004A1368" w:rsidR="002B0198">
        <w:rPr>
          <w:rFonts w:ascii="Verdana" w:hAnsi="Verdana"/>
        </w:rPr>
        <w:t>,</w:t>
      </w:r>
      <w:r w:rsidRPr="004A1368">
        <w:rPr>
          <w:rFonts w:ascii="Verdana" w:hAnsi="Verdana"/>
        </w:rPr>
        <w:t xml:space="preserve"> and cognitive burden rather than nominal time saved;</w:t>
      </w:r>
    </w:p>
    <w:p w:rsidR="00214587" w:rsidRPr="004A1368" w:rsidP="00802FB3">
      <w:pPr>
        <w:pStyle w:val="ListParagraph"/>
        <w:numPr>
          <w:ilvl w:val="0"/>
          <w:numId w:val="7"/>
        </w:numPr>
        <w:rPr>
          <w:rFonts w:ascii="Verdana" w:hAnsi="Verdana"/>
        </w:rPr>
      </w:pPr>
      <w:r w:rsidRPr="004A1368">
        <w:rPr>
          <w:rFonts w:ascii="Verdana" w:hAnsi="Verdana"/>
        </w:rPr>
        <w:t>treat fatigue and human factors as patient-safety issues;</w:t>
      </w:r>
    </w:p>
    <w:p w:rsidR="00214587" w:rsidRPr="004A1368" w:rsidP="00802FB3">
      <w:pPr>
        <w:pStyle w:val="ListParagraph"/>
        <w:numPr>
          <w:ilvl w:val="0"/>
          <w:numId w:val="7"/>
        </w:numPr>
        <w:rPr>
          <w:rFonts w:ascii="Verdana" w:hAnsi="Verdana"/>
        </w:rPr>
      </w:pPr>
      <w:r w:rsidRPr="004A1368">
        <w:rPr>
          <w:rFonts w:ascii="Verdana" w:hAnsi="Verdana"/>
        </w:rPr>
        <w:t>protect clinical academics and other boundary-spanning translational professionals;</w:t>
      </w:r>
    </w:p>
    <w:p w:rsidR="00214587" w:rsidRPr="004A1368" w:rsidP="00802FB3">
      <w:pPr>
        <w:pStyle w:val="ListParagraph"/>
        <w:numPr>
          <w:ilvl w:val="0"/>
          <w:numId w:val="7"/>
        </w:numPr>
        <w:rPr>
          <w:rFonts w:ascii="Verdana" w:hAnsi="Verdana"/>
        </w:rPr>
      </w:pPr>
      <w:r w:rsidRPr="004A1368">
        <w:rPr>
          <w:rFonts w:ascii="Verdana" w:hAnsi="Verdana"/>
        </w:rPr>
        <w:t>integrate heat, climate, buildings, staffing</w:t>
      </w:r>
      <w:r w:rsidRPr="004A1368" w:rsidR="004C0C87">
        <w:rPr>
          <w:rFonts w:ascii="Verdana" w:hAnsi="Verdana"/>
        </w:rPr>
        <w:t>,</w:t>
      </w:r>
      <w:r w:rsidRPr="004A1368">
        <w:rPr>
          <w:rFonts w:ascii="Verdana" w:hAnsi="Verdana"/>
        </w:rPr>
        <w:t xml:space="preserve"> and infrastructure resilience with personalised risk assessment;</w:t>
      </w:r>
    </w:p>
    <w:p w:rsidR="00214587" w:rsidRPr="004A1368" w:rsidP="00802FB3">
      <w:pPr>
        <w:pStyle w:val="ListParagraph"/>
        <w:numPr>
          <w:ilvl w:val="0"/>
          <w:numId w:val="7"/>
        </w:numPr>
        <w:rPr>
          <w:rFonts w:ascii="Verdana" w:hAnsi="Verdana"/>
        </w:rPr>
      </w:pPr>
      <w:r w:rsidRPr="004A1368">
        <w:rPr>
          <w:rFonts w:ascii="Verdana" w:hAnsi="Verdana"/>
        </w:rPr>
        <w:t>use the diversity of NHS populations and services as a real-world evaluation asset;</w:t>
      </w:r>
    </w:p>
    <w:p w:rsidR="00214587" w:rsidRPr="004A1368" w:rsidP="00802FB3">
      <w:pPr>
        <w:pStyle w:val="ListParagraph"/>
        <w:numPr>
          <w:ilvl w:val="0"/>
          <w:numId w:val="7"/>
        </w:numPr>
        <w:rPr>
          <w:rFonts w:ascii="Verdana" w:hAnsi="Verdana"/>
        </w:rPr>
      </w:pPr>
      <w:r w:rsidRPr="004A1368">
        <w:rPr>
          <w:rFonts w:ascii="Verdana" w:hAnsi="Verdana"/>
        </w:rPr>
        <w:t>preserve interoperability, auditability, data portability</w:t>
      </w:r>
      <w:r w:rsidRPr="004A1368" w:rsidR="004C0C87">
        <w:rPr>
          <w:rFonts w:ascii="Verdana" w:hAnsi="Verdana"/>
        </w:rPr>
        <w:t>,</w:t>
      </w:r>
      <w:r w:rsidRPr="004A1368">
        <w:rPr>
          <w:rFonts w:ascii="Verdana" w:hAnsi="Verdana"/>
        </w:rPr>
        <w:t xml:space="preserve"> and the ability to replace a model or supplier; and</w:t>
      </w:r>
    </w:p>
    <w:p w:rsidR="00214587" w:rsidRPr="004A1368" w:rsidP="00802FB3">
      <w:pPr>
        <w:pStyle w:val="ListParagraph"/>
        <w:numPr>
          <w:ilvl w:val="0"/>
          <w:numId w:val="7"/>
        </w:numPr>
        <w:rPr>
          <w:rFonts w:ascii="Verdana" w:hAnsi="Verdana"/>
        </w:rPr>
      </w:pPr>
      <w:r w:rsidRPr="004A1368">
        <w:rPr>
          <w:rFonts w:ascii="Verdana" w:hAnsi="Verdana"/>
        </w:rPr>
        <w:t>align existing organisations around named ownership rather than creating another national body.</w:t>
      </w:r>
    </w:p>
    <w:p w:rsidR="00DE5A3E" w:rsidRPr="004A1368" w:rsidP="00FC7D4D">
      <w:pPr>
        <w:rPr>
          <w:rFonts w:ascii="Verdana" w:hAnsi="Verdana"/>
          <w:b/>
          <w:bCs/>
        </w:rPr>
      </w:pPr>
    </w:p>
    <w:p w:rsidR="00FC7D4D" w:rsidRPr="004A1368" w:rsidP="00FC7D4D">
      <w:pPr>
        <w:rPr>
          <w:rFonts w:ascii="Verdana" w:hAnsi="Verdana"/>
          <w:b/>
          <w:bCs/>
        </w:rPr>
      </w:pPr>
      <w:r w:rsidRPr="004A1368">
        <w:rPr>
          <w:rFonts w:ascii="Verdana" w:hAnsi="Verdana"/>
          <w:b/>
          <w:bCs/>
        </w:rPr>
        <w:t>Introduction and scope</w:t>
      </w:r>
    </w:p>
    <w:p w:rsidR="00FC7D4D" w:rsidRPr="004A1368" w:rsidP="00FC7D4D">
      <w:pPr>
        <w:rPr>
          <w:rFonts w:ascii="Verdana" w:hAnsi="Verdana"/>
        </w:rPr>
      </w:pPr>
      <w:r w:rsidRPr="004A1368">
        <w:rPr>
          <w:rFonts w:ascii="Verdana" w:hAnsi="Verdana"/>
        </w:rPr>
        <w:t xml:space="preserve">S1. </w:t>
      </w:r>
      <w:r w:rsidRPr="004A1368" w:rsidR="00616704">
        <w:rPr>
          <w:rFonts w:ascii="Verdana" w:hAnsi="Verdana"/>
        </w:rPr>
        <w:t>I am a clinician-scientist and translational neuroscientist based in Cambridge. My work spans human experimental medicine, clinical and molecular neuroscience, chronobiology, sleep, physiological monitoring, digital biomarkers, wearable technologies, and AI-enabled analysis. It includes regulated human studies, biomarker development, cross-sector collaboration, and translational strategy.</w:t>
      </w:r>
    </w:p>
    <w:p w:rsidR="009E2340" w:rsidRPr="004A1368" w:rsidP="009E2340">
      <w:pPr>
        <w:rPr>
          <w:rFonts w:ascii="Verdana" w:hAnsi="Verdana"/>
        </w:rPr>
      </w:pPr>
      <w:r w:rsidRPr="004A1368">
        <w:rPr>
          <w:rFonts w:ascii="Verdana" w:hAnsi="Verdana"/>
        </w:rPr>
        <w:t>S2. My original evidence was submitted because this inquiry concerns a problem I encounter repeatedly: promising biomedical and AI-enabled innovations may progress from scientific discovery to technical demonstration but fail to achieve clinically useful, equitable, and sustainable adoption in NHS pathways.</w:t>
      </w:r>
    </w:p>
    <w:p w:rsidR="009E2340" w:rsidRPr="004A1368" w:rsidP="009E2340">
      <w:pPr>
        <w:rPr>
          <w:rFonts w:ascii="Verdana" w:hAnsi="Verdana"/>
        </w:rPr>
      </w:pPr>
      <w:r w:rsidRPr="004A1368">
        <w:rPr>
          <w:rFonts w:ascii="Verdana" w:hAnsi="Verdana"/>
        </w:rPr>
        <w:t xml:space="preserve">S3. This supplementary note is principally relevant to Questions </w:t>
      </w:r>
      <w:r w:rsidRPr="004A1368">
        <w:rPr>
          <w:rFonts w:ascii="Verdana" w:hAnsi="Verdana"/>
          <w:b/>
          <w:bCs/>
        </w:rPr>
        <w:t>1, 3, 5</w:t>
      </w:r>
      <w:r w:rsidRPr="004A1368">
        <w:rPr>
          <w:rFonts w:ascii="Verdana" w:hAnsi="Verdana"/>
        </w:rPr>
        <w:t xml:space="preserve"> and </w:t>
      </w:r>
      <w:r w:rsidRPr="004A1368">
        <w:rPr>
          <w:rFonts w:ascii="Verdana" w:hAnsi="Verdana"/>
          <w:b/>
          <w:bCs/>
        </w:rPr>
        <w:t>8</w:t>
      </w:r>
      <w:r w:rsidRPr="004A1368">
        <w:rPr>
          <w:rFonts w:ascii="Verdana" w:hAnsi="Verdana"/>
        </w:rPr>
        <w:t xml:space="preserve"> in the call for evidence, with supporting observations on Questions 2, 4, 6 and 7 where they bear directly on adoption, regulation, economics, workforce capacity, and system resilience.</w:t>
      </w:r>
    </w:p>
    <w:p w:rsidR="009E2340" w:rsidRPr="004A1368" w:rsidP="009E2340">
      <w:pPr>
        <w:rPr>
          <w:rFonts w:ascii="Verdana" w:hAnsi="Verdana"/>
        </w:rPr>
      </w:pPr>
      <w:r w:rsidRPr="004A1368">
        <w:rPr>
          <w:rFonts w:ascii="Verdana" w:hAnsi="Verdana"/>
        </w:rPr>
        <w:t xml:space="preserve">S4. The purpose of this note is not to argue for maximal data collection or the indiscriminate use of AI. It is to identify which </w:t>
      </w:r>
      <w:r w:rsidRPr="004A1368">
        <w:rPr>
          <w:rFonts w:ascii="Verdana" w:hAnsi="Verdana"/>
        </w:rPr>
        <w:t>information</w:t>
      </w:r>
      <w:r w:rsidRPr="004A1368">
        <w:rPr>
          <w:rFonts w:ascii="Verdana" w:hAnsi="Verdana"/>
        </w:rPr>
        <w:t xml:space="preserve"> and technologies improve a meaningful decision, </w:t>
      </w:r>
      <w:r w:rsidRPr="004A1368" w:rsidR="00D94C11">
        <w:rPr>
          <w:rFonts w:ascii="Verdana" w:hAnsi="Verdana"/>
        </w:rPr>
        <w:t>to ensure that a human—or a clearly accountable human-led system—is able and responsible to act on the result, and to build a pathway capable of translating that action into patient and system benefit.</w:t>
      </w:r>
    </w:p>
    <w:p w:rsidR="009E2340" w:rsidRPr="004A1368" w:rsidP="009E2340">
      <w:pPr>
        <w:rPr>
          <w:rFonts w:ascii="Verdana" w:hAnsi="Verdana"/>
          <w:b/>
          <w:bCs/>
        </w:rPr>
      </w:pPr>
      <w:r w:rsidRPr="004A1368">
        <w:rPr>
          <w:rFonts w:ascii="Verdana" w:hAnsi="Verdana"/>
          <w:b/>
          <w:bCs/>
        </w:rPr>
        <w:t>Personalise decisions beyond classifications</w:t>
      </w:r>
    </w:p>
    <w:p w:rsidR="009E2340" w:rsidRPr="004A1368" w:rsidP="009E2340">
      <w:pPr>
        <w:rPr>
          <w:rFonts w:ascii="Verdana" w:hAnsi="Verdana"/>
        </w:rPr>
      </w:pPr>
      <w:r w:rsidRPr="004A1368">
        <w:rPr>
          <w:rFonts w:ascii="Verdana" w:hAnsi="Verdana"/>
        </w:rPr>
        <w:t>S5. Personalised medicine is often discussed as increasingly precise biological classification, particularly through genomics. Genomics has transformed diagnosis in rare disease and some cancers and will remain central to biomedical research and care. However, precision and accuracy are not interchangeable.</w:t>
      </w:r>
    </w:p>
    <w:p w:rsidR="009E2340" w:rsidRPr="004A1368" w:rsidP="009E2340">
      <w:pPr>
        <w:rPr>
          <w:rFonts w:ascii="Verdana" w:hAnsi="Verdana"/>
        </w:rPr>
      </w:pPr>
      <w:r w:rsidRPr="004A1368">
        <w:rPr>
          <w:rFonts w:ascii="Verdana" w:hAnsi="Verdana"/>
        </w:rPr>
        <w:t xml:space="preserve">S6. A system may produce highly consistent classifications, or divide patients into increasingly narrow groups, while remaining systematically wrong because the relevant population, physiological state, environmental context, or timing has been </w:t>
      </w:r>
      <w:r w:rsidRPr="004A1368" w:rsidR="005C2942">
        <w:rPr>
          <w:rFonts w:ascii="Verdana" w:hAnsi="Verdana"/>
        </w:rPr>
        <w:t>overlooked</w:t>
      </w:r>
      <w:r w:rsidRPr="004A1368">
        <w:rPr>
          <w:rFonts w:ascii="Verdana" w:hAnsi="Verdana"/>
        </w:rPr>
        <w:t xml:space="preserve">. Personalisation should therefore be judged by whether it improves the accuracy and timing of decisions about what should be done, for whom, and when—not merely by the </w:t>
      </w:r>
      <w:r w:rsidRPr="004A1368" w:rsidR="005C2942">
        <w:rPr>
          <w:rFonts w:ascii="Verdana" w:hAnsi="Verdana"/>
        </w:rPr>
        <w:t>granularity</w:t>
      </w:r>
      <w:r w:rsidRPr="004A1368">
        <w:rPr>
          <w:rFonts w:ascii="Verdana" w:hAnsi="Verdana"/>
        </w:rPr>
        <w:t xml:space="preserve"> of the classification produced.</w:t>
      </w:r>
    </w:p>
    <w:p w:rsidR="009E2340" w:rsidRPr="004A1368" w:rsidP="009E2340">
      <w:pPr>
        <w:rPr>
          <w:rFonts w:ascii="Verdana" w:hAnsi="Verdana"/>
        </w:rPr>
      </w:pPr>
      <w:r w:rsidRPr="004A1368">
        <w:rPr>
          <w:rFonts w:ascii="Verdana" w:hAnsi="Verdana"/>
        </w:rPr>
        <w:t xml:space="preserve">S7. The interpretation of genomic findings is itself context-dependent, as previous evidence to the Committee has emphasised.[1] Genomics alone does not explain why disease emerges at a particular time, </w:t>
      </w:r>
      <w:r w:rsidRPr="004A1368" w:rsidR="00496796">
        <w:rPr>
          <w:rFonts w:ascii="Verdana" w:hAnsi="Verdana"/>
        </w:rPr>
        <w:t>varies</w:t>
      </w:r>
      <w:r w:rsidRPr="004A1368">
        <w:rPr>
          <w:rFonts w:ascii="Verdana" w:hAnsi="Verdana"/>
        </w:rPr>
        <w:t xml:space="preserve"> across days or weeks, progresses at different rates, or responds differently </w:t>
      </w:r>
      <w:r w:rsidRPr="004A1368" w:rsidR="00496796">
        <w:rPr>
          <w:rFonts w:ascii="Verdana" w:hAnsi="Verdana"/>
        </w:rPr>
        <w:t xml:space="preserve">to interventions </w:t>
      </w:r>
      <w:r w:rsidRPr="004A1368" w:rsidR="008B66D9">
        <w:rPr>
          <w:rFonts w:ascii="Verdana" w:hAnsi="Verdana"/>
        </w:rPr>
        <w:t xml:space="preserve">within and </w:t>
      </w:r>
      <w:r w:rsidRPr="004A1368">
        <w:rPr>
          <w:rFonts w:ascii="Verdana" w:hAnsi="Verdana"/>
        </w:rPr>
        <w:t>between people and contexts.</w:t>
      </w:r>
    </w:p>
    <w:p w:rsidR="009E2340" w:rsidRPr="004A1368" w:rsidP="009E2340">
      <w:pPr>
        <w:rPr>
          <w:rFonts w:ascii="Verdana" w:hAnsi="Verdana"/>
        </w:rPr>
      </w:pPr>
      <w:r w:rsidRPr="004A1368">
        <w:rPr>
          <w:rFonts w:ascii="Verdana" w:hAnsi="Verdana"/>
        </w:rPr>
        <w:t xml:space="preserve">S8. In many common and high-burden conditions, clinically relevant variation arises from interactions between molecular mechanisms, physiology, behaviour, function, treatment, </w:t>
      </w:r>
      <w:r w:rsidRPr="004A1368" w:rsidR="009C1044">
        <w:rPr>
          <w:rFonts w:ascii="Verdana" w:hAnsi="Verdana"/>
        </w:rPr>
        <w:t xml:space="preserve">the </w:t>
      </w:r>
      <w:r w:rsidRPr="004A1368">
        <w:rPr>
          <w:rFonts w:ascii="Verdana" w:hAnsi="Verdana"/>
        </w:rPr>
        <w:t>internal and external environment, and time. Personalised medicine should therefore include not only who the patient is, but what state the patient is in, how that state is changing, where the trajectory may be heading, and when an action is likely to provide the greatest net benefit.</w:t>
      </w:r>
    </w:p>
    <w:p w:rsidR="009E2340" w:rsidRPr="004A1368" w:rsidP="009E2340">
      <w:pPr>
        <w:rPr>
          <w:rFonts w:ascii="Verdana" w:hAnsi="Verdana"/>
        </w:rPr>
      </w:pPr>
      <w:r w:rsidRPr="004A1368">
        <w:rPr>
          <w:rFonts w:ascii="Verdana" w:hAnsi="Verdana"/>
        </w:rPr>
        <w:t>S9. This is a decision-first definition of personalisation. More data are not necessarily better if they do not improve an action. A test that produces finer biological characterisation but does not alter diagnosis, treatment, monitoring, or pathway design may have limited practical value. Conversely, a relatively simple repeated measure may be highly valuable if it detects deterioration, treatment response, instability, or recovery at a point when action remains possible.</w:t>
      </w:r>
    </w:p>
    <w:p w:rsidR="009E2340" w:rsidRPr="004A1368" w:rsidP="009E2340">
      <w:pPr>
        <w:rPr>
          <w:rFonts w:ascii="Verdana" w:hAnsi="Verdana"/>
        </w:rPr>
      </w:pPr>
      <w:r w:rsidRPr="004A1368">
        <w:rPr>
          <w:rFonts w:ascii="Verdana" w:hAnsi="Verdana"/>
        </w:rPr>
        <w:t xml:space="preserve">S10. The relevant question for AI should consequently not be reduced to whether an algorithm can recognise patterns or predict an outcome. It is whether the output changes a defined decision for a defined population; whether </w:t>
      </w:r>
      <w:r w:rsidRPr="004A1368" w:rsidR="001C08D2">
        <w:rPr>
          <w:rFonts w:ascii="Verdana" w:hAnsi="Verdana"/>
        </w:rPr>
        <w:t>a human</w:t>
      </w:r>
      <w:r w:rsidRPr="004A1368">
        <w:rPr>
          <w:rFonts w:ascii="Verdana" w:hAnsi="Verdana"/>
        </w:rPr>
        <w:t xml:space="preserve"> is able, authorised, and responsible to act on it; and whether the resulting pathway produces a measurable improvement in outcomes, safety, equity, or usable capacity.</w:t>
      </w:r>
    </w:p>
    <w:p w:rsidR="009E2340" w:rsidRPr="004A1368" w:rsidP="009E2340">
      <w:pPr>
        <w:rPr>
          <w:rFonts w:ascii="Verdana" w:hAnsi="Verdana"/>
          <w:b/>
          <w:bCs/>
        </w:rPr>
      </w:pPr>
      <w:r w:rsidRPr="004A1368">
        <w:rPr>
          <w:rFonts w:ascii="Verdana" w:hAnsi="Verdana"/>
          <w:b/>
          <w:bCs/>
        </w:rPr>
        <w:t>AI and formation of the clinical question</w:t>
      </w:r>
    </w:p>
    <w:p w:rsidR="009E2340" w:rsidRPr="004A1368" w:rsidP="009E2340">
      <w:pPr>
        <w:rPr>
          <w:rFonts w:ascii="Verdana" w:hAnsi="Verdana"/>
        </w:rPr>
      </w:pPr>
      <w:r w:rsidRPr="004A1368">
        <w:rPr>
          <w:rFonts w:ascii="Verdana" w:hAnsi="Verdana"/>
        </w:rPr>
        <w:t xml:space="preserve">S11. Most machine-learning methods begin after a target, reward, representation, or question has already been specified. This creates a prior and often </w:t>
      </w:r>
      <w:r w:rsidRPr="004A1368" w:rsidR="008E6994">
        <w:rPr>
          <w:rFonts w:ascii="Verdana" w:hAnsi="Verdana"/>
        </w:rPr>
        <w:t>neglected</w:t>
      </w:r>
      <w:r w:rsidRPr="004A1368">
        <w:rPr>
          <w:rFonts w:ascii="Verdana" w:hAnsi="Verdana"/>
        </w:rPr>
        <w:t xml:space="preserve"> problem: whether the system and its human users are attending to the right phenomenon and asking the right question.</w:t>
      </w:r>
    </w:p>
    <w:p w:rsidR="009E2340" w:rsidRPr="004A1368" w:rsidP="009E2340">
      <w:pPr>
        <w:rPr>
          <w:rFonts w:ascii="Verdana" w:hAnsi="Verdana"/>
        </w:rPr>
      </w:pPr>
      <w:r w:rsidRPr="004A1368">
        <w:rPr>
          <w:rFonts w:ascii="Verdana" w:hAnsi="Verdana"/>
        </w:rPr>
        <w:t xml:space="preserve">S12. Recent conceptual work describes </w:t>
      </w:r>
      <w:r w:rsidRPr="004A1368" w:rsidR="008E6994">
        <w:rPr>
          <w:rFonts w:ascii="Verdana" w:hAnsi="Verdana"/>
        </w:rPr>
        <w:t>‘</w:t>
      </w:r>
      <w:r w:rsidRPr="004A1368">
        <w:rPr>
          <w:rFonts w:ascii="Verdana" w:hAnsi="Verdana"/>
        </w:rPr>
        <w:t>open-</w:t>
      </w:r>
      <w:r w:rsidRPr="004A1368">
        <w:rPr>
          <w:rFonts w:ascii="Verdana" w:hAnsi="Verdana"/>
        </w:rPr>
        <w:t>beginningness</w:t>
      </w:r>
      <w:r w:rsidRPr="004A1368" w:rsidR="008E6994">
        <w:rPr>
          <w:rFonts w:ascii="Verdana" w:hAnsi="Verdana"/>
        </w:rPr>
        <w:t>’</w:t>
      </w:r>
      <w:r w:rsidRPr="004A1368">
        <w:rPr>
          <w:rFonts w:ascii="Verdana" w:hAnsi="Verdana"/>
        </w:rPr>
        <w:t xml:space="preserve"> as the capacity to recognise that an initially weak, unexpected, or peripheral phenomenon may deserve sustained attention and may justify revising an existing problem or fr</w:t>
      </w:r>
      <w:r w:rsidRPr="004A1368" w:rsidR="001C1A5B">
        <w:rPr>
          <w:rFonts w:ascii="Verdana" w:hAnsi="Verdana"/>
        </w:rPr>
        <w:t>a</w:t>
      </w:r>
      <w:r w:rsidRPr="004A1368">
        <w:rPr>
          <w:rFonts w:ascii="Verdana" w:hAnsi="Verdana"/>
        </w:rPr>
        <w:t>ming a new one.[2] This is distinct from detecting an outlier within a predetermined representation. It concerns the earlier judgement of whether a phenomenon should enter inquiry at all.</w:t>
      </w:r>
    </w:p>
    <w:p w:rsidR="009E2340" w:rsidRPr="004A1368" w:rsidP="009E2340">
      <w:pPr>
        <w:rPr>
          <w:rFonts w:ascii="Verdana" w:hAnsi="Verdana"/>
        </w:rPr>
      </w:pPr>
      <w:r w:rsidRPr="004A1368">
        <w:rPr>
          <w:rFonts w:ascii="Verdana" w:hAnsi="Verdana"/>
        </w:rPr>
        <w:t xml:space="preserve">S13. This is potentially relevant to personalised medicine. An unexpected temporal pattern, cross-modal signal, treatment response, or patient subgroup may expose a limitation in the original model or clinical framing. </w:t>
      </w:r>
      <w:r w:rsidRPr="004A1368" w:rsidR="00B8362A">
        <w:rPr>
          <w:rFonts w:ascii="Verdana" w:hAnsi="Verdana"/>
        </w:rPr>
        <w:t>AI could help retain and connect weak evidence across datasets, modalities, and time, and identify which additional observation would be most informative for decision-making.</w:t>
      </w:r>
    </w:p>
    <w:p w:rsidR="009E2340" w:rsidRPr="004A1368" w:rsidP="009E2340">
      <w:pPr>
        <w:rPr>
          <w:rFonts w:ascii="Verdana" w:hAnsi="Verdana"/>
        </w:rPr>
      </w:pPr>
      <w:r w:rsidRPr="004A1368">
        <w:rPr>
          <w:rFonts w:ascii="Verdana" w:hAnsi="Verdana"/>
        </w:rPr>
        <w:t xml:space="preserve">S14. This should not be interpreted as evidence that current AI systems can autonomously determine which scientific or clinical questions matter. Treating every anomaly as significant would overwhelm services and research programmes, while filtering too aggressively could discard consequential signals. Clinical and scientific judgement </w:t>
      </w:r>
      <w:r w:rsidRPr="004A1368" w:rsidR="006564B1">
        <w:rPr>
          <w:rFonts w:ascii="Verdana" w:hAnsi="Verdana"/>
        </w:rPr>
        <w:t xml:space="preserve">alongside patient experience </w:t>
      </w:r>
      <w:r w:rsidRPr="004A1368">
        <w:rPr>
          <w:rFonts w:ascii="Verdana" w:hAnsi="Verdana"/>
        </w:rPr>
        <w:t>remains essential in deciding what deserves investigation, what evidence should be sought, and when the original question should be retained, revised, or abandoned.</w:t>
      </w:r>
    </w:p>
    <w:p w:rsidR="00983F46" w:rsidRPr="004A1368" w:rsidP="009E2340">
      <w:pPr>
        <w:rPr>
          <w:rFonts w:ascii="Verdana" w:hAnsi="Verdana"/>
          <w:b/>
          <w:bCs/>
        </w:rPr>
      </w:pPr>
    </w:p>
    <w:p w:rsidR="009E2340" w:rsidRPr="004A1368" w:rsidP="009E2340">
      <w:pPr>
        <w:rPr>
          <w:rFonts w:ascii="Verdana" w:hAnsi="Verdana"/>
          <w:b/>
          <w:bCs/>
        </w:rPr>
      </w:pPr>
      <w:r w:rsidRPr="004A1368">
        <w:rPr>
          <w:rFonts w:ascii="Verdana" w:hAnsi="Verdana"/>
          <w:b/>
          <w:bCs/>
        </w:rPr>
        <w:t>RECOMMENDATION 1: MEASURE CHANGE</w:t>
      </w:r>
    </w:p>
    <w:p w:rsidR="009E2340" w:rsidRPr="004A1368" w:rsidP="009E2340">
      <w:pPr>
        <w:rPr>
          <w:rFonts w:ascii="Verdana" w:hAnsi="Verdana"/>
          <w:b/>
          <w:bCs/>
        </w:rPr>
      </w:pPr>
      <w:r w:rsidRPr="004A1368">
        <w:rPr>
          <w:rFonts w:ascii="Verdana" w:hAnsi="Verdana"/>
          <w:b/>
          <w:bCs/>
        </w:rPr>
        <w:t>Make dynamic patient state and biological time part of health-data infrastructure</w:t>
      </w:r>
    </w:p>
    <w:p w:rsidR="009E2340" w:rsidRPr="004A1368" w:rsidP="009E2340">
      <w:pPr>
        <w:rPr>
          <w:rFonts w:ascii="Verdana" w:hAnsi="Verdana"/>
        </w:rPr>
      </w:pPr>
      <w:r w:rsidRPr="004A1368">
        <w:rPr>
          <w:rFonts w:ascii="Verdana" w:hAnsi="Verdana"/>
        </w:rPr>
        <w:t>S15. Most health data describe snapshots. Yet many diseases, symptoms, physiological states, and treatment effects are dynamic. A value that is normal for a population may be abnormal for a particular person at a particular time, while an isolated abnormal value may be less informative than its direction, rate of change, rhythm, or response to an intervention.</w:t>
      </w:r>
    </w:p>
    <w:p w:rsidR="009E2340" w:rsidRPr="004A1368" w:rsidP="009E2340">
      <w:pPr>
        <w:rPr>
          <w:rFonts w:ascii="Verdana" w:hAnsi="Verdana"/>
        </w:rPr>
      </w:pPr>
      <w:r w:rsidRPr="004A1368">
        <w:rPr>
          <w:rFonts w:ascii="Verdana" w:hAnsi="Verdana"/>
        </w:rPr>
        <w:t xml:space="preserve">S16. Health data without temporal context are analogous to </w:t>
      </w:r>
      <w:r w:rsidRPr="004A1368" w:rsidR="00FF4254">
        <w:rPr>
          <w:rFonts w:ascii="Verdana" w:hAnsi="Verdana"/>
        </w:rPr>
        <w:t>mapping</w:t>
      </w:r>
      <w:r w:rsidRPr="004A1368">
        <w:rPr>
          <w:rFonts w:ascii="Verdana" w:hAnsi="Verdana"/>
        </w:rPr>
        <w:t xml:space="preserve"> without live traffic: they may indicate where the patient is, but not how conditions are changing, whether the present route remains appropriate, or when a different action is required</w:t>
      </w:r>
      <w:r w:rsidRPr="004A1368" w:rsidR="00FF4254">
        <w:rPr>
          <w:rFonts w:ascii="Verdana" w:hAnsi="Verdana"/>
        </w:rPr>
        <w:t xml:space="preserve"> or potentially superior</w:t>
      </w:r>
      <w:r w:rsidRPr="004A1368">
        <w:rPr>
          <w:rFonts w:ascii="Verdana" w:hAnsi="Verdana"/>
        </w:rPr>
        <w:t>.</w:t>
      </w:r>
    </w:p>
    <w:p w:rsidR="009E2340" w:rsidRPr="004A1368" w:rsidP="009E2340">
      <w:pPr>
        <w:rPr>
          <w:rFonts w:ascii="Verdana" w:hAnsi="Verdana"/>
        </w:rPr>
      </w:pPr>
      <w:r w:rsidRPr="004A1368">
        <w:rPr>
          <w:rFonts w:ascii="Verdana" w:hAnsi="Verdana"/>
        </w:rPr>
        <w:t>S17. Biology did not evolve to produce elegant curve fits. Imposing overly simple patterns on complex biological data can obscure mechanism, conceal heterogeneity, and mislead model development. Data infrastructure should preserve sufficient context to test whether a pattern is real, clinically meaningful, and actionable.</w:t>
      </w:r>
    </w:p>
    <w:p w:rsidR="009E2340" w:rsidRPr="004A1368" w:rsidP="009E2340">
      <w:pPr>
        <w:rPr>
          <w:rFonts w:ascii="Verdana" w:hAnsi="Verdana"/>
        </w:rPr>
      </w:pPr>
      <w:r w:rsidRPr="004A1368">
        <w:rPr>
          <w:rFonts w:ascii="Verdana" w:hAnsi="Verdana"/>
        </w:rPr>
        <w:t xml:space="preserve">S18. </w:t>
      </w:r>
      <w:r w:rsidRPr="004A1368" w:rsidR="00084BE4">
        <w:rPr>
          <w:rFonts w:ascii="Verdana" w:hAnsi="Verdana"/>
        </w:rPr>
        <w:t>Work</w:t>
      </w:r>
      <w:r w:rsidRPr="004A1368">
        <w:rPr>
          <w:rFonts w:ascii="Verdana" w:hAnsi="Verdana"/>
        </w:rPr>
        <w:t xml:space="preserve"> on human brain temperature illustrates this distinction. Brain temperature varies spatiotemporally, and its daily rhythm may carry information that is </w:t>
      </w:r>
      <w:r w:rsidRPr="004A1368" w:rsidR="00084BE4">
        <w:rPr>
          <w:rFonts w:ascii="Verdana" w:hAnsi="Verdana"/>
        </w:rPr>
        <w:t>lost</w:t>
      </w:r>
      <w:r w:rsidRPr="004A1368">
        <w:rPr>
          <w:rFonts w:ascii="Verdana" w:hAnsi="Verdana"/>
        </w:rPr>
        <w:t xml:space="preserve"> in a single maximum, minimum, or population reference range. In patients with traumatic brain injury, the presence of a daily brain</w:t>
      </w:r>
      <w:r w:rsidRPr="004A1368" w:rsidR="00084BE4">
        <w:rPr>
          <w:rFonts w:ascii="Verdana" w:hAnsi="Verdana"/>
        </w:rPr>
        <w:t xml:space="preserve"> </w:t>
      </w:r>
      <w:r w:rsidRPr="004A1368">
        <w:rPr>
          <w:rFonts w:ascii="Verdana" w:hAnsi="Verdana"/>
        </w:rPr>
        <w:t>temperature rhythm was associated with survival independently of absolute temperature</w:t>
      </w:r>
      <w:r w:rsidRPr="004A1368" w:rsidR="00084BE4">
        <w:rPr>
          <w:rFonts w:ascii="Verdana" w:hAnsi="Verdana"/>
        </w:rPr>
        <w:t xml:space="preserve"> values</w:t>
      </w:r>
      <w:r w:rsidRPr="004A1368">
        <w:rPr>
          <w:rFonts w:ascii="Verdana" w:hAnsi="Verdana"/>
        </w:rPr>
        <w:t>.[3]</w:t>
      </w:r>
    </w:p>
    <w:p w:rsidR="009E2340" w:rsidRPr="004A1368" w:rsidP="009E2340">
      <w:pPr>
        <w:rPr>
          <w:rFonts w:ascii="Verdana" w:hAnsi="Verdana"/>
        </w:rPr>
      </w:pPr>
      <w:r w:rsidRPr="004A1368">
        <w:rPr>
          <w:rFonts w:ascii="Verdana" w:hAnsi="Verdana"/>
        </w:rPr>
        <w:t>S19. The policy point is that temporal pattern can change the meaning and clinical value of a physiological measurement.</w:t>
      </w:r>
    </w:p>
    <w:p w:rsidR="009E2340" w:rsidRPr="004A1368" w:rsidP="009E2340">
      <w:pPr>
        <w:rPr>
          <w:rFonts w:ascii="Verdana" w:hAnsi="Verdana"/>
        </w:rPr>
      </w:pPr>
      <w:r w:rsidRPr="004A1368">
        <w:rPr>
          <w:rFonts w:ascii="Verdana" w:hAnsi="Verdana"/>
        </w:rPr>
        <w:t>S20. Complementary research in glioblastoma has shown that daily glucocorticoid signalling can promote or suppress tumour growth according to circadian timing and tumour clock state, with implications for treatment timing and the interpretation of therapeutic targets.[4] Together, these findings support treating biological time as a clinically relevant variable rather than incidental metadata.</w:t>
      </w:r>
    </w:p>
    <w:p w:rsidR="009E2340" w:rsidRPr="004A1368" w:rsidP="009E2340">
      <w:pPr>
        <w:rPr>
          <w:rFonts w:ascii="Verdana" w:hAnsi="Verdana"/>
        </w:rPr>
      </w:pPr>
      <w:r w:rsidRPr="004A1368">
        <w:rPr>
          <w:rFonts w:ascii="Verdana" w:hAnsi="Verdana"/>
        </w:rPr>
        <w:t>S21. Time can also be lost inadvertently and unnecessarily. During a recent international critical</w:t>
      </w:r>
      <w:r w:rsidRPr="004A1368" w:rsidR="00020EDD">
        <w:rPr>
          <w:rFonts w:ascii="Verdana" w:hAnsi="Verdana"/>
        </w:rPr>
        <w:t xml:space="preserve"> </w:t>
      </w:r>
      <w:r w:rsidRPr="004A1368">
        <w:rPr>
          <w:rFonts w:ascii="Verdana" w:hAnsi="Verdana"/>
        </w:rPr>
        <w:t xml:space="preserve">care </w:t>
      </w:r>
      <w:r w:rsidRPr="004A1368">
        <w:rPr>
          <w:rFonts w:ascii="Verdana" w:hAnsi="Verdana"/>
        </w:rPr>
        <w:t>datathon</w:t>
      </w:r>
      <w:r w:rsidRPr="004A1368">
        <w:rPr>
          <w:rFonts w:ascii="Verdana" w:hAnsi="Verdana"/>
        </w:rPr>
        <w:t xml:space="preserve">, a clinically straightforward question became difficult to answer because </w:t>
      </w:r>
      <w:r w:rsidRPr="004A1368" w:rsidR="00020EDD">
        <w:rPr>
          <w:rFonts w:ascii="Verdana" w:hAnsi="Verdana"/>
        </w:rPr>
        <w:t>time of day</w:t>
      </w:r>
      <w:r w:rsidRPr="004A1368">
        <w:rPr>
          <w:rFonts w:ascii="Verdana" w:hAnsi="Verdana"/>
        </w:rPr>
        <w:t xml:space="preserve"> had been removed during de-identification. Privacy protection is essential, but the scientific and clinical consequences of removing dates, intervals, sequencing, and local clock time should be assessed independently rather than assuming that all temporal variables carry the same privacy risk or scientific value.</w:t>
      </w:r>
    </w:p>
    <w:p w:rsidR="009E2340" w:rsidRPr="004A1368" w:rsidP="009E2340">
      <w:pPr>
        <w:rPr>
          <w:rFonts w:ascii="Verdana" w:hAnsi="Verdana"/>
        </w:rPr>
      </w:pPr>
      <w:r w:rsidRPr="004A1368">
        <w:rPr>
          <w:rFonts w:ascii="Verdana" w:hAnsi="Verdana"/>
        </w:rPr>
        <w:t>S22. AI cannot reconstruct physiological or temporal context that was never collected, was recorded inconsistently, or was removed without considering its analytical consequences. Depending on the intended use, clinically relevant temporal information may include:</w:t>
      </w:r>
    </w:p>
    <w:p w:rsidR="009E2340" w:rsidRPr="004A1368" w:rsidP="001C5774">
      <w:pPr>
        <w:pStyle w:val="ListParagraph"/>
        <w:numPr>
          <w:ilvl w:val="0"/>
          <w:numId w:val="13"/>
        </w:numPr>
        <w:rPr>
          <w:rFonts w:ascii="Verdana" w:hAnsi="Verdana"/>
        </w:rPr>
      </w:pPr>
      <w:r w:rsidRPr="004A1368">
        <w:rPr>
          <w:rFonts w:ascii="Verdana" w:hAnsi="Verdana"/>
        </w:rPr>
        <w:t>local clock time of acquisition;</w:t>
      </w:r>
    </w:p>
    <w:p w:rsidR="009E2340" w:rsidRPr="004A1368" w:rsidP="001C5774">
      <w:pPr>
        <w:pStyle w:val="ListParagraph"/>
        <w:numPr>
          <w:ilvl w:val="0"/>
          <w:numId w:val="13"/>
        </w:numPr>
        <w:rPr>
          <w:rFonts w:ascii="Verdana" w:hAnsi="Verdana"/>
        </w:rPr>
      </w:pPr>
      <w:r w:rsidRPr="004A1368">
        <w:rPr>
          <w:rFonts w:ascii="Verdana" w:hAnsi="Verdana"/>
        </w:rPr>
        <w:t>elapsed time from symptom onset, diagnosis, or intervention;</w:t>
      </w:r>
    </w:p>
    <w:p w:rsidR="009E2340" w:rsidRPr="004A1368" w:rsidP="001C5774">
      <w:pPr>
        <w:pStyle w:val="ListParagraph"/>
        <w:numPr>
          <w:ilvl w:val="0"/>
          <w:numId w:val="13"/>
        </w:numPr>
        <w:rPr>
          <w:rFonts w:ascii="Verdana" w:hAnsi="Verdana"/>
        </w:rPr>
      </w:pPr>
      <w:r w:rsidRPr="004A1368">
        <w:rPr>
          <w:rFonts w:ascii="Verdana" w:hAnsi="Verdana"/>
        </w:rPr>
        <w:t>medication, feeding, and treatment timing;</w:t>
      </w:r>
    </w:p>
    <w:p w:rsidR="009E2340" w:rsidRPr="004A1368" w:rsidP="001C5774">
      <w:pPr>
        <w:pStyle w:val="ListParagraph"/>
        <w:numPr>
          <w:ilvl w:val="0"/>
          <w:numId w:val="13"/>
        </w:numPr>
        <w:rPr>
          <w:rFonts w:ascii="Verdana" w:hAnsi="Verdana"/>
        </w:rPr>
      </w:pPr>
      <w:r w:rsidRPr="004A1368">
        <w:rPr>
          <w:rFonts w:ascii="Verdana" w:hAnsi="Verdana"/>
        </w:rPr>
        <w:t>sampling, transport, and processing timing;</w:t>
      </w:r>
    </w:p>
    <w:p w:rsidR="009E2340" w:rsidRPr="004A1368" w:rsidP="001C5774">
      <w:pPr>
        <w:pStyle w:val="ListParagraph"/>
        <w:numPr>
          <w:ilvl w:val="0"/>
          <w:numId w:val="13"/>
        </w:numPr>
        <w:rPr>
          <w:rFonts w:ascii="Verdana" w:hAnsi="Verdana"/>
        </w:rPr>
      </w:pPr>
      <w:r w:rsidRPr="004A1368">
        <w:rPr>
          <w:rFonts w:ascii="Verdana" w:hAnsi="Verdana"/>
        </w:rPr>
        <w:t>sleep–wake state;</w:t>
      </w:r>
    </w:p>
    <w:p w:rsidR="009E2340" w:rsidRPr="004A1368" w:rsidP="001C5774">
      <w:pPr>
        <w:pStyle w:val="ListParagraph"/>
        <w:numPr>
          <w:ilvl w:val="0"/>
          <w:numId w:val="13"/>
        </w:numPr>
        <w:rPr>
          <w:rFonts w:ascii="Verdana" w:hAnsi="Verdana"/>
        </w:rPr>
      </w:pPr>
      <w:r w:rsidRPr="004A1368">
        <w:rPr>
          <w:rFonts w:ascii="Verdana" w:hAnsi="Verdana"/>
        </w:rPr>
        <w:t>activity and rest;</w:t>
      </w:r>
    </w:p>
    <w:p w:rsidR="009E2340" w:rsidRPr="004A1368" w:rsidP="001C5774">
      <w:pPr>
        <w:pStyle w:val="ListParagraph"/>
        <w:numPr>
          <w:ilvl w:val="0"/>
          <w:numId w:val="13"/>
        </w:numPr>
        <w:rPr>
          <w:rFonts w:ascii="Verdana" w:hAnsi="Verdana"/>
        </w:rPr>
      </w:pPr>
      <w:r w:rsidRPr="004A1368">
        <w:rPr>
          <w:rFonts w:ascii="Verdana" w:hAnsi="Verdana"/>
        </w:rPr>
        <w:t>shift-work exposure;</w:t>
      </w:r>
    </w:p>
    <w:p w:rsidR="009E2340" w:rsidRPr="004A1368" w:rsidP="001C5774">
      <w:pPr>
        <w:pStyle w:val="ListParagraph"/>
        <w:numPr>
          <w:ilvl w:val="0"/>
          <w:numId w:val="13"/>
        </w:numPr>
        <w:rPr>
          <w:rFonts w:ascii="Verdana" w:hAnsi="Verdana"/>
        </w:rPr>
      </w:pPr>
      <w:r w:rsidRPr="004A1368">
        <w:rPr>
          <w:rFonts w:ascii="Verdana" w:hAnsi="Verdana"/>
        </w:rPr>
        <w:t>menstrual or reproductive stage where relevant;</w:t>
      </w:r>
    </w:p>
    <w:p w:rsidR="009E2340" w:rsidRPr="004A1368" w:rsidP="001C5774">
      <w:pPr>
        <w:pStyle w:val="ListParagraph"/>
        <w:numPr>
          <w:ilvl w:val="0"/>
          <w:numId w:val="13"/>
        </w:numPr>
        <w:rPr>
          <w:rFonts w:ascii="Verdana" w:hAnsi="Verdana"/>
        </w:rPr>
      </w:pPr>
      <w:r w:rsidRPr="004A1368">
        <w:rPr>
          <w:rFonts w:ascii="Verdana" w:hAnsi="Verdana"/>
        </w:rPr>
        <w:t>and environmental exposure, including heat.</w:t>
      </w:r>
    </w:p>
    <w:p w:rsidR="009E2340" w:rsidRPr="004A1368" w:rsidP="009E2340">
      <w:pPr>
        <w:rPr>
          <w:rFonts w:ascii="Verdana" w:hAnsi="Verdana"/>
        </w:rPr>
      </w:pPr>
      <w:r w:rsidRPr="004A1368">
        <w:rPr>
          <w:rFonts w:ascii="Verdana" w:hAnsi="Verdana"/>
        </w:rPr>
        <w:t xml:space="preserve">S23. </w:t>
      </w:r>
      <w:r w:rsidRPr="004A1368" w:rsidR="00DD5F9E">
        <w:rPr>
          <w:rFonts w:ascii="Verdana" w:hAnsi="Verdana"/>
        </w:rPr>
        <w:t>Not</w:t>
      </w:r>
      <w:r w:rsidRPr="004A1368">
        <w:rPr>
          <w:rFonts w:ascii="Verdana" w:hAnsi="Verdana"/>
        </w:rPr>
        <w:t xml:space="preserve"> every dataset requires every temporal variable. Data collection should remain proportionate. The requirement is to determine which contextual variables materially change interpretation or improve the decision for the intended use.</w:t>
      </w:r>
    </w:p>
    <w:p w:rsidR="009E2340" w:rsidRPr="004A1368" w:rsidP="009E2340">
      <w:pPr>
        <w:rPr>
          <w:rFonts w:ascii="Verdana" w:hAnsi="Verdana"/>
        </w:rPr>
      </w:pPr>
      <w:r w:rsidRPr="004A1368">
        <w:rPr>
          <w:rFonts w:ascii="Verdana" w:hAnsi="Verdana"/>
        </w:rPr>
        <w:t>S24. Government should commission an early Health Data Research Service demonstrator to develop and test a proportionate UK standard for clinically meaningful temporal metadata.</w:t>
      </w:r>
    </w:p>
    <w:p w:rsidR="009E2340" w:rsidRPr="004A1368" w:rsidP="009E2340">
      <w:pPr>
        <w:rPr>
          <w:rFonts w:ascii="Verdana" w:hAnsi="Verdana"/>
        </w:rPr>
      </w:pPr>
      <w:r w:rsidRPr="004A1368">
        <w:rPr>
          <w:rFonts w:ascii="Verdana" w:hAnsi="Verdana"/>
        </w:rPr>
        <w:t>S25. The demonstrator should use a small number of defined clinical use cases and examine:</w:t>
      </w:r>
    </w:p>
    <w:p w:rsidR="009E2340" w:rsidRPr="004A1368" w:rsidP="00B16B3B">
      <w:pPr>
        <w:pStyle w:val="ListParagraph"/>
        <w:numPr>
          <w:ilvl w:val="0"/>
          <w:numId w:val="14"/>
        </w:numPr>
        <w:rPr>
          <w:rFonts w:ascii="Verdana" w:hAnsi="Verdana"/>
        </w:rPr>
      </w:pPr>
      <w:r w:rsidRPr="004A1368">
        <w:rPr>
          <w:rFonts w:ascii="Verdana" w:hAnsi="Verdana"/>
        </w:rPr>
        <w:t>which temporal variables alter interpretation or performance;</w:t>
      </w:r>
    </w:p>
    <w:p w:rsidR="009E2340" w:rsidRPr="004A1368" w:rsidP="00B16B3B">
      <w:pPr>
        <w:pStyle w:val="ListParagraph"/>
        <w:numPr>
          <w:ilvl w:val="0"/>
          <w:numId w:val="14"/>
        </w:numPr>
        <w:rPr>
          <w:rFonts w:ascii="Verdana" w:hAnsi="Verdana"/>
        </w:rPr>
      </w:pPr>
      <w:r w:rsidRPr="004A1368">
        <w:rPr>
          <w:rFonts w:ascii="Verdana" w:hAnsi="Verdana"/>
        </w:rPr>
        <w:t>how timing information can be retained without disproportionate privacy risk;</w:t>
      </w:r>
    </w:p>
    <w:p w:rsidR="009E2340" w:rsidRPr="004A1368" w:rsidP="00B16B3B">
      <w:pPr>
        <w:pStyle w:val="ListParagraph"/>
        <w:numPr>
          <w:ilvl w:val="0"/>
          <w:numId w:val="14"/>
        </w:numPr>
        <w:rPr>
          <w:rFonts w:ascii="Verdana" w:hAnsi="Verdana"/>
        </w:rPr>
      </w:pPr>
      <w:r w:rsidRPr="004A1368">
        <w:rPr>
          <w:rFonts w:ascii="Verdana" w:hAnsi="Verdana"/>
        </w:rPr>
        <w:t>how</w:t>
      </w:r>
      <w:r w:rsidRPr="004A1368">
        <w:rPr>
          <w:rFonts w:ascii="Verdana" w:hAnsi="Verdana"/>
        </w:rPr>
        <w:t xml:space="preserve"> local clock time, elapsed time, and event sequence should be represented;</w:t>
      </w:r>
    </w:p>
    <w:p w:rsidR="009E2340" w:rsidRPr="004A1368" w:rsidP="00B16B3B">
      <w:pPr>
        <w:pStyle w:val="ListParagraph"/>
        <w:numPr>
          <w:ilvl w:val="0"/>
          <w:numId w:val="14"/>
        </w:numPr>
        <w:rPr>
          <w:rFonts w:ascii="Verdana" w:hAnsi="Verdana"/>
        </w:rPr>
      </w:pPr>
      <w:r w:rsidRPr="004A1368">
        <w:rPr>
          <w:rFonts w:ascii="Verdana" w:hAnsi="Verdana"/>
        </w:rPr>
        <w:t>how physiological and environmental context should be recorded;</w:t>
      </w:r>
    </w:p>
    <w:p w:rsidR="009E2340" w:rsidRPr="004A1368" w:rsidP="00B16B3B">
      <w:pPr>
        <w:pStyle w:val="ListParagraph"/>
        <w:numPr>
          <w:ilvl w:val="0"/>
          <w:numId w:val="14"/>
        </w:numPr>
        <w:rPr>
          <w:rFonts w:ascii="Verdana" w:hAnsi="Verdana"/>
        </w:rPr>
      </w:pPr>
      <w:r w:rsidRPr="004A1368">
        <w:rPr>
          <w:rFonts w:ascii="Verdana" w:hAnsi="Verdana"/>
        </w:rPr>
        <w:t>whether temporal information improves a specified clinical decision;</w:t>
      </w:r>
    </w:p>
    <w:p w:rsidR="009E2340" w:rsidRPr="004A1368" w:rsidP="00B16B3B">
      <w:pPr>
        <w:pStyle w:val="ListParagraph"/>
        <w:numPr>
          <w:ilvl w:val="0"/>
          <w:numId w:val="14"/>
        </w:numPr>
        <w:rPr>
          <w:rFonts w:ascii="Verdana" w:hAnsi="Verdana"/>
        </w:rPr>
      </w:pPr>
      <w:r w:rsidRPr="004A1368">
        <w:rPr>
          <w:rFonts w:ascii="Verdana" w:hAnsi="Verdana"/>
        </w:rPr>
        <w:t>and how the resulting standard can be reused across research, evaluation, and care.</w:t>
      </w:r>
    </w:p>
    <w:p w:rsidR="009E2340" w:rsidRPr="004A1368" w:rsidP="009E2340">
      <w:pPr>
        <w:rPr>
          <w:rFonts w:ascii="Verdana" w:hAnsi="Verdana"/>
        </w:rPr>
      </w:pPr>
      <w:r w:rsidRPr="004A1368">
        <w:rPr>
          <w:rFonts w:ascii="Verdana" w:hAnsi="Verdana"/>
        </w:rPr>
        <w:t>S26. The infrastructure for personalised medicine should consequently support validated physiological, behavioural, functional, imaging, and sensor-derived information alongside genomics and conventional health records.</w:t>
      </w:r>
    </w:p>
    <w:p w:rsidR="009E2340" w:rsidRPr="004A1368" w:rsidP="009E2340">
      <w:pPr>
        <w:rPr>
          <w:rFonts w:ascii="Verdana" w:hAnsi="Verdana"/>
        </w:rPr>
      </w:pPr>
      <w:r w:rsidRPr="004A1368">
        <w:rPr>
          <w:rFonts w:ascii="Verdana" w:hAnsi="Verdana"/>
        </w:rPr>
        <w:t>S27. Emerging research illustrates the information contained in dynamic physiological data. A multimodal sleep foundation model trained on large-scale polysomnography reported prediction across a wide range of future health conditions from one night of physiological recording.[5] Such work does not justify indiscriminate deployment or establish clinical utility. It shows that physiological data may contain clinically meaningful information that current policy narratives underweight.</w:t>
      </w:r>
    </w:p>
    <w:p w:rsidR="009E2340" w:rsidRPr="004A1368" w:rsidP="009E2340">
      <w:pPr>
        <w:rPr>
          <w:rFonts w:ascii="Verdana" w:hAnsi="Verdana"/>
        </w:rPr>
      </w:pPr>
      <w:r w:rsidRPr="004A1368">
        <w:rPr>
          <w:rFonts w:ascii="Verdana" w:hAnsi="Verdana"/>
        </w:rPr>
        <w:t xml:space="preserve">S28. Longitudinal measurement is most useful when it is clinically linked, proportionate, and interpreted in context. Consumer devices should not be assumed to be decision-grade, particularly in disease states, injury, or atypical physiology. Each measurement requires a defined intended use and evidence that acting on it improves care, pathway performance, quality of life, or </w:t>
      </w:r>
      <w:r w:rsidRPr="004A1368">
        <w:rPr>
          <w:rFonts w:ascii="Verdana" w:hAnsi="Verdana"/>
        </w:rPr>
        <w:t>healthspan</w:t>
      </w:r>
      <w:r w:rsidRPr="004A1368">
        <w:rPr>
          <w:rFonts w:ascii="Verdana" w:hAnsi="Verdana"/>
        </w:rPr>
        <w:t>.</w:t>
      </w:r>
    </w:p>
    <w:p w:rsidR="009E2340" w:rsidRPr="004A1368" w:rsidP="009E2340">
      <w:pPr>
        <w:rPr>
          <w:rFonts w:ascii="Verdana" w:hAnsi="Verdana"/>
          <w:b/>
          <w:bCs/>
        </w:rPr>
      </w:pPr>
      <w:r w:rsidRPr="004A1368">
        <w:rPr>
          <w:rFonts w:ascii="Verdana" w:hAnsi="Verdana"/>
          <w:b/>
          <w:bCs/>
        </w:rPr>
        <w:t xml:space="preserve">Lower-burden and equitable personalisation </w:t>
      </w:r>
    </w:p>
    <w:p w:rsidR="009E2340" w:rsidRPr="004A1368" w:rsidP="009E2340">
      <w:pPr>
        <w:rPr>
          <w:rFonts w:ascii="Verdana" w:hAnsi="Verdana"/>
        </w:rPr>
      </w:pPr>
      <w:r w:rsidRPr="004A1368">
        <w:rPr>
          <w:rFonts w:ascii="Verdana" w:hAnsi="Verdana"/>
        </w:rPr>
        <w:t>S29. As set out in PMA0104, some of the NHS’s most tractable near-term gains may come from lower-burden, repeatable measurements made at home or in the community. These can extend clinically useful observation into the settings where people live, recover, deteriorate, and manage treatment, rather than relying exclusively on occasional specialist encounters.</w:t>
      </w:r>
    </w:p>
    <w:p w:rsidR="009E2340" w:rsidRPr="004A1368" w:rsidP="009E2340">
      <w:pPr>
        <w:rPr>
          <w:rFonts w:ascii="Verdana" w:hAnsi="Verdana"/>
        </w:rPr>
      </w:pPr>
      <w:r w:rsidRPr="004A1368">
        <w:rPr>
          <w:rFonts w:ascii="Verdana" w:hAnsi="Verdana"/>
        </w:rPr>
        <w:t xml:space="preserve">S30. This is particularly relevant where symptoms fluctuate, appointments provide an unrepresentative snapshot, or repeated travel is difficult. Geography, impaired mobility, </w:t>
      </w:r>
      <w:r w:rsidRPr="004A1368">
        <w:rPr>
          <w:rFonts w:ascii="Verdana" w:hAnsi="Verdana"/>
        </w:rPr>
        <w:t>neurodisability</w:t>
      </w:r>
      <w:r w:rsidRPr="004A1368">
        <w:rPr>
          <w:rFonts w:ascii="Verdana" w:hAnsi="Verdana"/>
        </w:rPr>
        <w:t xml:space="preserve">, caring responsibilities, and long waits all </w:t>
      </w:r>
      <w:r w:rsidRPr="004A1368" w:rsidR="00476D50">
        <w:rPr>
          <w:rFonts w:ascii="Verdana" w:hAnsi="Verdana"/>
        </w:rPr>
        <w:t>impact</w:t>
      </w:r>
      <w:r w:rsidRPr="004A1368">
        <w:rPr>
          <w:rFonts w:ascii="Verdana" w:hAnsi="Verdana"/>
        </w:rPr>
        <w:t xml:space="preserve"> who benefits from innovation. Properly validated remote or community-based measurement may reduce these barriers. It should complement rather than replace specialist investigation.</w:t>
      </w:r>
    </w:p>
    <w:p w:rsidR="009E2340" w:rsidRPr="004A1368" w:rsidP="009E2340">
      <w:pPr>
        <w:rPr>
          <w:rFonts w:ascii="Verdana" w:hAnsi="Verdana"/>
        </w:rPr>
      </w:pPr>
      <w:r w:rsidRPr="004A1368">
        <w:rPr>
          <w:rFonts w:ascii="Verdana" w:hAnsi="Verdana"/>
        </w:rPr>
        <w:t xml:space="preserve">S31. Digital pathways also need to account for changes in symptom reporting. Patient-reported information remains indispensable, especially for pain, fatigue, and mental health. However, symptom-assessment applications and large language models can influence how people interpret, describe, and prioritise symptoms. A systematic review has documented variable performance among symptom-assessment applications, LLMs, and laypeople in self-triage.[6] Generative systems can also reinforce false health narratives when supplied with apparently authoritative but fabricated </w:t>
      </w:r>
      <w:r w:rsidRPr="004A1368" w:rsidR="00BA2671">
        <w:rPr>
          <w:rFonts w:ascii="Verdana" w:hAnsi="Verdana"/>
        </w:rPr>
        <w:t xml:space="preserve">or ‘hallucinated’ </w:t>
      </w:r>
      <w:r w:rsidRPr="004A1368">
        <w:rPr>
          <w:rFonts w:ascii="Verdana" w:hAnsi="Verdana"/>
        </w:rPr>
        <w:t>information.[7]</w:t>
      </w:r>
    </w:p>
    <w:p w:rsidR="009E2340" w:rsidRPr="004A1368" w:rsidP="009E2340">
      <w:pPr>
        <w:rPr>
          <w:rFonts w:ascii="Verdana" w:hAnsi="Verdana"/>
        </w:rPr>
      </w:pPr>
      <w:r w:rsidRPr="004A1368">
        <w:rPr>
          <w:rFonts w:ascii="Verdana" w:hAnsi="Verdana"/>
        </w:rPr>
        <w:t xml:space="preserve">S32. The concern is not that a patient might act in bad faith or that subjective information is dispensable. It is that pathways in which access, urgency, or investigation depend strongly on self-report may increasingly advantage those who can optimise the wording, timing, or apparent severity of their presentation. This could create a new form of inequity associated with digital literacy: a </w:t>
      </w:r>
      <w:r w:rsidRPr="004A1368" w:rsidR="00AA5107">
        <w:rPr>
          <w:rFonts w:ascii="Verdana" w:hAnsi="Verdana"/>
        </w:rPr>
        <w:t>‘</w:t>
      </w:r>
      <w:r w:rsidRPr="004A1368">
        <w:rPr>
          <w:rFonts w:ascii="Verdana" w:hAnsi="Verdana"/>
        </w:rPr>
        <w:t>digital health divide</w:t>
      </w:r>
      <w:r w:rsidRPr="004A1368" w:rsidR="00AA5107">
        <w:rPr>
          <w:rFonts w:ascii="Verdana" w:hAnsi="Verdana"/>
        </w:rPr>
        <w:t>’</w:t>
      </w:r>
      <w:r w:rsidRPr="004A1368">
        <w:rPr>
          <w:rFonts w:ascii="Verdana" w:hAnsi="Verdana"/>
        </w:rPr>
        <w:t>.</w:t>
      </w:r>
    </w:p>
    <w:p w:rsidR="009E2340" w:rsidRPr="004A1368" w:rsidP="009E2340">
      <w:pPr>
        <w:rPr>
          <w:rFonts w:ascii="Verdana" w:hAnsi="Verdana"/>
        </w:rPr>
      </w:pPr>
      <w:r w:rsidRPr="004A1368">
        <w:rPr>
          <w:rFonts w:ascii="Verdana" w:hAnsi="Verdana"/>
        </w:rPr>
        <w:t>S33. Where feasible, subjective information should therefore be interpreted alongside objective data, which might include repeated functional, physiological, behavioural, medication, or service-use data. The aim is corroboration and context, not replacement of patient testimony. This should be treated as a measurement-fidelity and equity issue.</w:t>
      </w:r>
    </w:p>
    <w:p w:rsidR="009E2340" w:rsidRPr="004A1368" w:rsidP="009E2340">
      <w:pPr>
        <w:rPr>
          <w:rFonts w:ascii="Verdana" w:hAnsi="Verdana"/>
        </w:rPr>
      </w:pPr>
      <w:r w:rsidRPr="004A1368">
        <w:rPr>
          <w:rFonts w:ascii="Verdana" w:hAnsi="Verdana"/>
        </w:rPr>
        <w:t>S34. Women’s health illustrates the importance of this broader approach. Fluctuating, pain-dominant, and historically under-measured conditions expose weaknesses in snapshot assessment, objective corroboration, and pathway design. Endometriosis, for example, has often been treated primarily as a quality-of-life condition, yet a large prospective cohort found an association between laparoscopically confirmed endometriosis and increased premature mortality.[8]</w:t>
      </w:r>
    </w:p>
    <w:p w:rsidR="009E2340" w:rsidRPr="004A1368" w:rsidP="009E2340">
      <w:pPr>
        <w:rPr>
          <w:rFonts w:ascii="Verdana" w:hAnsi="Verdana"/>
        </w:rPr>
      </w:pPr>
      <w:r w:rsidRPr="004A1368">
        <w:rPr>
          <w:rFonts w:ascii="Verdana" w:hAnsi="Verdana"/>
        </w:rPr>
        <w:t xml:space="preserve">S35. </w:t>
      </w:r>
      <w:r w:rsidRPr="004A1368" w:rsidR="00323571">
        <w:rPr>
          <w:rFonts w:ascii="Verdana" w:hAnsi="Verdana"/>
        </w:rPr>
        <w:t>M</w:t>
      </w:r>
      <w:r w:rsidRPr="004A1368">
        <w:rPr>
          <w:rFonts w:ascii="Verdana" w:hAnsi="Verdana"/>
        </w:rPr>
        <w:t xml:space="preserve">onitoring technologies will </w:t>
      </w:r>
      <w:r w:rsidRPr="004A1368" w:rsidR="00323571">
        <w:rPr>
          <w:rFonts w:ascii="Verdana" w:hAnsi="Verdana"/>
        </w:rPr>
        <w:t xml:space="preserve">not </w:t>
      </w:r>
      <w:r w:rsidRPr="004A1368">
        <w:rPr>
          <w:rFonts w:ascii="Verdana" w:hAnsi="Verdana"/>
        </w:rPr>
        <w:t xml:space="preserve">solve </w:t>
      </w:r>
      <w:r w:rsidRPr="004A1368" w:rsidR="00323571">
        <w:rPr>
          <w:rFonts w:ascii="Verdana" w:hAnsi="Verdana"/>
        </w:rPr>
        <w:t>every NHS</w:t>
      </w:r>
      <w:r w:rsidRPr="004A1368">
        <w:rPr>
          <w:rFonts w:ascii="Verdana" w:hAnsi="Verdana"/>
        </w:rPr>
        <w:t xml:space="preserve"> problem</w:t>
      </w:r>
      <w:r w:rsidRPr="004A1368" w:rsidR="00323571">
        <w:rPr>
          <w:rFonts w:ascii="Verdana" w:hAnsi="Verdana"/>
        </w:rPr>
        <w:t>, but the examples above illustrate</w:t>
      </w:r>
      <w:r w:rsidRPr="004A1368">
        <w:rPr>
          <w:rFonts w:ascii="Verdana" w:hAnsi="Verdana"/>
        </w:rPr>
        <w:t xml:space="preserve"> why marginalised or intermittently expressed conditions require more serious longitudinal study, well-curated temporal metadata, and timely action.</w:t>
      </w:r>
    </w:p>
    <w:p w:rsidR="00983F46" w:rsidRPr="004A1368" w:rsidP="009E2340">
      <w:pPr>
        <w:rPr>
          <w:rFonts w:ascii="Verdana" w:hAnsi="Verdana"/>
          <w:b/>
          <w:bCs/>
        </w:rPr>
      </w:pPr>
    </w:p>
    <w:p w:rsidR="009E2340" w:rsidRPr="004A1368" w:rsidP="009E2340">
      <w:pPr>
        <w:rPr>
          <w:rFonts w:ascii="Verdana" w:hAnsi="Verdana"/>
          <w:b/>
          <w:bCs/>
        </w:rPr>
      </w:pPr>
      <w:r w:rsidRPr="004A1368">
        <w:rPr>
          <w:rFonts w:ascii="Verdana" w:hAnsi="Verdana"/>
          <w:b/>
          <w:bCs/>
        </w:rPr>
        <w:t>RECOMMENDATION 2: FUND THE PATHWAY</w:t>
      </w:r>
    </w:p>
    <w:p w:rsidR="009E2340" w:rsidRPr="004A1368" w:rsidP="009E2340">
      <w:pPr>
        <w:rPr>
          <w:rFonts w:ascii="Verdana" w:hAnsi="Verdana"/>
          <w:b/>
          <w:bCs/>
        </w:rPr>
      </w:pPr>
      <w:r w:rsidRPr="004A1368">
        <w:rPr>
          <w:rFonts w:ascii="Verdana" w:hAnsi="Verdana"/>
          <w:b/>
          <w:bCs/>
        </w:rPr>
        <w:t>Create a funded, accountable route from decision-grade evidence to routine care</w:t>
      </w:r>
    </w:p>
    <w:p w:rsidR="009E2340" w:rsidRPr="004A1368" w:rsidP="009E2340">
      <w:pPr>
        <w:rPr>
          <w:rFonts w:ascii="Verdana" w:hAnsi="Verdana"/>
        </w:rPr>
      </w:pPr>
      <w:r w:rsidRPr="004A1368">
        <w:rPr>
          <w:rFonts w:ascii="Verdana" w:hAnsi="Verdana"/>
        </w:rPr>
        <w:t>S36. The UK’s central difficulty is often not invention but the failure to convert technology into pathway-level productivity: more useful healthcare and genuinely usable capacity from constrained resources.</w:t>
      </w:r>
    </w:p>
    <w:p w:rsidR="009E2340" w:rsidRPr="004A1368" w:rsidP="009E2340">
      <w:pPr>
        <w:rPr>
          <w:rFonts w:ascii="Verdana" w:hAnsi="Verdana"/>
        </w:rPr>
      </w:pPr>
      <w:r w:rsidRPr="004A1368">
        <w:rPr>
          <w:rFonts w:ascii="Verdana" w:hAnsi="Verdana"/>
        </w:rPr>
        <w:t xml:space="preserve">S37. </w:t>
      </w:r>
      <w:r w:rsidRPr="004A1368" w:rsidR="00A82C93">
        <w:rPr>
          <w:rFonts w:ascii="Verdana" w:hAnsi="Verdana"/>
        </w:rPr>
        <w:t>As explained by Ercole, p</w:t>
      </w:r>
      <w:r w:rsidRPr="004A1368">
        <w:rPr>
          <w:rFonts w:ascii="Verdana" w:hAnsi="Verdana"/>
        </w:rPr>
        <w:t xml:space="preserve">oint solutions that reduce effort for an individual user or make information more visible may diffuse relatively easily because the purchaser, user, and immediate benefit are clear. Technologies with greater system-level value frequently require coordinated changes in workflow, staffing, responsibility, risk, and incentives, making them less likely to diffuse through ordinary market </w:t>
      </w:r>
      <w:r w:rsidRPr="004A1368">
        <w:rPr>
          <w:rFonts w:ascii="Verdana" w:hAnsi="Verdana"/>
        </w:rPr>
        <w:t>mechanisms.[</w:t>
      </w:r>
      <w:r w:rsidRPr="004A1368">
        <w:rPr>
          <w:rFonts w:ascii="Verdana" w:hAnsi="Verdana"/>
        </w:rPr>
        <w:t>9,10]</w:t>
      </w:r>
    </w:p>
    <w:p w:rsidR="009E2340" w:rsidRPr="004A1368" w:rsidP="009E2340">
      <w:pPr>
        <w:rPr>
          <w:rFonts w:ascii="Verdana" w:hAnsi="Verdana"/>
        </w:rPr>
      </w:pPr>
      <w:r w:rsidRPr="004A1368">
        <w:rPr>
          <w:rFonts w:ascii="Verdana" w:hAnsi="Verdana"/>
        </w:rPr>
        <w:t>S38. The appropriate unit of evaluation is therefore the clinical decision and the pathway around it, not the algorithm or device alone.</w:t>
      </w:r>
    </w:p>
    <w:p w:rsidR="009E2340" w:rsidRPr="004A1368" w:rsidP="009E2340">
      <w:pPr>
        <w:rPr>
          <w:rFonts w:ascii="Verdana" w:hAnsi="Verdana"/>
        </w:rPr>
      </w:pPr>
      <w:r w:rsidRPr="004A1368">
        <w:rPr>
          <w:rFonts w:ascii="Verdana" w:hAnsi="Verdana"/>
        </w:rPr>
        <w:t>S39. Decision-grade evidence is evidence sufficient to justify a defined action in an intended population and real clinical pathway—not merely evidence that a model performs well retrospectively.</w:t>
      </w:r>
    </w:p>
    <w:p w:rsidR="009E2340" w:rsidRPr="004A1368" w:rsidP="009E2340">
      <w:pPr>
        <w:rPr>
          <w:rFonts w:ascii="Verdana" w:hAnsi="Verdana"/>
        </w:rPr>
      </w:pPr>
      <w:r w:rsidRPr="004A1368">
        <w:rPr>
          <w:rFonts w:ascii="Verdana" w:hAnsi="Verdana"/>
        </w:rPr>
        <w:t>S40. At minimum, evaluation should specify:</w:t>
      </w:r>
    </w:p>
    <w:p w:rsidR="009E2340" w:rsidRPr="004A1368" w:rsidP="003813B7">
      <w:pPr>
        <w:pStyle w:val="ListParagraph"/>
        <w:numPr>
          <w:ilvl w:val="0"/>
          <w:numId w:val="15"/>
        </w:numPr>
        <w:rPr>
          <w:rFonts w:ascii="Verdana" w:hAnsi="Verdana"/>
        </w:rPr>
      </w:pPr>
      <w:r w:rsidRPr="004A1368">
        <w:rPr>
          <w:rFonts w:ascii="Verdana" w:hAnsi="Verdana"/>
        </w:rPr>
        <w:t>the intended population, setting, and use;</w:t>
      </w:r>
    </w:p>
    <w:p w:rsidR="009E2340" w:rsidRPr="004A1368" w:rsidP="003813B7">
      <w:pPr>
        <w:pStyle w:val="ListParagraph"/>
        <w:numPr>
          <w:ilvl w:val="0"/>
          <w:numId w:val="15"/>
        </w:numPr>
        <w:rPr>
          <w:rFonts w:ascii="Verdana" w:hAnsi="Verdana"/>
        </w:rPr>
      </w:pPr>
      <w:r w:rsidRPr="004A1368">
        <w:rPr>
          <w:rFonts w:ascii="Verdana" w:hAnsi="Verdana"/>
        </w:rPr>
        <w:t>the decision the intervention is intended to change;</w:t>
      </w:r>
    </w:p>
    <w:p w:rsidR="009E2340" w:rsidRPr="004A1368" w:rsidP="003813B7">
      <w:pPr>
        <w:pStyle w:val="ListParagraph"/>
        <w:numPr>
          <w:ilvl w:val="0"/>
          <w:numId w:val="15"/>
        </w:numPr>
        <w:rPr>
          <w:rFonts w:ascii="Verdana" w:hAnsi="Verdana"/>
        </w:rPr>
      </w:pPr>
      <w:r w:rsidRPr="004A1368">
        <w:rPr>
          <w:rFonts w:ascii="Verdana" w:hAnsi="Verdana"/>
        </w:rPr>
        <w:t>the current comparator and pathway;</w:t>
      </w:r>
    </w:p>
    <w:p w:rsidR="009E2340" w:rsidRPr="004A1368" w:rsidP="003813B7">
      <w:pPr>
        <w:pStyle w:val="ListParagraph"/>
        <w:numPr>
          <w:ilvl w:val="0"/>
          <w:numId w:val="15"/>
        </w:numPr>
        <w:rPr>
          <w:rFonts w:ascii="Verdana" w:hAnsi="Verdana"/>
        </w:rPr>
      </w:pPr>
      <w:r w:rsidRPr="004A1368">
        <w:rPr>
          <w:rFonts w:ascii="Verdana" w:hAnsi="Verdana"/>
        </w:rPr>
        <w:t>who receives the output;</w:t>
      </w:r>
    </w:p>
    <w:p w:rsidR="009E2340" w:rsidRPr="004A1368" w:rsidP="003813B7">
      <w:pPr>
        <w:pStyle w:val="ListParagraph"/>
        <w:numPr>
          <w:ilvl w:val="0"/>
          <w:numId w:val="15"/>
        </w:numPr>
        <w:rPr>
          <w:rFonts w:ascii="Verdana" w:hAnsi="Verdana"/>
        </w:rPr>
      </w:pPr>
      <w:r w:rsidRPr="004A1368">
        <w:rPr>
          <w:rFonts w:ascii="Verdana" w:hAnsi="Verdana"/>
        </w:rPr>
        <w:t>who interprets it;</w:t>
      </w:r>
    </w:p>
    <w:p w:rsidR="009E2340" w:rsidRPr="004A1368" w:rsidP="003813B7">
      <w:pPr>
        <w:pStyle w:val="ListParagraph"/>
        <w:numPr>
          <w:ilvl w:val="0"/>
          <w:numId w:val="15"/>
        </w:numPr>
        <w:rPr>
          <w:rFonts w:ascii="Verdana" w:hAnsi="Verdana"/>
        </w:rPr>
      </w:pPr>
      <w:r w:rsidRPr="004A1368">
        <w:rPr>
          <w:rFonts w:ascii="Verdana" w:hAnsi="Verdana"/>
        </w:rPr>
        <w:t>who is responsible for acting on it;</w:t>
      </w:r>
    </w:p>
    <w:p w:rsidR="009E2340" w:rsidRPr="004A1368" w:rsidP="003813B7">
      <w:pPr>
        <w:pStyle w:val="ListParagraph"/>
        <w:numPr>
          <w:ilvl w:val="0"/>
          <w:numId w:val="15"/>
        </w:numPr>
        <w:rPr>
          <w:rFonts w:ascii="Verdana" w:hAnsi="Verdana"/>
        </w:rPr>
      </w:pPr>
      <w:r w:rsidRPr="004A1368">
        <w:rPr>
          <w:rFonts w:ascii="Verdana" w:hAnsi="Verdana"/>
        </w:rPr>
        <w:t>clinical and operational thresholds;</w:t>
      </w:r>
    </w:p>
    <w:p w:rsidR="009E2340" w:rsidRPr="004A1368" w:rsidP="003813B7">
      <w:pPr>
        <w:pStyle w:val="ListParagraph"/>
        <w:numPr>
          <w:ilvl w:val="0"/>
          <w:numId w:val="15"/>
        </w:numPr>
        <w:rPr>
          <w:rFonts w:ascii="Verdana" w:hAnsi="Verdana"/>
        </w:rPr>
      </w:pPr>
      <w:r w:rsidRPr="004A1368">
        <w:rPr>
          <w:rFonts w:ascii="Verdana" w:hAnsi="Verdana"/>
        </w:rPr>
        <w:t>the consequences of false-positive and false-negative results;</w:t>
      </w:r>
    </w:p>
    <w:p w:rsidR="009E2340" w:rsidRPr="004A1368" w:rsidP="003813B7">
      <w:pPr>
        <w:pStyle w:val="ListParagraph"/>
        <w:numPr>
          <w:ilvl w:val="0"/>
          <w:numId w:val="15"/>
        </w:numPr>
        <w:rPr>
          <w:rFonts w:ascii="Verdana" w:hAnsi="Verdana"/>
        </w:rPr>
      </w:pPr>
      <w:r w:rsidRPr="004A1368">
        <w:rPr>
          <w:rFonts w:ascii="Verdana" w:hAnsi="Verdana"/>
        </w:rPr>
        <w:t>subgroup and equity performance;</w:t>
      </w:r>
    </w:p>
    <w:p w:rsidR="009E2340" w:rsidRPr="004A1368" w:rsidP="003813B7">
      <w:pPr>
        <w:pStyle w:val="ListParagraph"/>
        <w:numPr>
          <w:ilvl w:val="0"/>
          <w:numId w:val="15"/>
        </w:numPr>
        <w:rPr>
          <w:rFonts w:ascii="Verdana" w:hAnsi="Verdana"/>
        </w:rPr>
      </w:pPr>
      <w:r w:rsidRPr="004A1368">
        <w:rPr>
          <w:rFonts w:ascii="Verdana" w:hAnsi="Verdana"/>
        </w:rPr>
        <w:t>usability, adherence, and interpretability;</w:t>
      </w:r>
    </w:p>
    <w:p w:rsidR="009E2340" w:rsidRPr="004A1368" w:rsidP="003813B7">
      <w:pPr>
        <w:pStyle w:val="ListParagraph"/>
        <w:numPr>
          <w:ilvl w:val="0"/>
          <w:numId w:val="15"/>
        </w:numPr>
        <w:rPr>
          <w:rFonts w:ascii="Verdana" w:hAnsi="Verdana"/>
        </w:rPr>
      </w:pPr>
      <w:r w:rsidRPr="004A1368">
        <w:rPr>
          <w:rFonts w:ascii="Verdana" w:hAnsi="Verdana"/>
        </w:rPr>
        <w:t>downstream workload and resource effects;</w:t>
      </w:r>
    </w:p>
    <w:p w:rsidR="009E2340" w:rsidRPr="004A1368" w:rsidP="003813B7">
      <w:pPr>
        <w:pStyle w:val="ListParagraph"/>
        <w:numPr>
          <w:ilvl w:val="0"/>
          <w:numId w:val="15"/>
        </w:numPr>
        <w:rPr>
          <w:rFonts w:ascii="Verdana" w:hAnsi="Verdana"/>
        </w:rPr>
      </w:pPr>
      <w:r w:rsidRPr="004A1368">
        <w:rPr>
          <w:rFonts w:ascii="Verdana" w:hAnsi="Verdana"/>
        </w:rPr>
        <w:t>patient and staff burden;</w:t>
      </w:r>
    </w:p>
    <w:p w:rsidR="009E2340" w:rsidRPr="004A1368" w:rsidP="003813B7">
      <w:pPr>
        <w:pStyle w:val="ListParagraph"/>
        <w:numPr>
          <w:ilvl w:val="0"/>
          <w:numId w:val="15"/>
        </w:numPr>
        <w:rPr>
          <w:rFonts w:ascii="Verdana" w:hAnsi="Verdana"/>
        </w:rPr>
      </w:pPr>
      <w:r w:rsidRPr="004A1368">
        <w:rPr>
          <w:rFonts w:ascii="Verdana" w:hAnsi="Verdana"/>
        </w:rPr>
        <w:t>health-economic and capacity outcomes;</w:t>
      </w:r>
    </w:p>
    <w:p w:rsidR="009E2340" w:rsidRPr="004A1368" w:rsidP="003813B7">
      <w:pPr>
        <w:pStyle w:val="ListParagraph"/>
        <w:numPr>
          <w:ilvl w:val="0"/>
          <w:numId w:val="15"/>
        </w:numPr>
        <w:rPr>
          <w:rFonts w:ascii="Verdana" w:hAnsi="Verdana"/>
        </w:rPr>
      </w:pPr>
      <w:r w:rsidRPr="004A1368">
        <w:rPr>
          <w:rFonts w:ascii="Verdana" w:hAnsi="Verdana"/>
        </w:rPr>
        <w:t xml:space="preserve">post-deployment </w:t>
      </w:r>
      <w:r w:rsidRPr="004A1368" w:rsidR="003813B7">
        <w:rPr>
          <w:rFonts w:ascii="Verdana" w:hAnsi="Verdana"/>
        </w:rPr>
        <w:t>surveillance</w:t>
      </w:r>
      <w:r w:rsidRPr="004A1368">
        <w:rPr>
          <w:rFonts w:ascii="Verdana" w:hAnsi="Verdana"/>
        </w:rPr>
        <w:t>;</w:t>
      </w:r>
    </w:p>
    <w:p w:rsidR="009E2340" w:rsidRPr="004A1368" w:rsidP="003813B7">
      <w:pPr>
        <w:pStyle w:val="ListParagraph"/>
        <w:numPr>
          <w:ilvl w:val="0"/>
          <w:numId w:val="15"/>
        </w:numPr>
        <w:rPr>
          <w:rFonts w:ascii="Verdana" w:hAnsi="Verdana"/>
        </w:rPr>
      </w:pPr>
      <w:r w:rsidRPr="004A1368">
        <w:rPr>
          <w:rFonts w:ascii="Verdana" w:hAnsi="Verdana"/>
        </w:rPr>
        <w:t>and criteria for modification, suspension, or withdrawal.</w:t>
      </w:r>
    </w:p>
    <w:p w:rsidR="009E2340" w:rsidRPr="004A1368" w:rsidP="009E2340">
      <w:pPr>
        <w:rPr>
          <w:rFonts w:ascii="Verdana" w:hAnsi="Verdana"/>
        </w:rPr>
      </w:pPr>
      <w:r w:rsidRPr="004A1368">
        <w:rPr>
          <w:rFonts w:ascii="Verdana" w:hAnsi="Verdana"/>
        </w:rPr>
        <w:t>S41. This distinction is consistent with the regulatory emphasis on intended purpose, scientific validity, analytical and clinical performance, deployment variability, and lifecycle change. The MHRA AI Airlock Phase 2 Programme Report also highlights that AI assurance cannot be separated from deployment conditions, clinical relevance, human interaction, post-market monitoring, and significant changes across the product lifecycle.[11]</w:t>
      </w:r>
    </w:p>
    <w:p w:rsidR="009E2340" w:rsidRPr="004A1368" w:rsidP="009E2340">
      <w:pPr>
        <w:rPr>
          <w:rFonts w:ascii="Verdana" w:hAnsi="Verdana"/>
        </w:rPr>
      </w:pPr>
      <w:r w:rsidRPr="004A1368">
        <w:rPr>
          <w:rFonts w:ascii="Verdana" w:hAnsi="Verdana"/>
        </w:rPr>
        <w:t>S42. Product assurance, pathway assurance, and lifecycle assurance should be distinguished.</w:t>
      </w:r>
    </w:p>
    <w:p w:rsidR="009E2340" w:rsidRPr="004A1368" w:rsidP="009E2340">
      <w:pPr>
        <w:rPr>
          <w:rFonts w:ascii="Verdana" w:hAnsi="Verdana"/>
        </w:rPr>
      </w:pPr>
      <w:r w:rsidRPr="004A1368">
        <w:rPr>
          <w:rFonts w:ascii="Verdana" w:hAnsi="Verdana"/>
        </w:rPr>
        <w:t>S43. A product may meet applicable regulatory requirements for a stated intended purpose while still providing poor value in a particular NHS pathway. Its performance or value may subsequently change because the patient population, workflow, data-generating process, staff behaviour, surrounding service, or software version changes.</w:t>
      </w:r>
    </w:p>
    <w:p w:rsidR="009E2340" w:rsidRPr="004A1368" w:rsidP="009E2340">
      <w:pPr>
        <w:rPr>
          <w:rFonts w:ascii="Verdana" w:hAnsi="Verdana"/>
        </w:rPr>
      </w:pPr>
      <w:r w:rsidRPr="004A1368">
        <w:rPr>
          <w:rFonts w:ascii="Verdana" w:hAnsi="Verdana"/>
        </w:rPr>
        <w:t>S44. Responsibility for all three forms of assurance should therefore be explicit. Procurement should not be treated as the end of evaluation.</w:t>
      </w:r>
    </w:p>
    <w:p w:rsidR="009E2340" w:rsidRPr="004A1368" w:rsidP="009E2340">
      <w:pPr>
        <w:rPr>
          <w:rFonts w:ascii="Verdana" w:hAnsi="Verdana"/>
          <w:b/>
          <w:bCs/>
        </w:rPr>
      </w:pPr>
      <w:r w:rsidRPr="004A1368">
        <w:rPr>
          <w:rFonts w:ascii="Verdana" w:hAnsi="Verdana"/>
          <w:b/>
          <w:bCs/>
        </w:rPr>
        <w:t>Installed is not embedded</w:t>
      </w:r>
    </w:p>
    <w:p w:rsidR="009E2340" w:rsidRPr="004A1368" w:rsidP="009E2340">
      <w:pPr>
        <w:rPr>
          <w:rFonts w:ascii="Verdana" w:hAnsi="Verdana"/>
        </w:rPr>
      </w:pPr>
      <w:r w:rsidRPr="004A1368">
        <w:rPr>
          <w:rFonts w:ascii="Verdana" w:hAnsi="Verdana"/>
        </w:rPr>
        <w:t xml:space="preserve">S45. A technology does not create NHS value merely because it has been procured, installed, or used. </w:t>
      </w:r>
    </w:p>
    <w:p w:rsidR="009E2340" w:rsidRPr="004A1368" w:rsidP="009E2340">
      <w:pPr>
        <w:rPr>
          <w:rFonts w:ascii="Verdana" w:hAnsi="Verdana"/>
        </w:rPr>
      </w:pPr>
      <w:r w:rsidRPr="004A1368">
        <w:rPr>
          <w:rFonts w:ascii="Verdana" w:hAnsi="Verdana"/>
        </w:rPr>
        <w:t>S46. Genuine embedding requires the surrounding pathway to change in a way that allows the output to improve a decision, reduce avoidable harm, release usable capacity, or improve patient experience.</w:t>
      </w:r>
    </w:p>
    <w:p w:rsidR="009E2340" w:rsidRPr="004A1368" w:rsidP="009E2340">
      <w:pPr>
        <w:rPr>
          <w:rFonts w:ascii="Verdana" w:hAnsi="Verdana"/>
        </w:rPr>
      </w:pPr>
      <w:r w:rsidRPr="004A1368">
        <w:rPr>
          <w:rFonts w:ascii="Verdana" w:hAnsi="Verdana"/>
        </w:rPr>
        <w:t>S47. A recent game-theoretic analysis distinguishes technologies that reduce individual effort, improve observability, or alter the incentive structure connecting local actions to wider consequences.[9] Effort reduction and improved observability may improve performance within existing patterns of behaviour but can be absorbed into the existing organisational equilibrium.</w:t>
      </w:r>
    </w:p>
    <w:p w:rsidR="009E2340" w:rsidRPr="004A1368" w:rsidP="009E2340">
      <w:pPr>
        <w:rPr>
          <w:rFonts w:ascii="Verdana" w:hAnsi="Verdana"/>
        </w:rPr>
      </w:pPr>
      <w:r w:rsidRPr="004A1368">
        <w:rPr>
          <w:rFonts w:ascii="Verdana" w:hAnsi="Verdana"/>
        </w:rPr>
        <w:t>S48. System-level change is more likely where an intervention changes what is individually rational for the people and organisations required to adopt it.</w:t>
      </w:r>
    </w:p>
    <w:p w:rsidR="009E2340" w:rsidRPr="004A1368" w:rsidP="009E2340">
      <w:pPr>
        <w:rPr>
          <w:rFonts w:ascii="Verdana" w:hAnsi="Verdana"/>
        </w:rPr>
      </w:pPr>
      <w:r w:rsidRPr="004A1368">
        <w:rPr>
          <w:rFonts w:ascii="Verdana" w:hAnsi="Verdana"/>
        </w:rPr>
        <w:t>S49. A related theoretical model distinguishes genuine adoption, partial adoption, and rejection, with system benefits emerging only when genuine adoption exceeds a threshold.[10] Coordination failure, inability to commit credibly to sharing productivity gains, and negative professional norms can make partial adoption a stable outcome.</w:t>
      </w:r>
    </w:p>
    <w:p w:rsidR="009E2340" w:rsidRPr="004A1368" w:rsidP="009E2340">
      <w:pPr>
        <w:rPr>
          <w:rFonts w:ascii="Verdana" w:hAnsi="Verdana"/>
        </w:rPr>
      </w:pPr>
      <w:r w:rsidRPr="004A1368">
        <w:rPr>
          <w:rFonts w:ascii="Verdana" w:hAnsi="Verdana"/>
        </w:rPr>
        <w:t xml:space="preserve">S50. The resulting </w:t>
      </w:r>
      <w:r w:rsidRPr="004A1368" w:rsidR="00F52E14">
        <w:rPr>
          <w:rFonts w:ascii="Verdana" w:hAnsi="Verdana"/>
        </w:rPr>
        <w:t>‘</w:t>
      </w:r>
      <w:r w:rsidRPr="004A1368">
        <w:rPr>
          <w:rFonts w:ascii="Verdana" w:hAnsi="Verdana"/>
        </w:rPr>
        <w:t>value-adoption paradox</w:t>
      </w:r>
      <w:r w:rsidRPr="004A1368" w:rsidR="00F52E14">
        <w:rPr>
          <w:rFonts w:ascii="Verdana" w:hAnsi="Verdana"/>
        </w:rPr>
        <w:t>’</w:t>
      </w:r>
      <w:r w:rsidRPr="004A1368">
        <w:rPr>
          <w:rFonts w:ascii="Verdana" w:hAnsi="Verdana"/>
        </w:rPr>
        <w:t xml:space="preserve"> is important: technologies with the greatest potential system value may face the greatest barriers because they require the most extensive coordinated change.</w:t>
      </w:r>
      <w:r w:rsidRPr="004A1368" w:rsidR="00F52E14">
        <w:rPr>
          <w:rFonts w:ascii="Verdana" w:hAnsi="Verdana"/>
        </w:rPr>
        <w:t>[10]</w:t>
      </w:r>
    </w:p>
    <w:p w:rsidR="009E2340" w:rsidRPr="004A1368" w:rsidP="009E2340">
      <w:pPr>
        <w:rPr>
          <w:rFonts w:ascii="Verdana" w:hAnsi="Verdana"/>
        </w:rPr>
      </w:pPr>
      <w:r w:rsidRPr="004A1368">
        <w:rPr>
          <w:rFonts w:ascii="Verdana" w:hAnsi="Verdana"/>
        </w:rPr>
        <w:t xml:space="preserve">S51. Partial adoption may </w:t>
      </w:r>
      <w:r w:rsidRPr="004A1368" w:rsidR="00520E12">
        <w:rPr>
          <w:rFonts w:ascii="Verdana" w:hAnsi="Verdana"/>
        </w:rPr>
        <w:t>simply</w:t>
      </w:r>
      <w:r w:rsidRPr="004A1368">
        <w:rPr>
          <w:rFonts w:ascii="Verdana" w:hAnsi="Verdana"/>
        </w:rPr>
        <w:t xml:space="preserve"> move the </w:t>
      </w:r>
      <w:r w:rsidRPr="004A1368" w:rsidR="00A651C3">
        <w:rPr>
          <w:rFonts w:ascii="Verdana" w:hAnsi="Verdana"/>
        </w:rPr>
        <w:t xml:space="preserve">NHS </w:t>
      </w:r>
      <w:r w:rsidRPr="004A1368">
        <w:rPr>
          <w:rFonts w:ascii="Verdana" w:hAnsi="Verdana"/>
        </w:rPr>
        <w:t>bottleneck. For example, faster identification of a patient requiring review creates little benefit if the service lacks the staff, appointment capacity, diagnostic route, or authority to act on the output.</w:t>
      </w:r>
    </w:p>
    <w:p w:rsidR="009E2340" w:rsidRPr="004A1368" w:rsidP="009E2340">
      <w:pPr>
        <w:rPr>
          <w:rFonts w:ascii="Verdana" w:hAnsi="Verdana"/>
        </w:rPr>
      </w:pPr>
      <w:r w:rsidRPr="004A1368">
        <w:rPr>
          <w:rFonts w:ascii="Verdana" w:hAnsi="Verdana"/>
        </w:rPr>
        <w:t>S52. Government should therefore not assume that procurement, evidence of technical performance, or local enthusiasm will cause system-change technologies to diffuse. It should create market, contracting, and governance conditions that reward pathway-level benefit, while allowing implementation to reflect local workflows, infrastructure, and constraints. The whole pathway should be designed conceptually, but introduced through bounded, staged, and replaceable modules.</w:t>
      </w:r>
    </w:p>
    <w:p w:rsidR="009E2340" w:rsidRPr="004A1368" w:rsidP="009E2340">
      <w:pPr>
        <w:rPr>
          <w:rFonts w:ascii="Verdana" w:hAnsi="Verdana"/>
        </w:rPr>
      </w:pPr>
      <w:r w:rsidRPr="004A1368">
        <w:rPr>
          <w:rFonts w:ascii="Verdana" w:hAnsi="Verdana"/>
        </w:rPr>
        <w:t>S53. This makes it possible to learn, adapt, and stop without destabilising the entire service.</w:t>
      </w:r>
    </w:p>
    <w:p w:rsidR="009E2340" w:rsidRPr="004A1368" w:rsidP="009E2340">
      <w:pPr>
        <w:rPr>
          <w:rFonts w:ascii="Verdana" w:hAnsi="Verdana"/>
        </w:rPr>
      </w:pPr>
      <w:r w:rsidRPr="004A1368">
        <w:rPr>
          <w:rFonts w:ascii="Verdana" w:hAnsi="Verdana"/>
        </w:rPr>
        <w:t>S54. Every implementation should answer four operational questions:</w:t>
      </w:r>
    </w:p>
    <w:p w:rsidR="009E2340" w:rsidRPr="004A1368" w:rsidP="001E165F">
      <w:pPr>
        <w:pStyle w:val="ListParagraph"/>
        <w:numPr>
          <w:ilvl w:val="0"/>
          <w:numId w:val="16"/>
        </w:numPr>
        <w:rPr>
          <w:rFonts w:ascii="Verdana" w:hAnsi="Verdana"/>
        </w:rPr>
      </w:pPr>
      <w:r w:rsidRPr="004A1368">
        <w:rPr>
          <w:rFonts w:ascii="Verdana" w:hAnsi="Verdana"/>
        </w:rPr>
        <w:t>What decision will change?</w:t>
      </w:r>
    </w:p>
    <w:p w:rsidR="009E2340" w:rsidRPr="004A1368" w:rsidP="001E165F">
      <w:pPr>
        <w:pStyle w:val="ListParagraph"/>
        <w:numPr>
          <w:ilvl w:val="0"/>
          <w:numId w:val="16"/>
        </w:numPr>
        <w:rPr>
          <w:rFonts w:ascii="Verdana" w:hAnsi="Verdana"/>
        </w:rPr>
      </w:pPr>
      <w:r w:rsidRPr="004A1368">
        <w:rPr>
          <w:rFonts w:ascii="Verdana" w:hAnsi="Verdana"/>
        </w:rPr>
        <w:t>What new work will be created, and for whom?</w:t>
      </w:r>
    </w:p>
    <w:p w:rsidR="009E2340" w:rsidRPr="004A1368" w:rsidP="001E165F">
      <w:pPr>
        <w:pStyle w:val="ListParagraph"/>
        <w:numPr>
          <w:ilvl w:val="0"/>
          <w:numId w:val="16"/>
        </w:numPr>
        <w:rPr>
          <w:rFonts w:ascii="Verdana" w:hAnsi="Verdana"/>
        </w:rPr>
      </w:pPr>
      <w:r w:rsidRPr="004A1368">
        <w:rPr>
          <w:rFonts w:ascii="Verdana" w:hAnsi="Verdana"/>
        </w:rPr>
        <w:t>What existing activity will change or stop?</w:t>
      </w:r>
    </w:p>
    <w:p w:rsidR="009E2340" w:rsidRPr="004A1368" w:rsidP="001E165F">
      <w:pPr>
        <w:pStyle w:val="ListParagraph"/>
        <w:numPr>
          <w:ilvl w:val="0"/>
          <w:numId w:val="16"/>
        </w:numPr>
        <w:rPr>
          <w:rFonts w:ascii="Verdana" w:hAnsi="Verdana"/>
        </w:rPr>
      </w:pPr>
      <w:r w:rsidRPr="004A1368">
        <w:rPr>
          <w:rFonts w:ascii="Verdana" w:hAnsi="Verdana"/>
        </w:rPr>
        <w:t>What outcome will determine whether the intervention is scaled, modified, or withdrawn?</w:t>
      </w:r>
    </w:p>
    <w:p w:rsidR="009E2340" w:rsidRPr="004A1368" w:rsidP="009E2340">
      <w:pPr>
        <w:rPr>
          <w:rFonts w:ascii="Verdana" w:hAnsi="Verdana"/>
          <w:b/>
          <w:bCs/>
        </w:rPr>
      </w:pPr>
      <w:r w:rsidRPr="004A1368">
        <w:rPr>
          <w:rFonts w:ascii="Verdana" w:hAnsi="Verdana"/>
          <w:b/>
          <w:bCs/>
        </w:rPr>
        <w:t>Create a staged route out of ‘</w:t>
      </w:r>
      <w:r w:rsidRPr="004A1368">
        <w:rPr>
          <w:rFonts w:ascii="Verdana" w:hAnsi="Verdana"/>
          <w:b/>
          <w:bCs/>
        </w:rPr>
        <w:t>pilotitis</w:t>
      </w:r>
      <w:r w:rsidRPr="004A1368">
        <w:rPr>
          <w:rFonts w:ascii="Verdana" w:hAnsi="Verdana"/>
          <w:b/>
          <w:bCs/>
        </w:rPr>
        <w:t>’</w:t>
      </w:r>
    </w:p>
    <w:p w:rsidR="009E2340" w:rsidRPr="004A1368" w:rsidP="009E2340">
      <w:pPr>
        <w:rPr>
          <w:rFonts w:ascii="Verdana" w:hAnsi="Verdana"/>
        </w:rPr>
      </w:pPr>
      <w:r w:rsidRPr="004A1368">
        <w:rPr>
          <w:rFonts w:ascii="Verdana" w:hAnsi="Verdana"/>
        </w:rPr>
        <w:t xml:space="preserve">S55. Discovery, prototype development, and small demonstration projects are often fundable. Independent prospective validation in the intended population, pathway integration, and implementation support </w:t>
      </w:r>
      <w:r w:rsidRPr="004A1368">
        <w:rPr>
          <w:rFonts w:ascii="Verdana" w:hAnsi="Verdana"/>
        </w:rPr>
        <w:t>are</w:t>
      </w:r>
      <w:r w:rsidRPr="004A1368">
        <w:rPr>
          <w:rFonts w:ascii="Verdana" w:hAnsi="Verdana"/>
        </w:rPr>
        <w:t xml:space="preserve"> much harder to fund because they fall between conventional research, commercial development, regulation, procurement, and service redesign.</w:t>
      </w:r>
    </w:p>
    <w:p w:rsidR="009E2340" w:rsidRPr="004A1368" w:rsidP="009E2340">
      <w:pPr>
        <w:rPr>
          <w:rFonts w:ascii="Verdana" w:hAnsi="Verdana"/>
        </w:rPr>
      </w:pPr>
      <w:r w:rsidRPr="004A1368">
        <w:rPr>
          <w:rFonts w:ascii="Verdana" w:hAnsi="Verdana"/>
        </w:rPr>
        <w:t xml:space="preserve">S56. In advisory work with an early-stage wearable-health company, I have seen how prototype development may be fundable while independent clinical validation falls between </w:t>
      </w:r>
      <w:r w:rsidRPr="004A1368" w:rsidR="00A069B3">
        <w:rPr>
          <w:rFonts w:ascii="Verdana" w:hAnsi="Verdana"/>
        </w:rPr>
        <w:t>research funding, product-development finance, regulatory requirements, NHS procurement, and service-implementation budgets</w:t>
      </w:r>
      <w:r w:rsidRPr="004A1368">
        <w:rPr>
          <w:rFonts w:ascii="Verdana" w:hAnsi="Verdana"/>
        </w:rPr>
        <w:t>. This is not unique to one company or technology. It is a structural gap that can leave potentially useful products unable to demonstrate value while allowing weak products to remain in circulation without decisive testing.</w:t>
      </w:r>
    </w:p>
    <w:p w:rsidR="009E2340" w:rsidRPr="004A1368" w:rsidP="009E2340">
      <w:pPr>
        <w:rPr>
          <w:rFonts w:ascii="Verdana" w:hAnsi="Verdana"/>
        </w:rPr>
      </w:pPr>
      <w:r w:rsidRPr="004A1368">
        <w:rPr>
          <w:rFonts w:ascii="Verdana" w:hAnsi="Verdana"/>
        </w:rPr>
        <w:t xml:space="preserve">S57. A pilot should force a decision. It should not exist </w:t>
      </w:r>
      <w:r w:rsidRPr="004A1368" w:rsidR="00592D33">
        <w:rPr>
          <w:rFonts w:ascii="Verdana" w:hAnsi="Verdana"/>
        </w:rPr>
        <w:t xml:space="preserve">just </w:t>
      </w:r>
      <w:r w:rsidRPr="004A1368">
        <w:rPr>
          <w:rFonts w:ascii="Verdana" w:hAnsi="Verdana"/>
        </w:rPr>
        <w:t>to demonstrate activity, generate publicity, or postpone a difficult adoption choice.</w:t>
      </w:r>
    </w:p>
    <w:p w:rsidR="009E2340" w:rsidRPr="004A1368" w:rsidP="009E2340">
      <w:pPr>
        <w:rPr>
          <w:rFonts w:ascii="Verdana" w:hAnsi="Verdana"/>
        </w:rPr>
      </w:pPr>
      <w:r w:rsidRPr="004A1368">
        <w:rPr>
          <w:rFonts w:ascii="Verdana" w:hAnsi="Verdana"/>
        </w:rPr>
        <w:t xml:space="preserve">S58. Recent empirical research on AI non-development and abandonment reinforces the need for explicit and legitimate stopping decisions. </w:t>
      </w:r>
      <w:r w:rsidRPr="004A1368">
        <w:rPr>
          <w:rFonts w:ascii="Verdana" w:hAnsi="Verdana"/>
        </w:rPr>
        <w:t>Chappidi</w:t>
      </w:r>
      <w:r w:rsidRPr="004A1368">
        <w:rPr>
          <w:rFonts w:ascii="Verdana" w:hAnsi="Verdana"/>
        </w:rPr>
        <w:t xml:space="preserve"> and Singh identify six overlapping categories of factors that can lead organisations not to build, or to discontinue, an AI system: ethical concerns, stakeholder feedback, development-lifecycle challenges, organisational dynamics, resource constraints, and legal or regulatory concerns.[12]</w:t>
      </w:r>
    </w:p>
    <w:p w:rsidR="009E2340" w:rsidRPr="004A1368" w:rsidP="009E2340">
      <w:pPr>
        <w:rPr>
          <w:rFonts w:ascii="Verdana" w:hAnsi="Verdana"/>
        </w:rPr>
      </w:pPr>
      <w:r w:rsidRPr="004A1368">
        <w:rPr>
          <w:rFonts w:ascii="Verdana" w:hAnsi="Verdana"/>
        </w:rPr>
        <w:t>S59. Their analysis included 91 publicly documented cases of AI abandonment, 85% of which occurred after deployment. A practitioner survey contributed 17 further cases: 12 systems that had been abandoned and five systems that respondents believed should have been abandoned but whose development continued. The publicly documented cases were dominated by ethical, stakeholder, and legal or regulatory concerns. Practitioner-reported cases more often exposed development-lifecycle problems, organisational dynamics, and resource constraints that were less visible in public incident reporting.[12]</w:t>
      </w:r>
    </w:p>
    <w:p w:rsidR="009E2340" w:rsidRPr="004A1368" w:rsidP="009E2340">
      <w:pPr>
        <w:rPr>
          <w:rFonts w:ascii="Verdana" w:hAnsi="Verdana"/>
        </w:rPr>
      </w:pPr>
      <w:r w:rsidRPr="004A1368">
        <w:rPr>
          <w:rFonts w:ascii="Verdana" w:hAnsi="Verdana"/>
        </w:rPr>
        <w:t>S60. The study is exploratory and its incident and survey samples are not representative of all AI development. It nevertheless exposes an important blind spot: AI policy commonly concentrates on how to develop, validate, and deploy systems responsibly, while providing less guidance on when not to build, when to pause, and when to withdraw. Responsible NHS innovation should make non-development, modification, and discontinuation visible and defensible outcomes when the intended purpose, evidence, resources, pathway, or risk–benefit case does not justify continuation.</w:t>
      </w:r>
    </w:p>
    <w:p w:rsidR="009E2340" w:rsidRPr="004A1368" w:rsidP="009E2340">
      <w:pPr>
        <w:rPr>
          <w:rFonts w:ascii="Verdana" w:hAnsi="Verdana"/>
        </w:rPr>
      </w:pPr>
      <w:r w:rsidRPr="004A1368">
        <w:rPr>
          <w:rFonts w:ascii="Verdana" w:hAnsi="Verdana"/>
        </w:rPr>
        <w:t xml:space="preserve">S61. The NHS could build directly on this work by prospectively recording why AI projects are not commissioned, are halted during development or pilot testing, fail to progress to routine use, or are subsequently withdrawn. A common, proportionate taxonomy could distinguish appropriate stopping from avoidable translational failure and identify recurring problems in problem formulation, data availability, stakeholder engagement, organisational sponsorship, regulation, maintenance, and resources. This would allow unsuccessful or discontinued projects to generate reusable system learning rather than disappear into an </w:t>
      </w:r>
      <w:r w:rsidRPr="004A1368" w:rsidR="0042661B">
        <w:rPr>
          <w:rFonts w:ascii="Verdana" w:hAnsi="Verdana"/>
        </w:rPr>
        <w:t>‘</w:t>
      </w:r>
      <w:r w:rsidRPr="004A1368">
        <w:rPr>
          <w:rFonts w:ascii="Verdana" w:hAnsi="Verdana"/>
        </w:rPr>
        <w:t xml:space="preserve">AI </w:t>
      </w:r>
      <w:r w:rsidRPr="004A1368" w:rsidR="0042661B">
        <w:rPr>
          <w:rFonts w:ascii="Verdana" w:hAnsi="Verdana"/>
        </w:rPr>
        <w:t>necropolis’</w:t>
      </w:r>
      <w:r w:rsidRPr="004A1368">
        <w:rPr>
          <w:rFonts w:ascii="Verdana" w:hAnsi="Verdana"/>
        </w:rPr>
        <w:t>.</w:t>
      </w:r>
      <w:r w:rsidRPr="004A1368" w:rsidR="00EA2BE6">
        <w:rPr>
          <w:rFonts w:ascii="Verdana" w:hAnsi="Verdana"/>
        </w:rPr>
        <w:t>[12]</w:t>
      </w:r>
    </w:p>
    <w:p w:rsidR="009E2340" w:rsidRPr="004A1368" w:rsidP="009E2340">
      <w:pPr>
        <w:rPr>
          <w:rFonts w:ascii="Verdana" w:hAnsi="Verdana"/>
        </w:rPr>
      </w:pPr>
      <w:r w:rsidRPr="004A1368">
        <w:rPr>
          <w:rFonts w:ascii="Verdana" w:hAnsi="Verdana"/>
        </w:rPr>
        <w:t>S62. Government and funders should support a reusable staged route comprising:</w:t>
      </w:r>
    </w:p>
    <w:p w:rsidR="009E2340" w:rsidRPr="004A1368" w:rsidP="00FD10C6">
      <w:pPr>
        <w:pStyle w:val="ListParagraph"/>
        <w:numPr>
          <w:ilvl w:val="0"/>
          <w:numId w:val="17"/>
        </w:numPr>
        <w:rPr>
          <w:rFonts w:ascii="Verdana" w:hAnsi="Verdana"/>
        </w:rPr>
      </w:pPr>
      <w:r w:rsidRPr="004A1368">
        <w:rPr>
          <w:rFonts w:ascii="Verdana" w:hAnsi="Verdana"/>
        </w:rPr>
        <w:t>intended-use definition;</w:t>
      </w:r>
    </w:p>
    <w:p w:rsidR="009E2340" w:rsidRPr="004A1368" w:rsidP="00FD10C6">
      <w:pPr>
        <w:pStyle w:val="ListParagraph"/>
        <w:numPr>
          <w:ilvl w:val="0"/>
          <w:numId w:val="17"/>
        </w:numPr>
        <w:rPr>
          <w:rFonts w:ascii="Verdana" w:hAnsi="Verdana"/>
        </w:rPr>
      </w:pPr>
      <w:r w:rsidRPr="004A1368">
        <w:rPr>
          <w:rFonts w:ascii="Verdana" w:hAnsi="Verdana"/>
        </w:rPr>
        <w:t>prospective validation in relevant populations;</w:t>
      </w:r>
    </w:p>
    <w:p w:rsidR="009E2340" w:rsidRPr="004A1368" w:rsidP="00FD10C6">
      <w:pPr>
        <w:pStyle w:val="ListParagraph"/>
        <w:numPr>
          <w:ilvl w:val="0"/>
          <w:numId w:val="17"/>
        </w:numPr>
        <w:rPr>
          <w:rFonts w:ascii="Verdana" w:hAnsi="Verdana"/>
        </w:rPr>
      </w:pPr>
      <w:r w:rsidRPr="004A1368">
        <w:rPr>
          <w:rFonts w:ascii="Verdana" w:hAnsi="Verdana"/>
        </w:rPr>
        <w:t>pathway and workflow design;</w:t>
      </w:r>
    </w:p>
    <w:p w:rsidR="009E2340" w:rsidRPr="004A1368" w:rsidP="00FD10C6">
      <w:pPr>
        <w:pStyle w:val="ListParagraph"/>
        <w:numPr>
          <w:ilvl w:val="0"/>
          <w:numId w:val="17"/>
        </w:numPr>
        <w:rPr>
          <w:rFonts w:ascii="Verdana" w:hAnsi="Verdana"/>
        </w:rPr>
      </w:pPr>
      <w:r w:rsidRPr="004A1368">
        <w:rPr>
          <w:rFonts w:ascii="Verdana" w:hAnsi="Verdana"/>
        </w:rPr>
        <w:t>workforce and human-factors assessment;</w:t>
      </w:r>
    </w:p>
    <w:p w:rsidR="009E2340" w:rsidRPr="004A1368" w:rsidP="00FD10C6">
      <w:pPr>
        <w:pStyle w:val="ListParagraph"/>
        <w:numPr>
          <w:ilvl w:val="0"/>
          <w:numId w:val="17"/>
        </w:numPr>
        <w:rPr>
          <w:rFonts w:ascii="Verdana" w:hAnsi="Verdana"/>
        </w:rPr>
      </w:pPr>
      <w:r w:rsidRPr="004A1368">
        <w:rPr>
          <w:rFonts w:ascii="Verdana" w:hAnsi="Verdana"/>
        </w:rPr>
        <w:t>health-economic and capacity assessment;</w:t>
      </w:r>
    </w:p>
    <w:p w:rsidR="009E2340" w:rsidRPr="004A1368" w:rsidP="00FD10C6">
      <w:pPr>
        <w:pStyle w:val="ListParagraph"/>
        <w:numPr>
          <w:ilvl w:val="0"/>
          <w:numId w:val="17"/>
        </w:numPr>
        <w:rPr>
          <w:rFonts w:ascii="Verdana" w:hAnsi="Verdana"/>
        </w:rPr>
      </w:pPr>
      <w:r w:rsidRPr="004A1368">
        <w:rPr>
          <w:rFonts w:ascii="Verdana" w:hAnsi="Verdana"/>
        </w:rPr>
        <w:t>predefined stop/go criteria;</w:t>
      </w:r>
    </w:p>
    <w:p w:rsidR="009E2340" w:rsidRPr="004A1368" w:rsidP="00FD10C6">
      <w:pPr>
        <w:pStyle w:val="ListParagraph"/>
        <w:numPr>
          <w:ilvl w:val="0"/>
          <w:numId w:val="17"/>
        </w:numPr>
        <w:rPr>
          <w:rFonts w:ascii="Verdana" w:hAnsi="Verdana"/>
        </w:rPr>
      </w:pPr>
      <w:r w:rsidRPr="004A1368">
        <w:rPr>
          <w:rFonts w:ascii="Verdana" w:hAnsi="Verdana"/>
        </w:rPr>
        <w:t>conditional adoption;</w:t>
      </w:r>
    </w:p>
    <w:p w:rsidR="009E2340" w:rsidRPr="004A1368" w:rsidP="00FD10C6">
      <w:pPr>
        <w:pStyle w:val="ListParagraph"/>
        <w:numPr>
          <w:ilvl w:val="0"/>
          <w:numId w:val="17"/>
        </w:numPr>
        <w:rPr>
          <w:rFonts w:ascii="Verdana" w:hAnsi="Verdana"/>
        </w:rPr>
      </w:pPr>
      <w:r w:rsidRPr="004A1368">
        <w:rPr>
          <w:rFonts w:ascii="Verdana" w:hAnsi="Verdana"/>
        </w:rPr>
        <w:t>and lifecycle monitoring and review.</w:t>
      </w:r>
    </w:p>
    <w:p w:rsidR="009E2340" w:rsidRPr="004A1368" w:rsidP="009E2340">
      <w:pPr>
        <w:rPr>
          <w:rFonts w:ascii="Verdana" w:hAnsi="Verdana"/>
        </w:rPr>
      </w:pPr>
      <w:r w:rsidRPr="004A1368">
        <w:rPr>
          <w:rFonts w:ascii="Verdana" w:hAnsi="Verdana"/>
        </w:rPr>
        <w:t>S63. Funding should be released against milestones rather than committed to open-ended pilots.</w:t>
      </w:r>
    </w:p>
    <w:p w:rsidR="009E2340" w:rsidRPr="004A1368" w:rsidP="009E2340">
      <w:pPr>
        <w:rPr>
          <w:rFonts w:ascii="Verdana" w:hAnsi="Verdana"/>
        </w:rPr>
      </w:pPr>
      <w:r w:rsidRPr="004A1368">
        <w:rPr>
          <w:rFonts w:ascii="Verdana" w:hAnsi="Verdana"/>
        </w:rPr>
        <w:t>S64. Negative or inconclusive findings should be treated as useful evidence that prevents larger-scale waste, not as programme failure. A mature and sustainable NHS innovation ecosystem should expect a proportion of ideas not to progress beyond pilot stage for their initial intended use.</w:t>
      </w:r>
    </w:p>
    <w:p w:rsidR="00FA4770" w:rsidRPr="004A1368" w:rsidP="009E2340">
      <w:pPr>
        <w:rPr>
          <w:rFonts w:ascii="Verdana" w:hAnsi="Verdana"/>
        </w:rPr>
      </w:pPr>
      <w:r w:rsidRPr="004A1368">
        <w:rPr>
          <w:rFonts w:ascii="Verdana" w:hAnsi="Verdana"/>
        </w:rPr>
        <w:t>S65. A well-designed pilot should therefore end in a decision: scale, modify, repurpose, or stop.</w:t>
      </w:r>
    </w:p>
    <w:p w:rsidR="009E2340" w:rsidRPr="004A1368" w:rsidP="009E2340">
      <w:pPr>
        <w:rPr>
          <w:rFonts w:ascii="Verdana" w:hAnsi="Verdana"/>
          <w:b/>
          <w:bCs/>
        </w:rPr>
      </w:pPr>
      <w:r w:rsidRPr="004A1368">
        <w:rPr>
          <w:rFonts w:ascii="Verdana" w:hAnsi="Verdana"/>
          <w:b/>
          <w:bCs/>
        </w:rPr>
        <w:t>Align existing organisations and assign ownership</w:t>
      </w:r>
    </w:p>
    <w:p w:rsidR="009E2340" w:rsidRPr="004A1368" w:rsidP="009E2340">
      <w:pPr>
        <w:rPr>
          <w:rFonts w:ascii="Verdana" w:hAnsi="Verdana"/>
        </w:rPr>
      </w:pPr>
      <w:r w:rsidRPr="004A1368">
        <w:rPr>
          <w:rFonts w:ascii="Verdana" w:hAnsi="Verdana"/>
        </w:rPr>
        <w:t xml:space="preserve">S66. The NHS should not create a new organisation for every implementation weakness. The 2025 review of patient safety across the health and care landscape described a cluttered system characterised by overlapping organisations, recommendations, and </w:t>
      </w:r>
      <w:r w:rsidRPr="004A1368" w:rsidR="007B558B">
        <w:rPr>
          <w:rFonts w:ascii="Verdana" w:hAnsi="Verdana"/>
        </w:rPr>
        <w:t>scattered</w:t>
      </w:r>
      <w:r w:rsidRPr="004A1368">
        <w:rPr>
          <w:rFonts w:ascii="Verdana" w:hAnsi="Verdana"/>
        </w:rPr>
        <w:t xml:space="preserve"> responsibility, and called for greater clarity and consolidation.[13]</w:t>
      </w:r>
    </w:p>
    <w:p w:rsidR="009E2340" w:rsidRPr="004A1368" w:rsidP="009E2340">
      <w:pPr>
        <w:rPr>
          <w:rFonts w:ascii="Verdana" w:hAnsi="Verdana"/>
        </w:rPr>
      </w:pPr>
      <w:r w:rsidRPr="004A1368">
        <w:rPr>
          <w:rFonts w:ascii="Verdana" w:hAnsi="Verdana"/>
        </w:rPr>
        <w:t>S67. The preferable response is to align existing capabilities and assign named ownership.</w:t>
      </w:r>
    </w:p>
    <w:p w:rsidR="009E2340" w:rsidRPr="004A1368" w:rsidP="009E2340">
      <w:pPr>
        <w:rPr>
          <w:rFonts w:ascii="Verdana" w:hAnsi="Verdana"/>
        </w:rPr>
      </w:pPr>
      <w:r w:rsidRPr="004A1368">
        <w:rPr>
          <w:rFonts w:ascii="Verdana" w:hAnsi="Verdana"/>
        </w:rPr>
        <w:t>S68. NICE appraisal and evidence-generation routes, MHRA lifecycle assurance, NIHR and MRC translational mechanisms, the Health Data Research Service, Health Innovation Networks, professional registries, audit systems, and NHS adopters should form a more coherent route.</w:t>
      </w:r>
    </w:p>
    <w:p w:rsidR="009E2340" w:rsidRPr="004A1368" w:rsidP="009E2340">
      <w:pPr>
        <w:rPr>
          <w:rFonts w:ascii="Verdana" w:hAnsi="Verdana"/>
        </w:rPr>
      </w:pPr>
      <w:r w:rsidRPr="004A1368">
        <w:rPr>
          <w:rFonts w:ascii="Verdana" w:hAnsi="Verdana"/>
        </w:rPr>
        <w:t>S69. Their distinct functions should not be collapsed. Instead, they should engage earlier around intended use, evidence generation, regulation, economics, implementation, and lifecycle monitoring so that innovators are not required to discover sequentially that different parts of the pathway require incompatible evidence.</w:t>
      </w:r>
    </w:p>
    <w:p w:rsidR="009E2340" w:rsidRPr="004A1368" w:rsidP="009E2340">
      <w:pPr>
        <w:rPr>
          <w:rFonts w:ascii="Verdana" w:hAnsi="Verdana"/>
        </w:rPr>
      </w:pPr>
      <w:r w:rsidRPr="004A1368">
        <w:rPr>
          <w:rFonts w:ascii="Verdana" w:hAnsi="Verdana"/>
        </w:rPr>
        <w:t>S70. Reusable national components could include:</w:t>
      </w:r>
    </w:p>
    <w:p w:rsidR="009E2340" w:rsidRPr="004A1368" w:rsidP="00603F44">
      <w:pPr>
        <w:pStyle w:val="ListParagraph"/>
        <w:numPr>
          <w:ilvl w:val="0"/>
          <w:numId w:val="18"/>
        </w:numPr>
        <w:rPr>
          <w:rFonts w:ascii="Verdana" w:hAnsi="Verdana"/>
        </w:rPr>
      </w:pPr>
      <w:r w:rsidRPr="004A1368">
        <w:rPr>
          <w:rFonts w:ascii="Verdana" w:hAnsi="Verdana"/>
        </w:rPr>
        <w:t>common intended-use and validation templates;</w:t>
      </w:r>
    </w:p>
    <w:p w:rsidR="009E2340" w:rsidRPr="004A1368" w:rsidP="00603F44">
      <w:pPr>
        <w:pStyle w:val="ListParagraph"/>
        <w:numPr>
          <w:ilvl w:val="0"/>
          <w:numId w:val="18"/>
        </w:numPr>
        <w:rPr>
          <w:rFonts w:ascii="Verdana" w:hAnsi="Verdana"/>
        </w:rPr>
      </w:pPr>
      <w:r w:rsidRPr="004A1368">
        <w:rPr>
          <w:rFonts w:ascii="Verdana" w:hAnsi="Verdana"/>
        </w:rPr>
        <w:t>minimum datasets;</w:t>
      </w:r>
    </w:p>
    <w:p w:rsidR="009E2340" w:rsidRPr="004A1368" w:rsidP="00603F44">
      <w:pPr>
        <w:pStyle w:val="ListParagraph"/>
        <w:numPr>
          <w:ilvl w:val="0"/>
          <w:numId w:val="18"/>
        </w:numPr>
        <w:rPr>
          <w:rFonts w:ascii="Verdana" w:hAnsi="Verdana"/>
        </w:rPr>
      </w:pPr>
      <w:r w:rsidRPr="004A1368">
        <w:rPr>
          <w:rFonts w:ascii="Verdana" w:hAnsi="Verdana"/>
        </w:rPr>
        <w:t>temporal metadata standards;</w:t>
      </w:r>
    </w:p>
    <w:p w:rsidR="009E2340" w:rsidRPr="004A1368" w:rsidP="00603F44">
      <w:pPr>
        <w:pStyle w:val="ListParagraph"/>
        <w:numPr>
          <w:ilvl w:val="0"/>
          <w:numId w:val="18"/>
        </w:numPr>
        <w:rPr>
          <w:rFonts w:ascii="Verdana" w:hAnsi="Verdana"/>
        </w:rPr>
      </w:pPr>
      <w:r w:rsidRPr="004A1368">
        <w:rPr>
          <w:rFonts w:ascii="Verdana" w:hAnsi="Verdana"/>
        </w:rPr>
        <w:t>s</w:t>
      </w:r>
      <w:r w:rsidRPr="004A1368">
        <w:rPr>
          <w:rFonts w:ascii="Verdana" w:hAnsi="Verdana"/>
        </w:rPr>
        <w:t>tandard descriptions of pathway and workforce effects;</w:t>
      </w:r>
    </w:p>
    <w:p w:rsidR="009E2340" w:rsidRPr="004A1368" w:rsidP="00603F44">
      <w:pPr>
        <w:pStyle w:val="ListParagraph"/>
        <w:numPr>
          <w:ilvl w:val="0"/>
          <w:numId w:val="18"/>
        </w:numPr>
        <w:rPr>
          <w:rFonts w:ascii="Verdana" w:hAnsi="Verdana"/>
        </w:rPr>
      </w:pPr>
      <w:r w:rsidRPr="004A1368">
        <w:rPr>
          <w:rFonts w:ascii="Verdana" w:hAnsi="Verdana"/>
        </w:rPr>
        <w:t>transferable implementation evidence;</w:t>
      </w:r>
    </w:p>
    <w:p w:rsidR="009E2340" w:rsidRPr="004A1368" w:rsidP="00603F44">
      <w:pPr>
        <w:pStyle w:val="ListParagraph"/>
        <w:numPr>
          <w:ilvl w:val="0"/>
          <w:numId w:val="18"/>
        </w:numPr>
        <w:rPr>
          <w:rFonts w:ascii="Verdana" w:hAnsi="Verdana"/>
        </w:rPr>
      </w:pPr>
      <w:r w:rsidRPr="004A1368">
        <w:rPr>
          <w:rFonts w:ascii="Verdana" w:hAnsi="Verdana"/>
        </w:rPr>
        <w:t>common approaches to subgroup and equity analysis;</w:t>
      </w:r>
    </w:p>
    <w:p w:rsidR="009E2340" w:rsidRPr="004A1368" w:rsidP="00603F44">
      <w:pPr>
        <w:pStyle w:val="ListParagraph"/>
        <w:numPr>
          <w:ilvl w:val="0"/>
          <w:numId w:val="18"/>
        </w:numPr>
        <w:rPr>
          <w:rFonts w:ascii="Verdana" w:hAnsi="Verdana"/>
        </w:rPr>
      </w:pPr>
      <w:r w:rsidRPr="004A1368">
        <w:rPr>
          <w:rFonts w:ascii="Verdana" w:hAnsi="Verdana"/>
        </w:rPr>
        <w:t>a</w:t>
      </w:r>
      <w:r w:rsidRPr="004A1368">
        <w:rPr>
          <w:rFonts w:ascii="Verdana" w:hAnsi="Verdana"/>
        </w:rPr>
        <w:t>nd reusable assurance packages.</w:t>
      </w:r>
    </w:p>
    <w:p w:rsidR="009E2340" w:rsidRPr="004A1368" w:rsidP="009E2340">
      <w:pPr>
        <w:rPr>
          <w:rFonts w:ascii="Verdana" w:hAnsi="Verdana"/>
        </w:rPr>
      </w:pPr>
      <w:r w:rsidRPr="004A1368">
        <w:rPr>
          <w:rFonts w:ascii="Verdana" w:hAnsi="Verdana"/>
        </w:rPr>
        <w:t>S71. These should reduce duplication while allowing local adaptation. Local services should not be forced to repeat every element of evaluation from the beginning when relevant, high-quality evidence has already been generated elsewhere.</w:t>
      </w:r>
      <w:r w:rsidRPr="004A1368" w:rsidR="00F109BE">
        <w:rPr>
          <w:rFonts w:ascii="Verdana" w:hAnsi="Verdana"/>
        </w:rPr>
        <w:t xml:space="preserve"> </w:t>
      </w:r>
      <w:r w:rsidRPr="004A1368" w:rsidR="0095246D">
        <w:rPr>
          <w:rFonts w:ascii="Verdana" w:hAnsi="Verdana"/>
        </w:rPr>
        <w:t>Just as drug repurposing makes productive use of existing assets, routine ‘innovation upcycling’ should enable validated components, datasets, negative findings, and implementation learning from discontinued projects to be reused where appropriate.</w:t>
      </w:r>
    </w:p>
    <w:p w:rsidR="009E2340" w:rsidRPr="004A1368" w:rsidP="009E2340">
      <w:pPr>
        <w:rPr>
          <w:rFonts w:ascii="Verdana" w:hAnsi="Verdana"/>
        </w:rPr>
      </w:pPr>
      <w:r w:rsidRPr="004A1368">
        <w:rPr>
          <w:rFonts w:ascii="Verdana" w:hAnsi="Verdana"/>
        </w:rPr>
        <w:t>S72. Adoption economics also require attention. The organisation paying for an innovation may not be the organisation receiving the benefit. This is particularly problematic for prevention, timely diagnosis, and interventions whose gains emerge over several years or across different budgets.</w:t>
      </w:r>
    </w:p>
    <w:p w:rsidR="009E2340" w:rsidRPr="004A1368" w:rsidP="009E2340">
      <w:pPr>
        <w:rPr>
          <w:rFonts w:ascii="Verdana" w:hAnsi="Verdana"/>
        </w:rPr>
      </w:pPr>
      <w:r w:rsidRPr="004A1368">
        <w:rPr>
          <w:rFonts w:ascii="Verdana" w:hAnsi="Verdana"/>
        </w:rPr>
        <w:t>S73. Central transition support, conditional reimbursement, multi-year evaluation, and benefit-sharing should be considered for a limited portfolio of high-priority pathways where local adoption would otherwise remain irrational despite likely system-level value.</w:t>
      </w:r>
    </w:p>
    <w:p w:rsidR="00FA4770" w:rsidRPr="004A1368" w:rsidP="009E2340">
      <w:pPr>
        <w:rPr>
          <w:rFonts w:ascii="Verdana" w:hAnsi="Verdana"/>
          <w:b/>
          <w:bCs/>
        </w:rPr>
      </w:pPr>
    </w:p>
    <w:p w:rsidR="00FA4770" w:rsidRPr="004A1368" w:rsidP="009E2340">
      <w:pPr>
        <w:rPr>
          <w:rFonts w:ascii="Verdana" w:hAnsi="Verdana"/>
          <w:b/>
          <w:bCs/>
        </w:rPr>
      </w:pPr>
    </w:p>
    <w:p w:rsidR="009E2340" w:rsidRPr="004A1368" w:rsidP="009E2340">
      <w:pPr>
        <w:rPr>
          <w:rFonts w:ascii="Verdana" w:hAnsi="Verdana"/>
          <w:b/>
          <w:bCs/>
        </w:rPr>
      </w:pPr>
      <w:r w:rsidRPr="004A1368">
        <w:rPr>
          <w:rFonts w:ascii="Verdana" w:hAnsi="Verdana"/>
          <w:b/>
          <w:bCs/>
        </w:rPr>
        <w:t>RECOMMENDATION 3: INTERVENE AT THE RIGHT TIME</w:t>
      </w:r>
    </w:p>
    <w:p w:rsidR="009E2340" w:rsidRPr="004A1368" w:rsidP="009E2340">
      <w:pPr>
        <w:rPr>
          <w:rFonts w:ascii="Verdana" w:hAnsi="Verdana"/>
          <w:b/>
          <w:bCs/>
        </w:rPr>
      </w:pPr>
      <w:r w:rsidRPr="004A1368">
        <w:rPr>
          <w:rFonts w:ascii="Verdana" w:hAnsi="Verdana"/>
          <w:b/>
          <w:bCs/>
        </w:rPr>
        <w:t xml:space="preserve">Direct personalised medicine towards timely decisions and the prevention of avoidable </w:t>
      </w:r>
      <w:r w:rsidRPr="004A1368" w:rsidR="00387DBF">
        <w:rPr>
          <w:rFonts w:ascii="Verdana" w:hAnsi="Verdana"/>
          <w:b/>
          <w:bCs/>
        </w:rPr>
        <w:t xml:space="preserve">health </w:t>
      </w:r>
      <w:r w:rsidRPr="004A1368">
        <w:rPr>
          <w:rFonts w:ascii="Verdana" w:hAnsi="Verdana"/>
          <w:b/>
          <w:bCs/>
        </w:rPr>
        <w:t>de</w:t>
      </w:r>
      <w:r w:rsidRPr="004A1368" w:rsidR="00387DBF">
        <w:rPr>
          <w:rFonts w:ascii="Verdana" w:hAnsi="Verdana"/>
          <w:b/>
          <w:bCs/>
        </w:rPr>
        <w:t>cline</w:t>
      </w:r>
    </w:p>
    <w:p w:rsidR="009E2340" w:rsidRPr="004A1368" w:rsidP="009E2340">
      <w:pPr>
        <w:rPr>
          <w:rFonts w:ascii="Verdana" w:hAnsi="Verdana"/>
        </w:rPr>
      </w:pPr>
      <w:r w:rsidRPr="004A1368">
        <w:rPr>
          <w:rFonts w:ascii="Verdana" w:hAnsi="Verdana"/>
        </w:rPr>
        <w:t>S74. Earlier is not always better. Very early investigation may create false positives, overdiagnosis, unnecessary procedures, and treatment without additional benefit. Waiting, however, may allow the window for effective intervention to narrow.</w:t>
      </w:r>
    </w:p>
    <w:p w:rsidR="009E2340" w:rsidRPr="004A1368" w:rsidP="009E2340">
      <w:pPr>
        <w:rPr>
          <w:rFonts w:ascii="Verdana" w:hAnsi="Verdana"/>
        </w:rPr>
      </w:pPr>
      <w:r w:rsidRPr="004A1368">
        <w:rPr>
          <w:rFonts w:ascii="Verdana" w:hAnsi="Verdana"/>
        </w:rPr>
        <w:t>S75. The objective should be timely diagnosis and intervention: selecting the action with the greatest expected net benefit for that person at that point in the</w:t>
      </w:r>
      <w:r w:rsidRPr="004A1368" w:rsidR="00A52282">
        <w:rPr>
          <w:rFonts w:ascii="Verdana" w:hAnsi="Verdana"/>
        </w:rPr>
        <w:t>ir</w:t>
      </w:r>
      <w:r w:rsidRPr="004A1368">
        <w:rPr>
          <w:rFonts w:ascii="Verdana" w:hAnsi="Verdana"/>
        </w:rPr>
        <w:t xml:space="preserve"> trajectory.</w:t>
      </w:r>
    </w:p>
    <w:p w:rsidR="009E2340" w:rsidRPr="004A1368" w:rsidP="009E2340">
      <w:pPr>
        <w:rPr>
          <w:rFonts w:ascii="Verdana" w:hAnsi="Verdana"/>
        </w:rPr>
      </w:pPr>
      <w:r w:rsidRPr="004A1368">
        <w:rPr>
          <w:rFonts w:ascii="Verdana" w:hAnsi="Verdana"/>
        </w:rPr>
        <w:t>S76. A decision-theoretic framework for personalised early and timely diagnosis formalises this problem by combining observed information with estimates of the future patient trajectory and the expected costs, benefits, and uncertainty associated with alternative diagnostic paths.[14]</w:t>
      </w:r>
    </w:p>
    <w:p w:rsidR="009E2340" w:rsidRPr="004A1368" w:rsidP="009E2340">
      <w:pPr>
        <w:rPr>
          <w:rFonts w:ascii="Verdana" w:hAnsi="Verdana"/>
        </w:rPr>
      </w:pPr>
      <w:r w:rsidRPr="004A1368">
        <w:rPr>
          <w:rFonts w:ascii="Verdana" w:hAnsi="Verdana"/>
        </w:rPr>
        <w:t>S77. It provides a useful conceptual bridge between longitudinal data and clinical action. Prediction is valuable only when it improves a choice between possible paths.</w:t>
      </w:r>
    </w:p>
    <w:p w:rsidR="009E2340" w:rsidRPr="004A1368" w:rsidP="009E2340">
      <w:pPr>
        <w:rPr>
          <w:rFonts w:ascii="Verdana" w:hAnsi="Verdana"/>
        </w:rPr>
      </w:pPr>
      <w:r w:rsidRPr="004A1368">
        <w:rPr>
          <w:rFonts w:ascii="Verdana" w:hAnsi="Verdana"/>
        </w:rPr>
        <w:t xml:space="preserve">S78. AI should therefore support decisions such as whether to investigate, monitor, treat, escalate, or wait, while expressing the uncertainty and </w:t>
      </w:r>
      <w:r w:rsidRPr="004A1368">
        <w:rPr>
          <w:rFonts w:ascii="Verdana" w:hAnsi="Verdana"/>
        </w:rPr>
        <w:t>consequences attached to each option. This is more demanding than assigning a risk score. It requires evaluation against available alternatives and the downstream effects of acting</w:t>
      </w:r>
      <w:r w:rsidRPr="004A1368" w:rsidR="001D3635">
        <w:rPr>
          <w:rFonts w:ascii="Verdana" w:hAnsi="Verdana"/>
        </w:rPr>
        <w:t>—or not—</w:t>
      </w:r>
      <w:r w:rsidRPr="004A1368">
        <w:rPr>
          <w:rFonts w:ascii="Verdana" w:hAnsi="Verdana"/>
        </w:rPr>
        <w:t>on the output.</w:t>
      </w:r>
    </w:p>
    <w:p w:rsidR="009E2340" w:rsidRPr="004A1368" w:rsidP="009E2340">
      <w:pPr>
        <w:rPr>
          <w:rFonts w:ascii="Verdana" w:hAnsi="Verdana"/>
        </w:rPr>
      </w:pPr>
      <w:r w:rsidRPr="004A1368">
        <w:rPr>
          <w:rFonts w:ascii="Verdana" w:hAnsi="Verdana"/>
        </w:rPr>
        <w:t>S79. Timely intervention is especially important where deterioration produces cascading consequences. Preventing or arresting an initial de</w:t>
      </w:r>
      <w:r w:rsidRPr="004A1368" w:rsidR="001C5467">
        <w:rPr>
          <w:rFonts w:ascii="Verdana" w:hAnsi="Verdana"/>
        </w:rPr>
        <w:t>cline</w:t>
      </w:r>
      <w:r w:rsidRPr="004A1368">
        <w:rPr>
          <w:rFonts w:ascii="Verdana" w:hAnsi="Verdana"/>
        </w:rPr>
        <w:t xml:space="preserve"> may avert subsequent immobility, deconditioning, sleep disruption, medication burden, loss of independence, and multimorbidity.</w:t>
      </w:r>
    </w:p>
    <w:p w:rsidR="009E2340" w:rsidRPr="004A1368" w:rsidP="009E2340">
      <w:pPr>
        <w:rPr>
          <w:rFonts w:ascii="Verdana" w:hAnsi="Verdana"/>
        </w:rPr>
      </w:pPr>
      <w:r w:rsidRPr="004A1368">
        <w:rPr>
          <w:rFonts w:ascii="Verdana" w:hAnsi="Verdana"/>
        </w:rPr>
        <w:t>S80. The useful metaphor is to catch the first domino before it knocks down the rest. This requires pathway-level evaluation over an appropriate time horizon rather than focusing solely on the immediate cost of the initial intervention.</w:t>
      </w:r>
    </w:p>
    <w:p w:rsidR="009E2340" w:rsidRPr="004A1368" w:rsidP="009E2340">
      <w:pPr>
        <w:rPr>
          <w:rFonts w:ascii="Verdana" w:hAnsi="Verdana"/>
        </w:rPr>
      </w:pPr>
      <w:r w:rsidRPr="004A1368">
        <w:rPr>
          <w:rFonts w:ascii="Verdana" w:hAnsi="Verdana"/>
        </w:rPr>
        <w:t>S81. AI-enabled clinical development may support more adaptive evidence generation through causal inference, digital twins, treatment-effect estimation, and the continuing incorporation of relevant real-world data.[15]</w:t>
      </w:r>
    </w:p>
    <w:p w:rsidR="009E2340" w:rsidRPr="004A1368" w:rsidP="009E2340">
      <w:pPr>
        <w:rPr>
          <w:rFonts w:ascii="Verdana" w:hAnsi="Verdana"/>
        </w:rPr>
      </w:pPr>
      <w:r w:rsidRPr="004A1368">
        <w:rPr>
          <w:rFonts w:ascii="Verdana" w:hAnsi="Verdana"/>
        </w:rPr>
        <w:t>S82. These approaches are promising but should be benchmarked against current methods and assessed for calibration, interpretability, context of use, transportability, and uncertainty. They should not be presented as substitutes for prospective clinical evidence.</w:t>
      </w:r>
    </w:p>
    <w:p w:rsidR="0081114E" w:rsidRPr="004A1368" w:rsidP="009E2340">
      <w:pPr>
        <w:rPr>
          <w:rFonts w:ascii="Verdana" w:hAnsi="Verdana"/>
          <w:b/>
          <w:bCs/>
        </w:rPr>
      </w:pPr>
    </w:p>
    <w:p w:rsidR="009E2340" w:rsidRPr="004A1368" w:rsidP="009E2340">
      <w:pPr>
        <w:rPr>
          <w:rFonts w:ascii="Verdana" w:hAnsi="Verdana"/>
          <w:b/>
          <w:bCs/>
        </w:rPr>
      </w:pPr>
      <w:r w:rsidRPr="004A1368">
        <w:rPr>
          <w:rFonts w:ascii="Verdana" w:hAnsi="Verdana"/>
          <w:b/>
          <w:bCs/>
        </w:rPr>
        <w:t>PRODUCTIVITY, FATIGUE, AND HUMAN FACTORS</w:t>
      </w:r>
    </w:p>
    <w:p w:rsidR="009E2340" w:rsidRPr="004A1368" w:rsidP="009E2340">
      <w:pPr>
        <w:rPr>
          <w:rFonts w:ascii="Verdana" w:hAnsi="Verdana"/>
          <w:b/>
          <w:bCs/>
        </w:rPr>
      </w:pPr>
      <w:r w:rsidRPr="004A1368">
        <w:rPr>
          <w:rFonts w:ascii="Verdana" w:hAnsi="Verdana"/>
          <w:b/>
          <w:bCs/>
        </w:rPr>
        <w:t>Measure usable capacity, not nominal time saved</w:t>
      </w:r>
    </w:p>
    <w:p w:rsidR="009E2340" w:rsidRPr="004A1368" w:rsidP="009E2340">
      <w:pPr>
        <w:rPr>
          <w:rFonts w:ascii="Verdana" w:hAnsi="Verdana"/>
        </w:rPr>
      </w:pPr>
      <w:r w:rsidRPr="004A1368">
        <w:rPr>
          <w:rFonts w:ascii="Verdana" w:hAnsi="Verdana"/>
        </w:rPr>
        <w:t>S83. AI-enabled productivity should not mean intensifying the work of an already fatigued workforce.</w:t>
      </w:r>
    </w:p>
    <w:p w:rsidR="009E2340" w:rsidRPr="004A1368" w:rsidP="009E2340">
      <w:pPr>
        <w:rPr>
          <w:rFonts w:ascii="Verdana" w:hAnsi="Verdana"/>
        </w:rPr>
      </w:pPr>
      <w:r w:rsidRPr="004A1368">
        <w:rPr>
          <w:rFonts w:ascii="Verdana" w:hAnsi="Verdana"/>
        </w:rPr>
        <w:t>S84. A technology is not productive merely because it shortens one task. It may create additional permissions and security requirements, review work, alerts, task switching, supervision, or escalation. It may also concentrate the remaining work into more cognitively demanding activity.</w:t>
      </w:r>
    </w:p>
    <w:p w:rsidR="009E2340" w:rsidRPr="004A1368" w:rsidP="009E2340">
      <w:pPr>
        <w:rPr>
          <w:rFonts w:ascii="Verdana" w:hAnsi="Verdana"/>
        </w:rPr>
      </w:pPr>
      <w:r w:rsidRPr="004A1368">
        <w:rPr>
          <w:rFonts w:ascii="Verdana" w:hAnsi="Verdana"/>
        </w:rPr>
        <w:t>S85. Claims about time saved should distinguish between nominal time reduction and usable capacity. Time has not necessarily been released if it is fragmented, transferred to another professional group, absorbed by new review requirements, or unavailable for redeployment because of staffing and scheduling constraints.</w:t>
      </w:r>
    </w:p>
    <w:p w:rsidR="009E2340" w:rsidRPr="004A1368" w:rsidP="009E2340">
      <w:pPr>
        <w:rPr>
          <w:rFonts w:ascii="Verdana" w:hAnsi="Verdana"/>
        </w:rPr>
      </w:pPr>
      <w:r w:rsidRPr="004A1368">
        <w:rPr>
          <w:rFonts w:ascii="Verdana" w:hAnsi="Verdana"/>
        </w:rPr>
        <w:t>S86. Evaluation should therefore ask:</w:t>
      </w:r>
    </w:p>
    <w:p w:rsidR="009E2340" w:rsidRPr="004A1368" w:rsidP="006711F8">
      <w:pPr>
        <w:pStyle w:val="ListParagraph"/>
        <w:numPr>
          <w:ilvl w:val="0"/>
          <w:numId w:val="19"/>
        </w:numPr>
        <w:rPr>
          <w:rFonts w:ascii="Verdana" w:hAnsi="Verdana"/>
        </w:rPr>
      </w:pPr>
      <w:r w:rsidRPr="004A1368">
        <w:rPr>
          <w:rFonts w:ascii="Verdana" w:hAnsi="Verdana"/>
        </w:rPr>
        <w:t>what activity becomes faster;</w:t>
      </w:r>
    </w:p>
    <w:p w:rsidR="009E2340" w:rsidRPr="004A1368" w:rsidP="006711F8">
      <w:pPr>
        <w:pStyle w:val="ListParagraph"/>
        <w:numPr>
          <w:ilvl w:val="0"/>
          <w:numId w:val="19"/>
        </w:numPr>
        <w:rPr>
          <w:rFonts w:ascii="Verdana" w:hAnsi="Verdana"/>
        </w:rPr>
      </w:pPr>
      <w:r w:rsidRPr="004A1368">
        <w:rPr>
          <w:rFonts w:ascii="Verdana" w:hAnsi="Verdana"/>
        </w:rPr>
        <w:t>what new activity is created;</w:t>
      </w:r>
    </w:p>
    <w:p w:rsidR="009E2340" w:rsidRPr="004A1368" w:rsidP="006711F8">
      <w:pPr>
        <w:pStyle w:val="ListParagraph"/>
        <w:numPr>
          <w:ilvl w:val="0"/>
          <w:numId w:val="19"/>
        </w:numPr>
        <w:rPr>
          <w:rFonts w:ascii="Verdana" w:hAnsi="Verdana"/>
        </w:rPr>
      </w:pPr>
      <w:r w:rsidRPr="004A1368">
        <w:rPr>
          <w:rFonts w:ascii="Verdana" w:hAnsi="Verdana"/>
        </w:rPr>
        <w:t>who performs the new work;</w:t>
      </w:r>
    </w:p>
    <w:p w:rsidR="009E2340" w:rsidRPr="004A1368" w:rsidP="006711F8">
      <w:pPr>
        <w:pStyle w:val="ListParagraph"/>
        <w:numPr>
          <w:ilvl w:val="0"/>
          <w:numId w:val="19"/>
        </w:numPr>
        <w:rPr>
          <w:rFonts w:ascii="Verdana" w:hAnsi="Verdana"/>
        </w:rPr>
      </w:pPr>
      <w:r w:rsidRPr="004A1368">
        <w:rPr>
          <w:rFonts w:ascii="Verdana" w:hAnsi="Verdana"/>
        </w:rPr>
        <w:t>whether work is transferred rather than removed;</w:t>
      </w:r>
    </w:p>
    <w:p w:rsidR="009E2340" w:rsidRPr="004A1368" w:rsidP="006711F8">
      <w:pPr>
        <w:pStyle w:val="ListParagraph"/>
        <w:numPr>
          <w:ilvl w:val="0"/>
          <w:numId w:val="19"/>
        </w:numPr>
        <w:rPr>
          <w:rFonts w:ascii="Verdana" w:hAnsi="Verdana"/>
        </w:rPr>
      </w:pPr>
      <w:r w:rsidRPr="004A1368">
        <w:rPr>
          <w:rFonts w:ascii="Verdana" w:hAnsi="Verdana"/>
        </w:rPr>
        <w:t>whether the released time is sufficiently predictable and concentrated to be usable;</w:t>
      </w:r>
    </w:p>
    <w:p w:rsidR="009E2340" w:rsidRPr="004A1368" w:rsidP="006711F8">
      <w:pPr>
        <w:pStyle w:val="ListParagraph"/>
        <w:numPr>
          <w:ilvl w:val="0"/>
          <w:numId w:val="19"/>
        </w:numPr>
        <w:rPr>
          <w:rFonts w:ascii="Verdana" w:hAnsi="Verdana"/>
        </w:rPr>
      </w:pPr>
      <w:r w:rsidRPr="004A1368">
        <w:rPr>
          <w:rFonts w:ascii="Verdana" w:hAnsi="Verdana"/>
        </w:rPr>
        <w:t>and whether it improves patient care, staff capacity, or outcomes.</w:t>
      </w:r>
    </w:p>
    <w:p w:rsidR="009E2340" w:rsidRPr="004A1368" w:rsidP="009E2340">
      <w:pPr>
        <w:rPr>
          <w:rFonts w:ascii="Verdana" w:hAnsi="Verdana"/>
        </w:rPr>
      </w:pPr>
      <w:r w:rsidRPr="004A1368">
        <w:rPr>
          <w:rFonts w:ascii="Verdana" w:hAnsi="Verdana"/>
        </w:rPr>
        <w:t>S87. Contingency plans should identify who detects failure, who may suspend the system, how safe care is maintained, and who authorises return to use.</w:t>
      </w:r>
    </w:p>
    <w:p w:rsidR="009E2340" w:rsidRPr="004A1368" w:rsidP="009E2340">
      <w:pPr>
        <w:rPr>
          <w:rFonts w:ascii="Verdana" w:hAnsi="Verdana"/>
          <w:b/>
          <w:bCs/>
        </w:rPr>
      </w:pPr>
      <w:r w:rsidRPr="004A1368">
        <w:rPr>
          <w:rFonts w:ascii="Verdana" w:hAnsi="Verdana"/>
          <w:b/>
          <w:bCs/>
        </w:rPr>
        <w:t>Treat fatigue as a patient-safety risk</w:t>
      </w:r>
    </w:p>
    <w:p w:rsidR="009E2340" w:rsidRPr="004A1368" w:rsidP="009E2340">
      <w:pPr>
        <w:rPr>
          <w:rFonts w:ascii="Verdana" w:hAnsi="Verdana"/>
        </w:rPr>
      </w:pPr>
      <w:r w:rsidRPr="004A1368">
        <w:rPr>
          <w:rFonts w:ascii="Verdana" w:hAnsi="Verdana"/>
        </w:rPr>
        <w:t>S88. Fatigue is a physiological and organisational patient-safety risk, not solely an individual wellbeing issue. Sleep loss, extended wakefulness, high workload, and circadian misalignment can impair attention, reaction time, memory, decision-making, communication, and teamwork.[16]</w:t>
      </w:r>
    </w:p>
    <w:p w:rsidR="009E2340" w:rsidRPr="004A1368" w:rsidP="009E2340">
      <w:pPr>
        <w:rPr>
          <w:rFonts w:ascii="Verdana" w:hAnsi="Verdana"/>
        </w:rPr>
      </w:pPr>
      <w:r w:rsidRPr="004A1368">
        <w:rPr>
          <w:rFonts w:ascii="Verdana" w:hAnsi="Verdana"/>
        </w:rPr>
        <w:t>S89. Other safety-critical sectors use systematic fatigue-risk-management approaches. Comparable arrangements remain limited in healthcare.</w:t>
      </w:r>
    </w:p>
    <w:p w:rsidR="009E2340" w:rsidRPr="004A1368" w:rsidP="009E2340">
      <w:pPr>
        <w:rPr>
          <w:rFonts w:ascii="Verdana" w:hAnsi="Verdana"/>
        </w:rPr>
      </w:pPr>
      <w:r w:rsidRPr="004A1368">
        <w:rPr>
          <w:rFonts w:ascii="Verdana" w:hAnsi="Verdana"/>
        </w:rPr>
        <w:t>S90. Evaluation of AI-enabled pathways should therefore include:</w:t>
      </w:r>
    </w:p>
    <w:p w:rsidR="009E2340" w:rsidRPr="004A1368" w:rsidP="00735914">
      <w:pPr>
        <w:pStyle w:val="ListParagraph"/>
        <w:numPr>
          <w:ilvl w:val="0"/>
          <w:numId w:val="20"/>
        </w:numPr>
        <w:rPr>
          <w:rFonts w:ascii="Verdana" w:hAnsi="Verdana"/>
        </w:rPr>
      </w:pPr>
      <w:r w:rsidRPr="004A1368">
        <w:rPr>
          <w:rFonts w:ascii="Verdana" w:hAnsi="Verdana"/>
        </w:rPr>
        <w:t>cognitive workload and task switching;</w:t>
      </w:r>
    </w:p>
    <w:p w:rsidR="009E2340" w:rsidRPr="004A1368" w:rsidP="00735914">
      <w:pPr>
        <w:pStyle w:val="ListParagraph"/>
        <w:numPr>
          <w:ilvl w:val="0"/>
          <w:numId w:val="20"/>
        </w:numPr>
        <w:rPr>
          <w:rFonts w:ascii="Verdana" w:hAnsi="Verdana"/>
        </w:rPr>
      </w:pPr>
      <w:r w:rsidRPr="004A1368">
        <w:rPr>
          <w:rFonts w:ascii="Verdana" w:hAnsi="Verdana"/>
        </w:rPr>
        <w:t>alert and monitoring burden;</w:t>
      </w:r>
    </w:p>
    <w:p w:rsidR="009E2340" w:rsidRPr="004A1368" w:rsidP="00735914">
      <w:pPr>
        <w:pStyle w:val="ListParagraph"/>
        <w:numPr>
          <w:ilvl w:val="0"/>
          <w:numId w:val="20"/>
        </w:numPr>
        <w:rPr>
          <w:rFonts w:ascii="Verdana" w:hAnsi="Verdana"/>
        </w:rPr>
      </w:pPr>
      <w:r w:rsidRPr="004A1368">
        <w:rPr>
          <w:rFonts w:ascii="Verdana" w:hAnsi="Verdana"/>
        </w:rPr>
        <w:t>supervision and escalation requirements;</w:t>
      </w:r>
    </w:p>
    <w:p w:rsidR="009E2340" w:rsidRPr="004A1368" w:rsidP="00735914">
      <w:pPr>
        <w:pStyle w:val="ListParagraph"/>
        <w:numPr>
          <w:ilvl w:val="0"/>
          <w:numId w:val="20"/>
        </w:numPr>
        <w:rPr>
          <w:rFonts w:ascii="Verdana" w:hAnsi="Verdana"/>
        </w:rPr>
      </w:pPr>
      <w:r w:rsidRPr="004A1368">
        <w:rPr>
          <w:rFonts w:ascii="Verdana" w:hAnsi="Verdana"/>
        </w:rPr>
        <w:t>effects during nights, long shifts, and transitions between shift patterns;</w:t>
      </w:r>
    </w:p>
    <w:p w:rsidR="009E2340" w:rsidRPr="004A1368" w:rsidP="00735914">
      <w:pPr>
        <w:pStyle w:val="ListParagraph"/>
        <w:numPr>
          <w:ilvl w:val="0"/>
          <w:numId w:val="20"/>
        </w:numPr>
        <w:rPr>
          <w:rFonts w:ascii="Verdana" w:hAnsi="Verdana"/>
        </w:rPr>
      </w:pPr>
      <w:r w:rsidRPr="004A1368">
        <w:rPr>
          <w:rFonts w:ascii="Verdana" w:hAnsi="Verdana"/>
        </w:rPr>
        <w:t>performance during periods of high demand;</w:t>
      </w:r>
    </w:p>
    <w:p w:rsidR="009E2340" w:rsidRPr="004A1368" w:rsidP="00735914">
      <w:pPr>
        <w:pStyle w:val="ListParagraph"/>
        <w:numPr>
          <w:ilvl w:val="0"/>
          <w:numId w:val="20"/>
        </w:numPr>
        <w:rPr>
          <w:rFonts w:ascii="Verdana" w:hAnsi="Verdana"/>
        </w:rPr>
      </w:pPr>
      <w:r w:rsidRPr="004A1368">
        <w:rPr>
          <w:rFonts w:ascii="Verdana" w:hAnsi="Verdana"/>
        </w:rPr>
        <w:t>whether purportedly saved time is genuinely released;</w:t>
      </w:r>
    </w:p>
    <w:p w:rsidR="009E2340" w:rsidRPr="004A1368" w:rsidP="00735914">
      <w:pPr>
        <w:pStyle w:val="ListParagraph"/>
        <w:numPr>
          <w:ilvl w:val="0"/>
          <w:numId w:val="20"/>
        </w:numPr>
        <w:rPr>
          <w:rFonts w:ascii="Verdana" w:hAnsi="Verdana"/>
        </w:rPr>
      </w:pPr>
      <w:r w:rsidRPr="004A1368">
        <w:rPr>
          <w:rFonts w:ascii="Verdana" w:hAnsi="Verdana"/>
        </w:rPr>
        <w:t>staff fatigue, retention, and psychological safety;</w:t>
      </w:r>
    </w:p>
    <w:p w:rsidR="009E2340" w:rsidRPr="004A1368" w:rsidP="00735914">
      <w:pPr>
        <w:pStyle w:val="ListParagraph"/>
        <w:numPr>
          <w:ilvl w:val="0"/>
          <w:numId w:val="20"/>
        </w:numPr>
        <w:rPr>
          <w:rFonts w:ascii="Verdana" w:hAnsi="Verdana"/>
        </w:rPr>
      </w:pPr>
      <w:r w:rsidRPr="004A1368">
        <w:rPr>
          <w:rFonts w:ascii="Verdana" w:hAnsi="Verdana"/>
        </w:rPr>
        <w:t>and safety consequences after deployment.</w:t>
      </w:r>
    </w:p>
    <w:p w:rsidR="009E2340" w:rsidRPr="004A1368" w:rsidP="009E2340">
      <w:pPr>
        <w:rPr>
          <w:rFonts w:ascii="Verdana" w:hAnsi="Verdana"/>
        </w:rPr>
      </w:pPr>
      <w:r w:rsidRPr="004A1368">
        <w:rPr>
          <w:rFonts w:ascii="Verdana" w:hAnsi="Verdana"/>
        </w:rPr>
        <w:t xml:space="preserve">S91. This does not require a new national fatigue regulator. Fatigue and cognitive workload can be incorporated into existing procurement, safety cases, pathway evaluation, incident investigation, workforce planning, and post-deployment </w:t>
      </w:r>
      <w:r w:rsidRPr="004A1368" w:rsidR="00332083">
        <w:rPr>
          <w:rFonts w:ascii="Verdana" w:hAnsi="Verdana"/>
        </w:rPr>
        <w:t>surveillance</w:t>
      </w:r>
      <w:r w:rsidRPr="004A1368">
        <w:rPr>
          <w:rFonts w:ascii="Verdana" w:hAnsi="Verdana"/>
        </w:rPr>
        <w:t>.</w:t>
      </w:r>
    </w:p>
    <w:p w:rsidR="009E2340" w:rsidRPr="004A1368" w:rsidP="009E2340">
      <w:pPr>
        <w:rPr>
          <w:rFonts w:ascii="Verdana" w:hAnsi="Verdana"/>
        </w:rPr>
      </w:pPr>
      <w:r w:rsidRPr="004A1368">
        <w:rPr>
          <w:rFonts w:ascii="Verdana" w:hAnsi="Verdana"/>
        </w:rPr>
        <w:t>S92. Human factors should be considered before deployment, not used only to explain failure afterwards. The intervention being evaluated consists of the technology, its users, the workflow, the escalation rules, and the conditions under which the work is performed.</w:t>
      </w:r>
    </w:p>
    <w:p w:rsidR="0081114E" w:rsidRPr="004A1368" w:rsidP="009E2340">
      <w:pPr>
        <w:rPr>
          <w:rFonts w:ascii="Verdana" w:hAnsi="Verdana"/>
          <w:b/>
          <w:bCs/>
        </w:rPr>
      </w:pPr>
    </w:p>
    <w:p w:rsidR="009E2340" w:rsidRPr="004A1368" w:rsidP="009E2340">
      <w:pPr>
        <w:rPr>
          <w:rFonts w:ascii="Verdana" w:hAnsi="Verdana"/>
          <w:b/>
          <w:bCs/>
        </w:rPr>
      </w:pPr>
      <w:r w:rsidRPr="004A1368">
        <w:rPr>
          <w:rFonts w:ascii="Verdana" w:hAnsi="Verdana"/>
          <w:b/>
          <w:bCs/>
        </w:rPr>
        <w:t>CLIMATE, HEAT, AND DYNAMIC VULNERABILITY</w:t>
      </w:r>
    </w:p>
    <w:p w:rsidR="009E2340" w:rsidRPr="004A1368" w:rsidP="009E2340">
      <w:pPr>
        <w:rPr>
          <w:rFonts w:ascii="Verdana" w:hAnsi="Verdana"/>
        </w:rPr>
      </w:pPr>
      <w:r w:rsidRPr="004A1368">
        <w:rPr>
          <w:rFonts w:ascii="Verdana" w:hAnsi="Verdana"/>
        </w:rPr>
        <w:t>S93. Personalisation should also include changing environmental vulnerability. The same heat exposure, infection, medication, or workload may create different risks according to age, sex, sleep, comorbidity, treatment, genetics, and physiological reserve. Those risks may also change over time.</w:t>
      </w:r>
    </w:p>
    <w:p w:rsidR="009E2340" w:rsidRPr="004A1368" w:rsidP="009E2340">
      <w:pPr>
        <w:rPr>
          <w:rFonts w:ascii="Verdana" w:hAnsi="Verdana"/>
        </w:rPr>
      </w:pPr>
      <w:r w:rsidRPr="004A1368">
        <w:rPr>
          <w:rFonts w:ascii="Verdana" w:hAnsi="Verdana"/>
        </w:rPr>
        <w:t xml:space="preserve">S94. Exploratory work on </w:t>
      </w:r>
      <w:r w:rsidRPr="004A1368" w:rsidR="00C56B4A">
        <w:rPr>
          <w:rFonts w:ascii="Verdana" w:hAnsi="Verdana"/>
        </w:rPr>
        <w:t>‘</w:t>
      </w:r>
      <w:r w:rsidRPr="004A1368">
        <w:rPr>
          <w:rFonts w:ascii="Verdana" w:hAnsi="Verdana"/>
        </w:rPr>
        <w:t>calortypic</w:t>
      </w:r>
      <w:r w:rsidRPr="004A1368" w:rsidR="00C56B4A">
        <w:rPr>
          <w:rFonts w:ascii="Verdana" w:hAnsi="Verdana"/>
        </w:rPr>
        <w:t>’</w:t>
      </w:r>
      <w:r w:rsidRPr="004A1368">
        <w:rPr>
          <w:rFonts w:ascii="Verdana" w:hAnsi="Verdana"/>
        </w:rPr>
        <w:t xml:space="preserve"> genetic variants has identified rare neurological conditions in which </w:t>
      </w:r>
      <w:r w:rsidRPr="004A1368">
        <w:rPr>
          <w:rFonts w:ascii="Verdana" w:hAnsi="Verdana"/>
        </w:rPr>
        <w:t>particular variants</w:t>
      </w:r>
      <w:r w:rsidRPr="004A1368">
        <w:rPr>
          <w:rFonts w:ascii="Verdana" w:hAnsi="Verdana"/>
        </w:rPr>
        <w:t xml:space="preserve"> may confer temperature-sensitive phenotypes, illustrating one mechanism by which environmental change and individual biological susceptibility could interact.[17]</w:t>
      </w:r>
    </w:p>
    <w:p w:rsidR="009E2340" w:rsidRPr="004A1368" w:rsidP="009E2340">
      <w:pPr>
        <w:rPr>
          <w:rFonts w:ascii="Verdana" w:hAnsi="Verdana"/>
        </w:rPr>
      </w:pPr>
      <w:r w:rsidRPr="004A1368">
        <w:rPr>
          <w:rFonts w:ascii="Verdana" w:hAnsi="Verdana"/>
        </w:rPr>
        <w:t xml:space="preserve">S95. </w:t>
      </w:r>
      <w:r w:rsidRPr="004A1368" w:rsidR="00CB4964">
        <w:rPr>
          <w:rFonts w:ascii="Verdana" w:hAnsi="Verdana"/>
        </w:rPr>
        <w:t>The point is not to advocate routine genetic screening, but to demonstrate why exposure and vulnerability cannot always be understood independently and why static population categories may not capture changing individual risk.</w:t>
      </w:r>
    </w:p>
    <w:p w:rsidR="009E2340" w:rsidRPr="004A1368" w:rsidP="009E2340">
      <w:pPr>
        <w:rPr>
          <w:rFonts w:ascii="Verdana" w:hAnsi="Verdana"/>
        </w:rPr>
      </w:pPr>
      <w:r w:rsidRPr="004A1368">
        <w:rPr>
          <w:rFonts w:ascii="Verdana" w:hAnsi="Verdana"/>
        </w:rPr>
        <w:t xml:space="preserve">S96. The Red Extreme Heat Warning and red heat-health alerts issued across parts of England in June 2026 provide immediate operational context for this </w:t>
      </w:r>
      <w:r w:rsidRPr="004A1368">
        <w:rPr>
          <w:rFonts w:ascii="Verdana" w:hAnsi="Verdana"/>
        </w:rPr>
        <w:t>point.[</w:t>
      </w:r>
      <w:r w:rsidRPr="004A1368">
        <w:rPr>
          <w:rFonts w:ascii="Verdana" w:hAnsi="Verdana"/>
        </w:rPr>
        <w:t>18,19] They indicate potential effects not only on individual health, but also on health and social care services, transport, energy, water, and wider infrastructure.</w:t>
      </w:r>
    </w:p>
    <w:p w:rsidR="009E2340" w:rsidRPr="004A1368" w:rsidP="009E2340">
      <w:pPr>
        <w:rPr>
          <w:rFonts w:ascii="Verdana" w:hAnsi="Verdana"/>
        </w:rPr>
      </w:pPr>
      <w:r w:rsidRPr="004A1368">
        <w:rPr>
          <w:rFonts w:ascii="Verdana" w:hAnsi="Verdana"/>
        </w:rPr>
        <w:t>S97. This contemporaneous event is illustrative rather than the evidential basis of the recommendation. The structural issue is that heat exposure, individual susceptibility, treatment, sleep, buildings, staffing, and service capacity interact.</w:t>
      </w:r>
    </w:p>
    <w:p w:rsidR="009E2340" w:rsidRPr="004A1368" w:rsidP="009E2340">
      <w:pPr>
        <w:rPr>
          <w:rFonts w:ascii="Verdana" w:hAnsi="Verdana"/>
        </w:rPr>
      </w:pPr>
      <w:r w:rsidRPr="004A1368">
        <w:rPr>
          <w:rFonts w:ascii="Verdana" w:hAnsi="Verdana"/>
        </w:rPr>
        <w:t>S98. Dynamic monitoring may sometimes help identify who is becoming vulnerable and when intervention is required. However, it cannot compensate for overheated buildings, inadequate staffing, unsafe working conditions, or fragile infrastructure.</w:t>
      </w:r>
    </w:p>
    <w:p w:rsidR="009E2340" w:rsidRPr="004A1368" w:rsidP="009E2340">
      <w:pPr>
        <w:rPr>
          <w:rFonts w:ascii="Verdana" w:hAnsi="Verdana"/>
        </w:rPr>
      </w:pPr>
      <w:r w:rsidRPr="004A1368">
        <w:rPr>
          <w:rFonts w:ascii="Verdana" w:hAnsi="Verdana"/>
        </w:rPr>
        <w:t>S99. Personalisation and system resilience are therefore complementary, not interchangeable. Personalised medicine may help indicate who is at risk and when that risk is changing; the health and care system must still be capable of acting on that information safely.</w:t>
      </w:r>
    </w:p>
    <w:p w:rsidR="001635E3" w:rsidRPr="004A1368" w:rsidP="009E2340">
      <w:pPr>
        <w:rPr>
          <w:rFonts w:ascii="Verdana" w:hAnsi="Verdana"/>
        </w:rPr>
      </w:pPr>
    </w:p>
    <w:p w:rsidR="009E2340" w:rsidRPr="004A1368" w:rsidP="009E2340">
      <w:pPr>
        <w:rPr>
          <w:rFonts w:ascii="Verdana" w:hAnsi="Verdana"/>
          <w:b/>
          <w:bCs/>
        </w:rPr>
      </w:pPr>
      <w:r w:rsidRPr="004A1368">
        <w:rPr>
          <w:rFonts w:ascii="Verdana" w:hAnsi="Verdana"/>
          <w:b/>
          <w:bCs/>
        </w:rPr>
        <w:t>PROTECT TRANSLATIONAL CAPACITY</w:t>
      </w:r>
    </w:p>
    <w:p w:rsidR="009E2340" w:rsidRPr="004A1368" w:rsidP="009E2340">
      <w:pPr>
        <w:rPr>
          <w:rFonts w:ascii="Verdana" w:hAnsi="Verdana"/>
          <w:b/>
          <w:bCs/>
        </w:rPr>
      </w:pPr>
      <w:r w:rsidRPr="004A1368">
        <w:rPr>
          <w:rFonts w:ascii="Verdana" w:hAnsi="Verdana"/>
          <w:b/>
          <w:bCs/>
        </w:rPr>
        <w:t>Clinical academics and boundary-spanning professionals are implementation infrastructure</w:t>
      </w:r>
    </w:p>
    <w:p w:rsidR="009E2340" w:rsidRPr="004A1368" w:rsidP="009E2340">
      <w:pPr>
        <w:rPr>
          <w:rFonts w:ascii="Verdana" w:hAnsi="Verdana"/>
        </w:rPr>
      </w:pPr>
      <w:r w:rsidRPr="004A1368">
        <w:rPr>
          <w:rFonts w:ascii="Verdana" w:hAnsi="Verdana"/>
        </w:rPr>
        <w:t>S100. Clinical academics and other boundary-spanning professionals connect biological understanding, clinical need, study design, data science, regulation, industry, health economics, and pathway implementation.</w:t>
      </w:r>
    </w:p>
    <w:p w:rsidR="009E2340" w:rsidRPr="004A1368" w:rsidP="009E2340">
      <w:pPr>
        <w:rPr>
          <w:rFonts w:ascii="Verdana" w:hAnsi="Verdana"/>
        </w:rPr>
      </w:pPr>
      <w:r w:rsidRPr="004A1368">
        <w:rPr>
          <w:rFonts w:ascii="Verdana" w:hAnsi="Verdana"/>
        </w:rPr>
        <w:t>S101. They are not ancillary to the innovation system. They are part of the infrastructure through which innovation becomes clinically meaningful, testable, governable, and adoptable.</w:t>
      </w:r>
    </w:p>
    <w:p w:rsidR="009E2340" w:rsidRPr="004A1368" w:rsidP="009E2340">
      <w:pPr>
        <w:rPr>
          <w:rFonts w:ascii="Verdana" w:hAnsi="Verdana"/>
        </w:rPr>
      </w:pPr>
      <w:r w:rsidRPr="004A1368">
        <w:rPr>
          <w:rFonts w:ascii="Verdana" w:hAnsi="Verdana"/>
        </w:rPr>
        <w:t xml:space="preserve">S102. The clinical-academic problem extends beyond recruitment into training. Loss at the transition to independence removes people just as they acquire the </w:t>
      </w:r>
      <w:r w:rsidRPr="004A1368">
        <w:rPr>
          <w:rFonts w:ascii="Verdana" w:hAnsi="Verdana"/>
        </w:rPr>
        <w:t>experience required to lead complex programmes and accept responsibility across institutional boundaries.</w:t>
      </w:r>
    </w:p>
    <w:p w:rsidR="009E2340" w:rsidRPr="004A1368" w:rsidP="009E2340">
      <w:pPr>
        <w:rPr>
          <w:rFonts w:ascii="Verdana" w:hAnsi="Verdana"/>
        </w:rPr>
      </w:pPr>
      <w:r w:rsidRPr="004A1368">
        <w:rPr>
          <w:rFonts w:ascii="Verdana" w:hAnsi="Verdana"/>
        </w:rPr>
        <w:t>S103. The MRC has described the decline in UK clinical researchers as a threat to population health and economic growth and has called for action on career structures and research capacity.[20]</w:t>
      </w:r>
    </w:p>
    <w:p w:rsidR="009E2340" w:rsidRPr="004A1368" w:rsidP="009E2340">
      <w:pPr>
        <w:rPr>
          <w:rFonts w:ascii="Verdana" w:hAnsi="Verdana"/>
        </w:rPr>
      </w:pPr>
      <w:r w:rsidRPr="004A1368">
        <w:rPr>
          <w:rFonts w:ascii="Verdana" w:hAnsi="Verdana"/>
        </w:rPr>
        <w:t>S104. Policy should therefore support:</w:t>
      </w:r>
    </w:p>
    <w:p w:rsidR="009E2340" w:rsidRPr="004A1368" w:rsidP="002B052E">
      <w:pPr>
        <w:pStyle w:val="ListParagraph"/>
        <w:numPr>
          <w:ilvl w:val="0"/>
          <w:numId w:val="21"/>
        </w:numPr>
        <w:rPr>
          <w:rFonts w:ascii="Verdana" w:hAnsi="Verdana"/>
        </w:rPr>
      </w:pPr>
      <w:r w:rsidRPr="004A1368">
        <w:rPr>
          <w:rFonts w:ascii="Verdana" w:hAnsi="Verdana"/>
        </w:rPr>
        <w:t>viable hybrid posts;</w:t>
      </w:r>
    </w:p>
    <w:p w:rsidR="009E2340" w:rsidRPr="004A1368" w:rsidP="002B052E">
      <w:pPr>
        <w:pStyle w:val="ListParagraph"/>
        <w:numPr>
          <w:ilvl w:val="0"/>
          <w:numId w:val="21"/>
        </w:numPr>
        <w:rPr>
          <w:rFonts w:ascii="Verdana" w:hAnsi="Verdana"/>
        </w:rPr>
      </w:pPr>
      <w:r w:rsidRPr="004A1368">
        <w:rPr>
          <w:rFonts w:ascii="Verdana" w:hAnsi="Verdana"/>
        </w:rPr>
        <w:t>protected research and implementation time;</w:t>
      </w:r>
    </w:p>
    <w:p w:rsidR="009E2340" w:rsidRPr="004A1368" w:rsidP="002B052E">
      <w:pPr>
        <w:pStyle w:val="ListParagraph"/>
        <w:numPr>
          <w:ilvl w:val="0"/>
          <w:numId w:val="21"/>
        </w:numPr>
        <w:rPr>
          <w:rFonts w:ascii="Verdana" w:hAnsi="Verdana"/>
        </w:rPr>
      </w:pPr>
      <w:r w:rsidRPr="004A1368">
        <w:rPr>
          <w:rFonts w:ascii="Verdana" w:hAnsi="Verdana"/>
        </w:rPr>
        <w:t>bridge funding at vulnerable career transitions;</w:t>
      </w:r>
    </w:p>
    <w:p w:rsidR="009E2340" w:rsidRPr="004A1368" w:rsidP="002B052E">
      <w:pPr>
        <w:pStyle w:val="ListParagraph"/>
        <w:numPr>
          <w:ilvl w:val="0"/>
          <w:numId w:val="21"/>
        </w:numPr>
        <w:rPr>
          <w:rFonts w:ascii="Verdana" w:hAnsi="Verdana"/>
        </w:rPr>
      </w:pPr>
      <w:r w:rsidRPr="004A1368">
        <w:rPr>
          <w:rFonts w:ascii="Verdana" w:hAnsi="Verdana"/>
        </w:rPr>
        <w:t>institutional co-investment;</w:t>
      </w:r>
    </w:p>
    <w:p w:rsidR="009E2340" w:rsidRPr="004A1368" w:rsidP="002B052E">
      <w:pPr>
        <w:pStyle w:val="ListParagraph"/>
        <w:numPr>
          <w:ilvl w:val="0"/>
          <w:numId w:val="21"/>
        </w:numPr>
        <w:rPr>
          <w:rFonts w:ascii="Verdana" w:hAnsi="Verdana"/>
        </w:rPr>
      </w:pPr>
      <w:r w:rsidRPr="004A1368">
        <w:rPr>
          <w:rFonts w:ascii="Verdana" w:hAnsi="Verdana"/>
        </w:rPr>
        <w:t>access to mentorship and sponsorship;</w:t>
      </w:r>
    </w:p>
    <w:p w:rsidR="009E2340" w:rsidRPr="004A1368" w:rsidP="002B052E">
      <w:pPr>
        <w:pStyle w:val="ListParagraph"/>
        <w:numPr>
          <w:ilvl w:val="0"/>
          <w:numId w:val="21"/>
        </w:numPr>
        <w:rPr>
          <w:rFonts w:ascii="Verdana" w:hAnsi="Verdana"/>
        </w:rPr>
      </w:pPr>
      <w:r w:rsidRPr="004A1368">
        <w:rPr>
          <w:rFonts w:ascii="Verdana" w:hAnsi="Verdana"/>
        </w:rPr>
        <w:t>and structured opportunities to take meaningful responsibility for delivery.</w:t>
      </w:r>
    </w:p>
    <w:p w:rsidR="009E2340" w:rsidRPr="004A1368" w:rsidP="009E2340">
      <w:pPr>
        <w:rPr>
          <w:rFonts w:ascii="Verdana" w:hAnsi="Verdana"/>
        </w:rPr>
      </w:pPr>
      <w:r w:rsidRPr="004A1368">
        <w:rPr>
          <w:rFonts w:ascii="Verdana" w:hAnsi="Verdana"/>
        </w:rPr>
        <w:t xml:space="preserve">S105. </w:t>
      </w:r>
      <w:r w:rsidRPr="004A1368" w:rsidR="002B052E">
        <w:rPr>
          <w:rFonts w:ascii="Verdana" w:hAnsi="Verdana"/>
        </w:rPr>
        <w:t>The</w:t>
      </w:r>
      <w:r w:rsidRPr="004A1368">
        <w:rPr>
          <w:rFonts w:ascii="Verdana" w:hAnsi="Verdana"/>
        </w:rPr>
        <w:t xml:space="preserve"> charity Altitude Physiology Expeditions illustrates what early translational development can look like in practice. Its student-led model gives participants meaningful responsibility for question formulation, governance, </w:t>
      </w:r>
      <w:r w:rsidRPr="004A1368" w:rsidR="00154105">
        <w:rPr>
          <w:rFonts w:ascii="Verdana" w:hAnsi="Verdana"/>
        </w:rPr>
        <w:t>logistically challenging</w:t>
      </w:r>
      <w:r w:rsidRPr="004A1368">
        <w:rPr>
          <w:rFonts w:ascii="Verdana" w:hAnsi="Verdana"/>
        </w:rPr>
        <w:t xml:space="preserve"> field studies, participant-facing work, data collection, and operational decisions within a supervised structure.</w:t>
      </w:r>
    </w:p>
    <w:p w:rsidR="009E2340" w:rsidRPr="004A1368" w:rsidP="009E2340">
      <w:pPr>
        <w:rPr>
          <w:rFonts w:ascii="Verdana" w:hAnsi="Verdana"/>
        </w:rPr>
      </w:pPr>
      <w:r w:rsidRPr="004A1368">
        <w:rPr>
          <w:rFonts w:ascii="Verdana" w:hAnsi="Verdana"/>
        </w:rPr>
        <w:t xml:space="preserve">S106. The </w:t>
      </w:r>
      <w:r w:rsidRPr="004A1368" w:rsidR="00154105">
        <w:rPr>
          <w:rFonts w:ascii="Verdana" w:hAnsi="Verdana"/>
        </w:rPr>
        <w:t xml:space="preserve">key </w:t>
      </w:r>
      <w:r w:rsidRPr="004A1368">
        <w:rPr>
          <w:rFonts w:ascii="Verdana" w:hAnsi="Verdana"/>
        </w:rPr>
        <w:t>lesson is that translational judgement is developed by being trusted with meaningful responsibility while receiving strong mentorship and appropriate oversight.</w:t>
      </w:r>
    </w:p>
    <w:p w:rsidR="009E2340" w:rsidRPr="004A1368" w:rsidP="009E2340">
      <w:pPr>
        <w:rPr>
          <w:rFonts w:ascii="Verdana" w:hAnsi="Verdana"/>
        </w:rPr>
      </w:pPr>
      <w:r w:rsidRPr="004A1368">
        <w:rPr>
          <w:rFonts w:ascii="Verdana" w:hAnsi="Verdana"/>
        </w:rPr>
        <w:t>S107. Such programmes also demonstrate that small grants are insufficient without practical infrastructure: governance support, laboratory and storage access, purchasing, administration, senior sponsorship, and modest but reliable funding.</w:t>
      </w:r>
    </w:p>
    <w:p w:rsidR="009E2340" w:rsidRPr="004A1368" w:rsidP="009E2340">
      <w:pPr>
        <w:rPr>
          <w:rFonts w:ascii="Verdana" w:hAnsi="Verdana"/>
        </w:rPr>
      </w:pPr>
      <w:r w:rsidRPr="004A1368">
        <w:rPr>
          <w:rFonts w:ascii="Verdana" w:hAnsi="Verdana"/>
        </w:rPr>
        <w:t>S108. Funding an idea without funding the route to delivery reproduces the translational gap at the beginning of the clinical-academic pipeline.</w:t>
      </w:r>
    </w:p>
    <w:p w:rsidR="009E2340" w:rsidRPr="004A1368" w:rsidP="009E2340">
      <w:pPr>
        <w:rPr>
          <w:rFonts w:ascii="Verdana" w:hAnsi="Verdana"/>
        </w:rPr>
      </w:pPr>
      <w:r w:rsidRPr="004A1368">
        <w:rPr>
          <w:rFonts w:ascii="Verdana" w:hAnsi="Verdana"/>
        </w:rPr>
        <w:t>S109. The clinical-academic pipeline therefore needs more than entry points. It needs routes that allow trainees and early-career professionals to lead.</w:t>
      </w:r>
    </w:p>
    <w:p w:rsidR="009E2340" w:rsidRPr="004A1368" w:rsidP="009E2340">
      <w:pPr>
        <w:rPr>
          <w:rFonts w:ascii="Verdana" w:hAnsi="Verdana"/>
        </w:rPr>
      </w:pPr>
      <w:r w:rsidRPr="004A1368">
        <w:rPr>
          <w:rFonts w:ascii="Verdana" w:hAnsi="Verdana"/>
        </w:rPr>
        <w:t>S110. This capacity should extend beyond medically qualified clinical academics. Nurses, allied health professionals, pharmacists, veterinarians, engineers, statisticians, data scientists, and operational leaders can all occupy boundary-spanning roles.</w:t>
      </w:r>
    </w:p>
    <w:p w:rsidR="009E2340" w:rsidRPr="004A1368" w:rsidP="009E2340">
      <w:pPr>
        <w:rPr>
          <w:rFonts w:ascii="Verdana" w:hAnsi="Verdana"/>
        </w:rPr>
      </w:pPr>
      <w:r w:rsidRPr="004A1368">
        <w:rPr>
          <w:rFonts w:ascii="Verdana" w:hAnsi="Verdana"/>
        </w:rPr>
        <w:t>S111. What matters is relevant expertise, protected authority, mentorship, and accountability for implementation—not expecting translation to occur informally in people’s spare time.</w:t>
      </w:r>
    </w:p>
    <w:p w:rsidR="003C647D" w:rsidRPr="004A1368" w:rsidP="009E2340">
      <w:pPr>
        <w:rPr>
          <w:rFonts w:ascii="Verdana" w:hAnsi="Verdana"/>
        </w:rPr>
      </w:pPr>
    </w:p>
    <w:p w:rsidR="009E2340" w:rsidRPr="004A1368" w:rsidP="009E2340">
      <w:pPr>
        <w:rPr>
          <w:rFonts w:ascii="Verdana" w:hAnsi="Verdana"/>
          <w:b/>
          <w:bCs/>
        </w:rPr>
      </w:pPr>
      <w:r w:rsidRPr="004A1368">
        <w:rPr>
          <w:rFonts w:ascii="Verdana" w:hAnsi="Verdana"/>
          <w:b/>
          <w:bCs/>
        </w:rPr>
        <w:t>USE NHS DIVERSITY AS A REAL-WORLD EVALUATION ASSET</w:t>
      </w:r>
    </w:p>
    <w:p w:rsidR="009E2340" w:rsidRPr="004A1368" w:rsidP="009E2340">
      <w:pPr>
        <w:rPr>
          <w:rFonts w:ascii="Verdana" w:hAnsi="Verdana"/>
        </w:rPr>
      </w:pPr>
      <w:r w:rsidRPr="004A1368">
        <w:rPr>
          <w:rFonts w:ascii="Verdana" w:hAnsi="Verdana"/>
        </w:rPr>
        <w:t xml:space="preserve">S112. Variation across the NHS is currently a major cause of unequal adoption, but it could also become a </w:t>
      </w:r>
      <w:r w:rsidRPr="004A1368" w:rsidR="00322D72">
        <w:rPr>
          <w:rFonts w:ascii="Verdana" w:hAnsi="Verdana"/>
        </w:rPr>
        <w:t>sovereign</w:t>
      </w:r>
      <w:r w:rsidRPr="004A1368">
        <w:rPr>
          <w:rFonts w:ascii="Verdana" w:hAnsi="Verdana"/>
        </w:rPr>
        <w:t xml:space="preserve"> evaluation asset.</w:t>
      </w:r>
    </w:p>
    <w:p w:rsidR="009E2340" w:rsidRPr="004A1368" w:rsidP="009E2340">
      <w:pPr>
        <w:rPr>
          <w:rFonts w:ascii="Verdana" w:hAnsi="Verdana"/>
        </w:rPr>
      </w:pPr>
      <w:r w:rsidRPr="004A1368">
        <w:rPr>
          <w:rFonts w:ascii="Verdana" w:hAnsi="Verdana"/>
        </w:rPr>
        <w:t>S113. Differences in population, deprivation, geography, workflow, staffing, infrastructure, and digital maturity provide a demanding test of whether an intervention is robust, equitable, and transferable.</w:t>
      </w:r>
    </w:p>
    <w:p w:rsidR="009E2340" w:rsidRPr="004A1368" w:rsidP="009E2340">
      <w:pPr>
        <w:rPr>
          <w:rFonts w:ascii="Verdana" w:hAnsi="Verdana"/>
        </w:rPr>
      </w:pPr>
      <w:r w:rsidRPr="004A1368">
        <w:rPr>
          <w:rFonts w:ascii="Verdana" w:hAnsi="Verdana"/>
        </w:rPr>
        <w:t>S114. A cross-sectional analysis of 111 acute non-specialist NHS trusts found an association between greater digital maturity and lower estimated technical inefficiency, with pathway-optimisation and population-health-management domains showing stronger associations than some other digital domains.[21]</w:t>
      </w:r>
    </w:p>
    <w:p w:rsidR="009E2340" w:rsidRPr="004A1368" w:rsidP="009E2340">
      <w:pPr>
        <w:rPr>
          <w:rFonts w:ascii="Verdana" w:hAnsi="Verdana"/>
        </w:rPr>
      </w:pPr>
      <w:r w:rsidRPr="004A1368">
        <w:rPr>
          <w:rFonts w:ascii="Verdana" w:hAnsi="Verdana"/>
        </w:rPr>
        <w:t>S115. The analysis was observational and sensitive to modelling assumptions, so it does not establish that digital maturity caused greater efficiency. It nevertheless supports an important distinction: value is more likely to arise from integrating technology into pathways and population management than from acquiring technology alone.</w:t>
      </w:r>
    </w:p>
    <w:p w:rsidR="009E2340" w:rsidRPr="004A1368" w:rsidP="009E2340">
      <w:pPr>
        <w:rPr>
          <w:rFonts w:ascii="Verdana" w:hAnsi="Verdana"/>
        </w:rPr>
      </w:pPr>
      <w:r w:rsidRPr="004A1368">
        <w:rPr>
          <w:rFonts w:ascii="Verdana" w:hAnsi="Verdana"/>
        </w:rPr>
        <w:t xml:space="preserve">S116. The NHS could deliberately use its diversity as a distributed real-world validation environment. An intervention that performs across different populations, levels of deprivation, geographies, workforce configurations, digital systems, and patterns of care </w:t>
      </w:r>
      <w:r w:rsidRPr="004A1368" w:rsidR="003274BD">
        <w:rPr>
          <w:rFonts w:ascii="Verdana" w:hAnsi="Verdana"/>
        </w:rPr>
        <w:t>offers</w:t>
      </w:r>
      <w:r w:rsidRPr="004A1368">
        <w:rPr>
          <w:rFonts w:ascii="Verdana" w:hAnsi="Verdana"/>
        </w:rPr>
        <w:t xml:space="preserve"> stronger evidence of robustness and transferability than one tested only in a highly controlled or unusually well-resourced setting.</w:t>
      </w:r>
    </w:p>
    <w:p w:rsidR="009E2340" w:rsidRPr="004A1368" w:rsidP="009E2340">
      <w:pPr>
        <w:rPr>
          <w:rFonts w:ascii="Verdana" w:hAnsi="Verdana"/>
        </w:rPr>
      </w:pPr>
      <w:r w:rsidRPr="004A1368">
        <w:rPr>
          <w:rFonts w:ascii="Verdana" w:hAnsi="Verdana"/>
        </w:rPr>
        <w:t>S117. This requires a common core of data quality, outcome definitions, safety reporting, interoperability, and subgroup analysis.</w:t>
      </w:r>
    </w:p>
    <w:p w:rsidR="009E2340" w:rsidRPr="004A1368" w:rsidP="009E2340">
      <w:pPr>
        <w:rPr>
          <w:rFonts w:ascii="Verdana" w:hAnsi="Verdana"/>
        </w:rPr>
      </w:pPr>
      <w:r w:rsidRPr="004A1368">
        <w:rPr>
          <w:rFonts w:ascii="Verdana" w:hAnsi="Verdana"/>
        </w:rPr>
        <w:t>S118. Local variation should test whether an intervention is adaptable. It should not permit fundamental evidential or safety standards to vary.</w:t>
      </w:r>
    </w:p>
    <w:p w:rsidR="009E2340" w:rsidRPr="004A1368" w:rsidP="009E2340">
      <w:pPr>
        <w:rPr>
          <w:rFonts w:ascii="Verdana" w:hAnsi="Verdana"/>
        </w:rPr>
      </w:pPr>
      <w:r w:rsidRPr="004A1368">
        <w:rPr>
          <w:rFonts w:ascii="Verdana" w:hAnsi="Verdana"/>
        </w:rPr>
        <w:t xml:space="preserve">S119. Successful implementation should generate evidence and assurance that can be transferred between settings rather than requiring every organisation to start </w:t>
      </w:r>
      <w:r w:rsidRPr="004A1368" w:rsidR="00F72307">
        <w:rPr>
          <w:rFonts w:ascii="Verdana" w:hAnsi="Verdana"/>
        </w:rPr>
        <w:t>from scratch.</w:t>
      </w:r>
    </w:p>
    <w:p w:rsidR="00F72307" w:rsidRPr="004A1368" w:rsidP="009E2340">
      <w:pPr>
        <w:rPr>
          <w:rFonts w:ascii="Verdana" w:hAnsi="Verdana"/>
        </w:rPr>
      </w:pPr>
    </w:p>
    <w:p w:rsidR="009E2340" w:rsidRPr="004A1368" w:rsidP="009E2340">
      <w:pPr>
        <w:rPr>
          <w:rFonts w:ascii="Verdana" w:hAnsi="Verdana"/>
          <w:b/>
          <w:bCs/>
        </w:rPr>
      </w:pPr>
      <w:r w:rsidRPr="004A1368">
        <w:rPr>
          <w:rFonts w:ascii="Verdana" w:hAnsi="Verdana"/>
          <w:b/>
          <w:bCs/>
        </w:rPr>
        <w:t>PUBLIC TRUST AND PROPORTIONATE DATA USE</w:t>
      </w:r>
    </w:p>
    <w:p w:rsidR="009E2340" w:rsidRPr="004A1368" w:rsidP="009E2340">
      <w:pPr>
        <w:rPr>
          <w:rFonts w:ascii="Verdana" w:hAnsi="Verdana"/>
        </w:rPr>
      </w:pPr>
      <w:r w:rsidRPr="004A1368">
        <w:rPr>
          <w:rFonts w:ascii="Verdana" w:hAnsi="Verdana"/>
        </w:rPr>
        <w:t>S120. Public trust depends on more than data security. It also depends on whether the purpose of data collection is intelligible, the amount collected is proportionate, errors can be challenged, commercial relationships are transparent, and patients can see a plausible public or personal benefit.</w:t>
      </w:r>
    </w:p>
    <w:p w:rsidR="009E2340" w:rsidRPr="004A1368" w:rsidP="009E2340">
      <w:pPr>
        <w:rPr>
          <w:rFonts w:ascii="Verdana" w:hAnsi="Verdana"/>
        </w:rPr>
      </w:pPr>
      <w:r w:rsidRPr="004A1368">
        <w:rPr>
          <w:rFonts w:ascii="Verdana" w:hAnsi="Verdana"/>
        </w:rPr>
        <w:t>S121. Personalised medicine should not become synonymous with permanent surveillance or maximal data accumulation.</w:t>
      </w:r>
    </w:p>
    <w:p w:rsidR="009E2340" w:rsidRPr="004A1368" w:rsidP="009E2340">
      <w:pPr>
        <w:rPr>
          <w:rFonts w:ascii="Verdana" w:hAnsi="Verdana"/>
        </w:rPr>
      </w:pPr>
      <w:r w:rsidRPr="004A1368">
        <w:rPr>
          <w:rFonts w:ascii="Verdana" w:hAnsi="Verdana"/>
        </w:rPr>
        <w:t>S122. The relevant principle is to collect and retain the minimum information required to improve a defined decision, including temporal and contextual information where these alter interpretation.</w:t>
      </w:r>
      <w:r w:rsidRPr="004A1368" w:rsidR="00365470">
        <w:rPr>
          <w:rFonts w:ascii="Verdana" w:hAnsi="Verdana"/>
        </w:rPr>
        <w:t xml:space="preserve"> </w:t>
      </w:r>
      <w:r w:rsidRPr="004A1368" w:rsidR="00B8362A">
        <w:rPr>
          <w:rFonts w:ascii="Verdana" w:hAnsi="Verdana"/>
        </w:rPr>
        <w:t>Data minimisation should not, however, prevent the proportionate retention and review of unexpected signals where a transparent scientific or clinical assessment indicates that they may be consequential.</w:t>
      </w:r>
    </w:p>
    <w:p w:rsidR="009E2340" w:rsidRPr="004A1368" w:rsidP="009E2340">
      <w:pPr>
        <w:rPr>
          <w:rFonts w:ascii="Verdana" w:hAnsi="Verdana"/>
        </w:rPr>
      </w:pPr>
      <w:r w:rsidRPr="004A1368">
        <w:rPr>
          <w:rFonts w:ascii="Verdana" w:hAnsi="Verdana"/>
        </w:rPr>
        <w:t>S123. Low-burden monitoring that produces a visible clinical benefit may be easier to justify publicly than broad predictive claims detached from a clear pathway or action.</w:t>
      </w:r>
    </w:p>
    <w:p w:rsidR="009E2340" w:rsidRPr="004A1368" w:rsidP="009E2340">
      <w:pPr>
        <w:rPr>
          <w:rFonts w:ascii="Verdana" w:hAnsi="Verdana"/>
        </w:rPr>
      </w:pPr>
      <w:r w:rsidRPr="004A1368">
        <w:rPr>
          <w:rFonts w:ascii="Verdana" w:hAnsi="Verdana"/>
        </w:rPr>
        <w:t>S124. Governance should therefore begin with intended use. Patients and professionals should be able to understand:</w:t>
      </w:r>
    </w:p>
    <w:p w:rsidR="009E2340" w:rsidRPr="004A1368" w:rsidP="007963CC">
      <w:pPr>
        <w:pStyle w:val="ListParagraph"/>
        <w:numPr>
          <w:ilvl w:val="0"/>
          <w:numId w:val="22"/>
        </w:numPr>
        <w:rPr>
          <w:rFonts w:ascii="Verdana" w:hAnsi="Verdana"/>
        </w:rPr>
      </w:pPr>
      <w:r w:rsidRPr="004A1368">
        <w:rPr>
          <w:rFonts w:ascii="Verdana" w:hAnsi="Verdana"/>
        </w:rPr>
        <w:t>what is being measured;</w:t>
      </w:r>
    </w:p>
    <w:p w:rsidR="009E2340" w:rsidRPr="004A1368" w:rsidP="007963CC">
      <w:pPr>
        <w:pStyle w:val="ListParagraph"/>
        <w:numPr>
          <w:ilvl w:val="0"/>
          <w:numId w:val="22"/>
        </w:numPr>
        <w:rPr>
          <w:rFonts w:ascii="Verdana" w:hAnsi="Verdana"/>
        </w:rPr>
      </w:pPr>
      <w:r w:rsidRPr="004A1368">
        <w:rPr>
          <w:rFonts w:ascii="Verdana" w:hAnsi="Verdana"/>
        </w:rPr>
        <w:t>why it is required;</w:t>
      </w:r>
    </w:p>
    <w:p w:rsidR="009E2340" w:rsidRPr="004A1368" w:rsidP="007963CC">
      <w:pPr>
        <w:pStyle w:val="ListParagraph"/>
        <w:numPr>
          <w:ilvl w:val="0"/>
          <w:numId w:val="22"/>
        </w:numPr>
        <w:rPr>
          <w:rFonts w:ascii="Verdana" w:hAnsi="Verdana"/>
        </w:rPr>
      </w:pPr>
      <w:r w:rsidRPr="004A1368">
        <w:rPr>
          <w:rFonts w:ascii="Verdana" w:hAnsi="Verdana"/>
        </w:rPr>
        <w:t>who will use the result;</w:t>
      </w:r>
    </w:p>
    <w:p w:rsidR="009E2340" w:rsidRPr="004A1368" w:rsidP="007963CC">
      <w:pPr>
        <w:pStyle w:val="ListParagraph"/>
        <w:numPr>
          <w:ilvl w:val="0"/>
          <w:numId w:val="22"/>
        </w:numPr>
        <w:rPr>
          <w:rFonts w:ascii="Verdana" w:hAnsi="Verdana"/>
        </w:rPr>
      </w:pPr>
      <w:r w:rsidRPr="004A1368">
        <w:rPr>
          <w:rFonts w:ascii="Verdana" w:hAnsi="Verdana"/>
        </w:rPr>
        <w:t>what action may follow;</w:t>
      </w:r>
    </w:p>
    <w:p w:rsidR="009E2340" w:rsidRPr="004A1368" w:rsidP="007963CC">
      <w:pPr>
        <w:pStyle w:val="ListParagraph"/>
        <w:numPr>
          <w:ilvl w:val="0"/>
          <w:numId w:val="22"/>
        </w:numPr>
        <w:rPr>
          <w:rFonts w:ascii="Verdana" w:hAnsi="Verdana"/>
        </w:rPr>
      </w:pPr>
      <w:r w:rsidRPr="004A1368">
        <w:rPr>
          <w:rFonts w:ascii="Verdana" w:hAnsi="Verdana"/>
        </w:rPr>
        <w:t>how long the information will be retained;</w:t>
      </w:r>
    </w:p>
    <w:p w:rsidR="009E2340" w:rsidRPr="004A1368" w:rsidP="007963CC">
      <w:pPr>
        <w:pStyle w:val="ListParagraph"/>
        <w:numPr>
          <w:ilvl w:val="0"/>
          <w:numId w:val="22"/>
        </w:numPr>
        <w:rPr>
          <w:rFonts w:ascii="Verdana" w:hAnsi="Verdana"/>
        </w:rPr>
      </w:pPr>
      <w:r w:rsidRPr="004A1368">
        <w:rPr>
          <w:rFonts w:ascii="Verdana" w:hAnsi="Verdana"/>
        </w:rPr>
        <w:t>what commercial relationships exist;</w:t>
      </w:r>
    </w:p>
    <w:p w:rsidR="00AB27A3" w:rsidRPr="004A1368" w:rsidP="009E2340">
      <w:pPr>
        <w:pStyle w:val="ListParagraph"/>
        <w:numPr>
          <w:ilvl w:val="0"/>
          <w:numId w:val="22"/>
        </w:numPr>
        <w:rPr>
          <w:rFonts w:ascii="Verdana" w:hAnsi="Verdana"/>
        </w:rPr>
      </w:pPr>
      <w:r w:rsidRPr="004A1368">
        <w:rPr>
          <w:rFonts w:ascii="Verdana" w:hAnsi="Verdana"/>
        </w:rPr>
        <w:t>and what happens if the system is uncertain or wrong.</w:t>
      </w:r>
    </w:p>
    <w:p w:rsidR="00FA4770" w:rsidRPr="004A1368" w:rsidP="009E2340">
      <w:pPr>
        <w:rPr>
          <w:rFonts w:ascii="Verdana" w:hAnsi="Verdana"/>
          <w:b/>
          <w:bCs/>
        </w:rPr>
      </w:pPr>
    </w:p>
    <w:p w:rsidR="009E2340" w:rsidRPr="004A1368" w:rsidP="009E2340">
      <w:pPr>
        <w:rPr>
          <w:rFonts w:ascii="Verdana" w:hAnsi="Verdana"/>
          <w:b/>
          <w:bCs/>
        </w:rPr>
      </w:pPr>
      <w:r w:rsidRPr="004A1368">
        <w:rPr>
          <w:rFonts w:ascii="Verdana" w:hAnsi="Verdana"/>
          <w:b/>
          <w:bCs/>
        </w:rPr>
        <w:t>INTEROPERABILITY, PROCUREMENT, AND MODEL RESILIENCE</w:t>
      </w:r>
    </w:p>
    <w:p w:rsidR="009E2340" w:rsidRPr="004A1368" w:rsidP="009E2340">
      <w:pPr>
        <w:rPr>
          <w:rFonts w:ascii="Verdana" w:hAnsi="Verdana"/>
        </w:rPr>
      </w:pPr>
      <w:r w:rsidRPr="004A1368">
        <w:rPr>
          <w:rFonts w:ascii="Verdana" w:hAnsi="Verdana"/>
        </w:rPr>
        <w:t>S125. Interoperability and exit arrangements should be treated as clinical and financial safeguards, not secondary technical matters.</w:t>
      </w:r>
    </w:p>
    <w:p w:rsidR="009E2340" w:rsidRPr="004A1368" w:rsidP="009E2340">
      <w:pPr>
        <w:rPr>
          <w:rFonts w:ascii="Verdana" w:hAnsi="Verdana"/>
        </w:rPr>
      </w:pPr>
      <w:r w:rsidRPr="004A1368">
        <w:rPr>
          <w:rFonts w:ascii="Verdana" w:hAnsi="Verdana"/>
        </w:rPr>
        <w:t>S126. Every significant AI procurement should address:</w:t>
      </w:r>
    </w:p>
    <w:p w:rsidR="009E2340" w:rsidRPr="004A1368" w:rsidP="00A071A4">
      <w:pPr>
        <w:pStyle w:val="ListParagraph"/>
        <w:numPr>
          <w:ilvl w:val="0"/>
          <w:numId w:val="23"/>
        </w:numPr>
        <w:rPr>
          <w:rFonts w:ascii="Verdana" w:hAnsi="Verdana"/>
        </w:rPr>
      </w:pPr>
      <w:r w:rsidRPr="004A1368">
        <w:rPr>
          <w:rFonts w:ascii="Verdana" w:hAnsi="Verdana"/>
        </w:rPr>
        <w:t>data portability;</w:t>
      </w:r>
    </w:p>
    <w:p w:rsidR="009E2340" w:rsidRPr="004A1368" w:rsidP="00A071A4">
      <w:pPr>
        <w:pStyle w:val="ListParagraph"/>
        <w:numPr>
          <w:ilvl w:val="0"/>
          <w:numId w:val="23"/>
        </w:numPr>
        <w:rPr>
          <w:rFonts w:ascii="Verdana" w:hAnsi="Verdana"/>
        </w:rPr>
      </w:pPr>
      <w:r w:rsidRPr="004A1368">
        <w:rPr>
          <w:rFonts w:ascii="Verdana" w:hAnsi="Verdana"/>
        </w:rPr>
        <w:t>open or well-documented interfaces;</w:t>
      </w:r>
    </w:p>
    <w:p w:rsidR="009E2340" w:rsidRPr="004A1368" w:rsidP="00A071A4">
      <w:pPr>
        <w:pStyle w:val="ListParagraph"/>
        <w:numPr>
          <w:ilvl w:val="0"/>
          <w:numId w:val="23"/>
        </w:numPr>
        <w:rPr>
          <w:rFonts w:ascii="Verdana" w:hAnsi="Verdana"/>
        </w:rPr>
      </w:pPr>
      <w:r w:rsidRPr="004A1368">
        <w:rPr>
          <w:rFonts w:ascii="Verdana" w:hAnsi="Verdana"/>
        </w:rPr>
        <w:t>model and software versioning;</w:t>
      </w:r>
    </w:p>
    <w:p w:rsidR="009E2340" w:rsidRPr="004A1368" w:rsidP="00A071A4">
      <w:pPr>
        <w:pStyle w:val="ListParagraph"/>
        <w:numPr>
          <w:ilvl w:val="0"/>
          <w:numId w:val="23"/>
        </w:numPr>
        <w:rPr>
          <w:rFonts w:ascii="Verdana" w:hAnsi="Verdana"/>
        </w:rPr>
      </w:pPr>
      <w:r w:rsidRPr="004A1368">
        <w:rPr>
          <w:rFonts w:ascii="Verdana" w:hAnsi="Verdana"/>
        </w:rPr>
        <w:t>access to audit information;</w:t>
      </w:r>
    </w:p>
    <w:p w:rsidR="009E2340" w:rsidRPr="004A1368" w:rsidP="00A071A4">
      <w:pPr>
        <w:pStyle w:val="ListParagraph"/>
        <w:numPr>
          <w:ilvl w:val="0"/>
          <w:numId w:val="23"/>
        </w:numPr>
        <w:rPr>
          <w:rFonts w:ascii="Verdana" w:hAnsi="Verdana"/>
        </w:rPr>
      </w:pPr>
      <w:r w:rsidRPr="004A1368">
        <w:rPr>
          <w:rFonts w:ascii="Verdana" w:hAnsi="Verdana"/>
        </w:rPr>
        <w:t>arrangements for updates and significant changes;</w:t>
      </w:r>
    </w:p>
    <w:p w:rsidR="009E2340" w:rsidRPr="004A1368" w:rsidP="00A071A4">
      <w:pPr>
        <w:pStyle w:val="ListParagraph"/>
        <w:numPr>
          <w:ilvl w:val="0"/>
          <w:numId w:val="23"/>
        </w:numPr>
        <w:rPr>
          <w:rFonts w:ascii="Verdana" w:hAnsi="Verdana"/>
        </w:rPr>
      </w:pPr>
      <w:r w:rsidRPr="004A1368">
        <w:rPr>
          <w:rFonts w:ascii="Verdana" w:hAnsi="Verdana"/>
        </w:rPr>
        <w:t>contingency procedures for maintaining safe care during system failure, suspension, or supplier withdrawal;</w:t>
      </w:r>
    </w:p>
    <w:p w:rsidR="009E2340" w:rsidRPr="004A1368" w:rsidP="00A071A4">
      <w:pPr>
        <w:pStyle w:val="ListParagraph"/>
        <w:numPr>
          <w:ilvl w:val="0"/>
          <w:numId w:val="23"/>
        </w:numPr>
        <w:rPr>
          <w:rFonts w:ascii="Verdana" w:hAnsi="Verdana"/>
        </w:rPr>
      </w:pPr>
      <w:r w:rsidRPr="004A1368">
        <w:rPr>
          <w:rFonts w:ascii="Verdana" w:hAnsi="Verdana"/>
        </w:rPr>
        <w:t>replacement of a model or supplier;</w:t>
      </w:r>
    </w:p>
    <w:p w:rsidR="009E2340" w:rsidRPr="004A1368" w:rsidP="00A071A4">
      <w:pPr>
        <w:pStyle w:val="ListParagraph"/>
        <w:numPr>
          <w:ilvl w:val="0"/>
          <w:numId w:val="23"/>
        </w:numPr>
        <w:rPr>
          <w:rFonts w:ascii="Verdana" w:hAnsi="Verdana"/>
        </w:rPr>
      </w:pPr>
      <w:r w:rsidRPr="004A1368">
        <w:rPr>
          <w:rFonts w:ascii="Verdana" w:hAnsi="Verdana"/>
        </w:rPr>
        <w:t>and continuity if a vendor withdraws or becomes insolvent.</w:t>
      </w:r>
    </w:p>
    <w:p w:rsidR="009E2340" w:rsidRPr="004A1368" w:rsidP="009E2340">
      <w:pPr>
        <w:rPr>
          <w:rFonts w:ascii="Verdana" w:hAnsi="Verdana"/>
        </w:rPr>
      </w:pPr>
      <w:r w:rsidRPr="004A1368">
        <w:rPr>
          <w:rFonts w:ascii="Verdana" w:hAnsi="Verdana"/>
        </w:rPr>
        <w:t>S127. The NHS should purchase replaceable capabilities rather than become dependent on indivisible proprietary ecosystems.</w:t>
      </w:r>
    </w:p>
    <w:p w:rsidR="009E2340" w:rsidRPr="004A1368" w:rsidP="009E2340">
      <w:pPr>
        <w:rPr>
          <w:rFonts w:ascii="Verdana" w:hAnsi="Verdana"/>
        </w:rPr>
      </w:pPr>
      <w:r w:rsidRPr="004A1368">
        <w:rPr>
          <w:rFonts w:ascii="Verdana" w:hAnsi="Verdana"/>
        </w:rPr>
        <w:t>S128. A technology may appear efficient in the short term while creating long-term costs if the pathway, data, or staff workflow cannot function without one supplier.</w:t>
      </w:r>
    </w:p>
    <w:p w:rsidR="009E2340" w:rsidRPr="004A1368" w:rsidP="009E2340">
      <w:pPr>
        <w:rPr>
          <w:rFonts w:ascii="Verdana" w:hAnsi="Verdana"/>
        </w:rPr>
      </w:pPr>
      <w:r w:rsidRPr="004A1368">
        <w:rPr>
          <w:rFonts w:ascii="Verdana" w:hAnsi="Verdana"/>
        </w:rPr>
        <w:t>S129. In some settings, using more than one independently developed model could improve resilience or make uncertainty more visible. Agreement could support routine handling, while disagreement could trigger expert review.</w:t>
      </w:r>
    </w:p>
    <w:p w:rsidR="009E2340" w:rsidRPr="004A1368" w:rsidP="009E2340">
      <w:pPr>
        <w:rPr>
          <w:rFonts w:ascii="Verdana" w:hAnsi="Verdana"/>
        </w:rPr>
      </w:pPr>
      <w:r w:rsidRPr="004A1368">
        <w:rPr>
          <w:rFonts w:ascii="Verdana" w:hAnsi="Verdana"/>
        </w:rPr>
        <w:t>S130. This should not be reduced to an automatic majority-vote rule. A robust health-AI ecosystem could be both multimodal in its inputs and multi-model in how it interprets them.</w:t>
      </w:r>
    </w:p>
    <w:p w:rsidR="009E2340" w:rsidRPr="004A1368" w:rsidP="009E2340">
      <w:pPr>
        <w:rPr>
          <w:rFonts w:ascii="Verdana" w:hAnsi="Verdana"/>
        </w:rPr>
      </w:pPr>
      <w:r w:rsidRPr="004A1368">
        <w:rPr>
          <w:rFonts w:ascii="Verdana" w:hAnsi="Verdana"/>
        </w:rPr>
        <w:t>S131. Research on Synthetic Model Combination supports the broader proposition that the suitability of existing models can differ between patients and contexts, and that context-sensitive combination may sometimes be more robust than selecting one model for every case.[22]</w:t>
      </w:r>
    </w:p>
    <w:p w:rsidR="009E2340" w:rsidRPr="004A1368" w:rsidP="009E2340">
      <w:pPr>
        <w:rPr>
          <w:rFonts w:ascii="Verdana" w:hAnsi="Verdana"/>
        </w:rPr>
      </w:pPr>
      <w:r w:rsidRPr="004A1368">
        <w:rPr>
          <w:rFonts w:ascii="Verdana" w:hAnsi="Verdana"/>
        </w:rPr>
        <w:t>S132. A separate white paper on continuously learning clinical-trial systems proposes making competing analytical perspectives, disagreement, and evolving evidence explicit and auditable.[23]</w:t>
      </w:r>
    </w:p>
    <w:p w:rsidR="009E2340" w:rsidRPr="004A1368" w:rsidP="009E2340">
      <w:pPr>
        <w:rPr>
          <w:rFonts w:ascii="Verdana" w:hAnsi="Verdana"/>
        </w:rPr>
      </w:pPr>
      <w:r w:rsidRPr="004A1368">
        <w:rPr>
          <w:rFonts w:ascii="Verdana" w:hAnsi="Verdana"/>
        </w:rPr>
        <w:t>S133. Neither body of work validates a particular multi-model clinical workflow. Before model plurality is used clinically, evaluation should establish:</w:t>
      </w:r>
    </w:p>
    <w:p w:rsidR="009E2340" w:rsidRPr="004A1368" w:rsidP="009D3A07">
      <w:pPr>
        <w:pStyle w:val="ListParagraph"/>
        <w:numPr>
          <w:ilvl w:val="0"/>
          <w:numId w:val="24"/>
        </w:numPr>
        <w:rPr>
          <w:rFonts w:ascii="Verdana" w:hAnsi="Verdana"/>
        </w:rPr>
      </w:pPr>
      <w:r w:rsidRPr="004A1368">
        <w:rPr>
          <w:rFonts w:ascii="Verdana" w:hAnsi="Verdana"/>
        </w:rPr>
        <w:t>whether the models are meaningfully independent;</w:t>
      </w:r>
    </w:p>
    <w:p w:rsidR="009E2340" w:rsidRPr="004A1368" w:rsidP="009D3A07">
      <w:pPr>
        <w:pStyle w:val="ListParagraph"/>
        <w:numPr>
          <w:ilvl w:val="0"/>
          <w:numId w:val="24"/>
        </w:numPr>
        <w:rPr>
          <w:rFonts w:ascii="Verdana" w:hAnsi="Verdana"/>
        </w:rPr>
      </w:pPr>
      <w:r w:rsidRPr="004A1368">
        <w:rPr>
          <w:rFonts w:ascii="Verdana" w:hAnsi="Verdana"/>
        </w:rPr>
        <w:t>whether they were trained on overlapping populations or data;</w:t>
      </w:r>
    </w:p>
    <w:p w:rsidR="009E2340" w:rsidRPr="004A1368" w:rsidP="009D3A07">
      <w:pPr>
        <w:pStyle w:val="ListParagraph"/>
        <w:numPr>
          <w:ilvl w:val="0"/>
          <w:numId w:val="24"/>
        </w:numPr>
        <w:rPr>
          <w:rFonts w:ascii="Verdana" w:hAnsi="Verdana"/>
        </w:rPr>
      </w:pPr>
      <w:r w:rsidRPr="004A1368">
        <w:rPr>
          <w:rFonts w:ascii="Verdana" w:hAnsi="Verdana"/>
        </w:rPr>
        <w:t>whether their errors are correlated;</w:t>
      </w:r>
    </w:p>
    <w:p w:rsidR="009E2340" w:rsidRPr="004A1368" w:rsidP="009D3A07">
      <w:pPr>
        <w:pStyle w:val="ListParagraph"/>
        <w:numPr>
          <w:ilvl w:val="0"/>
          <w:numId w:val="24"/>
        </w:numPr>
        <w:rPr>
          <w:rFonts w:ascii="Verdana" w:hAnsi="Verdana"/>
        </w:rPr>
      </w:pPr>
      <w:r w:rsidRPr="004A1368">
        <w:rPr>
          <w:rFonts w:ascii="Verdana" w:hAnsi="Verdana"/>
        </w:rPr>
        <w:t>how performance varies across subgroups;</w:t>
      </w:r>
    </w:p>
    <w:p w:rsidR="009E2340" w:rsidRPr="004A1368" w:rsidP="009D3A07">
      <w:pPr>
        <w:pStyle w:val="ListParagraph"/>
        <w:numPr>
          <w:ilvl w:val="0"/>
          <w:numId w:val="24"/>
        </w:numPr>
        <w:rPr>
          <w:rFonts w:ascii="Verdana" w:hAnsi="Verdana"/>
        </w:rPr>
      </w:pPr>
      <w:r w:rsidRPr="004A1368">
        <w:rPr>
          <w:rFonts w:ascii="Verdana" w:hAnsi="Verdana"/>
        </w:rPr>
        <w:t>how thresholds reflect the consequences of false-positive and false-negative results;</w:t>
      </w:r>
    </w:p>
    <w:p w:rsidR="009E2340" w:rsidRPr="004A1368" w:rsidP="009D3A07">
      <w:pPr>
        <w:pStyle w:val="ListParagraph"/>
        <w:numPr>
          <w:ilvl w:val="0"/>
          <w:numId w:val="24"/>
        </w:numPr>
        <w:rPr>
          <w:rFonts w:ascii="Verdana" w:hAnsi="Verdana"/>
        </w:rPr>
      </w:pPr>
      <w:r w:rsidRPr="004A1368">
        <w:rPr>
          <w:rFonts w:ascii="Verdana" w:hAnsi="Verdana"/>
        </w:rPr>
        <w:t>when human escalation occurs;</w:t>
      </w:r>
    </w:p>
    <w:p w:rsidR="009E2340" w:rsidRPr="004A1368" w:rsidP="009D3A07">
      <w:pPr>
        <w:pStyle w:val="ListParagraph"/>
        <w:numPr>
          <w:ilvl w:val="0"/>
          <w:numId w:val="24"/>
        </w:numPr>
        <w:rPr>
          <w:rFonts w:ascii="Verdana" w:hAnsi="Verdana"/>
        </w:rPr>
      </w:pPr>
      <w:r w:rsidRPr="004A1368">
        <w:rPr>
          <w:rFonts w:ascii="Verdana" w:hAnsi="Verdana"/>
        </w:rPr>
        <w:t>who retains responsibility;</w:t>
      </w:r>
    </w:p>
    <w:p w:rsidR="009E2340" w:rsidRPr="004A1368" w:rsidP="009D3A07">
      <w:pPr>
        <w:pStyle w:val="ListParagraph"/>
        <w:numPr>
          <w:ilvl w:val="0"/>
          <w:numId w:val="24"/>
        </w:numPr>
        <w:rPr>
          <w:rFonts w:ascii="Verdana" w:hAnsi="Verdana"/>
        </w:rPr>
      </w:pPr>
      <w:r w:rsidRPr="004A1368">
        <w:rPr>
          <w:rFonts w:ascii="Verdana" w:hAnsi="Verdana"/>
        </w:rPr>
        <w:t xml:space="preserve">and whether the combined system improves the </w:t>
      </w:r>
      <w:r w:rsidRPr="004A1368" w:rsidR="009D3A07">
        <w:rPr>
          <w:rFonts w:ascii="Verdana" w:hAnsi="Verdana"/>
        </w:rPr>
        <w:t xml:space="preserve">whole </w:t>
      </w:r>
      <w:r w:rsidRPr="004A1368">
        <w:rPr>
          <w:rFonts w:ascii="Verdana" w:hAnsi="Verdana"/>
        </w:rPr>
        <w:t>pathway.</w:t>
      </w:r>
    </w:p>
    <w:p w:rsidR="009E2340" w:rsidRPr="004A1368" w:rsidP="009E2340">
      <w:pPr>
        <w:rPr>
          <w:rFonts w:ascii="Verdana" w:hAnsi="Verdana"/>
        </w:rPr>
      </w:pPr>
      <w:r w:rsidRPr="004A1368">
        <w:rPr>
          <w:rFonts w:ascii="Verdana" w:hAnsi="Verdana"/>
        </w:rPr>
        <w:t>S134. Three concordant outputs do not guarantee a correct result. Image quality, missing data, population bias, or a shared training assumption may affect every model.</w:t>
      </w:r>
      <w:r w:rsidRPr="004A1368" w:rsidR="00FA4770">
        <w:rPr>
          <w:rFonts w:ascii="Verdana" w:hAnsi="Verdana"/>
        </w:rPr>
        <w:t xml:space="preserve"> </w:t>
      </w:r>
      <w:r w:rsidRPr="004A1368">
        <w:rPr>
          <w:rFonts w:ascii="Verdana" w:hAnsi="Verdana"/>
        </w:rPr>
        <w:t>The policy value of model plurality lies in structured disagreement, replaceability, and resilience—not in assuming that repetition creates truth.</w:t>
      </w:r>
    </w:p>
    <w:p w:rsidR="009E2340" w:rsidRPr="004A1368" w:rsidP="009E2340">
      <w:pPr>
        <w:rPr>
          <w:rFonts w:ascii="Verdana" w:hAnsi="Verdana"/>
        </w:rPr>
      </w:pPr>
      <w:r w:rsidRPr="004A1368">
        <w:rPr>
          <w:rFonts w:ascii="Verdana" w:hAnsi="Verdana"/>
        </w:rPr>
        <w:t>S13</w:t>
      </w:r>
      <w:r w:rsidRPr="004A1368" w:rsidR="006A46D4">
        <w:rPr>
          <w:rFonts w:ascii="Verdana" w:hAnsi="Verdana"/>
        </w:rPr>
        <w:t>5</w:t>
      </w:r>
      <w:r w:rsidRPr="004A1368">
        <w:rPr>
          <w:rFonts w:ascii="Verdana" w:hAnsi="Verdana"/>
        </w:rPr>
        <w:t>. Lifecycle arrangements should allow a model to be updated, suspended, or replaced without destabilising the whole service.</w:t>
      </w:r>
      <w:r w:rsidRPr="004A1368" w:rsidR="00FA4770">
        <w:rPr>
          <w:rFonts w:ascii="Verdana" w:hAnsi="Verdana"/>
        </w:rPr>
        <w:t xml:space="preserve"> </w:t>
      </w:r>
      <w:r w:rsidRPr="004A1368">
        <w:rPr>
          <w:rFonts w:ascii="Verdana" w:hAnsi="Verdana"/>
        </w:rPr>
        <w:t>Post-deployment monitoring should detect changes in performance, population, workload, staff behaviour, software version, and the wider data-generating environment.</w:t>
      </w:r>
    </w:p>
    <w:p w:rsidR="004D6004" w:rsidRPr="004A1368" w:rsidP="009E2340">
      <w:pPr>
        <w:rPr>
          <w:rFonts w:ascii="Verdana" w:hAnsi="Verdana"/>
        </w:rPr>
      </w:pPr>
    </w:p>
    <w:p w:rsidR="009E2340" w:rsidRPr="004A1368" w:rsidP="009E2340">
      <w:pPr>
        <w:rPr>
          <w:rFonts w:ascii="Verdana" w:hAnsi="Verdana"/>
          <w:b/>
          <w:bCs/>
        </w:rPr>
      </w:pPr>
      <w:r w:rsidRPr="004A1368">
        <w:rPr>
          <w:rFonts w:ascii="Verdana" w:hAnsi="Verdana"/>
          <w:b/>
          <w:bCs/>
        </w:rPr>
        <w:t>A STRATEGIC NATIONAL OPPORTUNITY</w:t>
      </w:r>
    </w:p>
    <w:p w:rsidR="009E2340" w:rsidRPr="004A1368" w:rsidP="009E2340">
      <w:pPr>
        <w:rPr>
          <w:rFonts w:ascii="Verdana" w:hAnsi="Verdana"/>
        </w:rPr>
      </w:pPr>
      <w:r w:rsidRPr="004A1368">
        <w:rPr>
          <w:rFonts w:ascii="Verdana" w:hAnsi="Verdana"/>
        </w:rPr>
        <w:t>S13</w:t>
      </w:r>
      <w:r w:rsidRPr="004A1368" w:rsidR="006A46D4">
        <w:rPr>
          <w:rFonts w:ascii="Verdana" w:hAnsi="Verdana"/>
        </w:rPr>
        <w:t>6</w:t>
      </w:r>
      <w:r w:rsidRPr="004A1368">
        <w:rPr>
          <w:rFonts w:ascii="Verdana" w:hAnsi="Verdana"/>
        </w:rPr>
        <w:t>. The UK already has world-class strengths in genomics, AI, clinical research, and longitudinal health data.</w:t>
      </w:r>
      <w:r w:rsidRPr="004A1368" w:rsidR="00FA4770">
        <w:rPr>
          <w:rFonts w:ascii="Verdana" w:hAnsi="Verdana"/>
        </w:rPr>
        <w:t xml:space="preserve"> </w:t>
      </w:r>
      <w:r w:rsidRPr="004A1368">
        <w:rPr>
          <w:rFonts w:ascii="Verdana" w:hAnsi="Verdana"/>
        </w:rPr>
        <w:t xml:space="preserve">The </w:t>
      </w:r>
      <w:r w:rsidRPr="004A1368" w:rsidR="00FA4770">
        <w:rPr>
          <w:rFonts w:ascii="Verdana" w:hAnsi="Verdana"/>
        </w:rPr>
        <w:t>mission</w:t>
      </w:r>
      <w:r w:rsidRPr="004A1368">
        <w:rPr>
          <w:rFonts w:ascii="Verdana" w:hAnsi="Verdana"/>
        </w:rPr>
        <w:t xml:space="preserve"> is to connect those capabilities to the patient’s changing state, to a defined clinical decision, and to an accountable pathway capable of acting on the result.</w:t>
      </w:r>
    </w:p>
    <w:p w:rsidR="009E2340" w:rsidRPr="004A1368" w:rsidP="009E2340">
      <w:pPr>
        <w:rPr>
          <w:rFonts w:ascii="Verdana" w:hAnsi="Verdana"/>
        </w:rPr>
      </w:pPr>
      <w:r w:rsidRPr="004A1368">
        <w:rPr>
          <w:rFonts w:ascii="Verdana" w:hAnsi="Verdana"/>
        </w:rPr>
        <w:t>S1</w:t>
      </w:r>
      <w:r w:rsidRPr="004A1368" w:rsidR="00FA4770">
        <w:rPr>
          <w:rFonts w:ascii="Verdana" w:hAnsi="Verdana"/>
        </w:rPr>
        <w:t>3</w:t>
      </w:r>
      <w:r w:rsidRPr="004A1368" w:rsidR="006A46D4">
        <w:rPr>
          <w:rFonts w:ascii="Verdana" w:hAnsi="Verdana"/>
        </w:rPr>
        <w:t>7</w:t>
      </w:r>
      <w:r w:rsidRPr="004A1368">
        <w:rPr>
          <w:rFonts w:ascii="Verdana" w:hAnsi="Verdana"/>
        </w:rPr>
        <w:t>. The UK’s strategic opportunity is therefore not limited to producing individual AI models. Its more durable comparative advantage may lie in creating the standards, evidence environments, interoperable infrastructure, and deployment methods that make health technologies testable, safe, and scalable across heterogeneous real-world systems.</w:t>
      </w:r>
    </w:p>
    <w:p w:rsidR="009E2340" w:rsidRPr="004A1368" w:rsidP="009E2340">
      <w:pPr>
        <w:rPr>
          <w:rFonts w:ascii="Verdana" w:hAnsi="Verdana"/>
        </w:rPr>
      </w:pPr>
      <w:r w:rsidRPr="004A1368">
        <w:rPr>
          <w:rFonts w:ascii="Verdana" w:hAnsi="Verdana"/>
        </w:rPr>
        <w:t>S1</w:t>
      </w:r>
      <w:r w:rsidRPr="004A1368" w:rsidR="00FA4770">
        <w:rPr>
          <w:rFonts w:ascii="Verdana" w:hAnsi="Verdana"/>
        </w:rPr>
        <w:t>3</w:t>
      </w:r>
      <w:r w:rsidRPr="004A1368" w:rsidR="006A46D4">
        <w:rPr>
          <w:rFonts w:ascii="Verdana" w:hAnsi="Verdana"/>
        </w:rPr>
        <w:t>8</w:t>
      </w:r>
      <w:r w:rsidRPr="004A1368">
        <w:rPr>
          <w:rFonts w:ascii="Verdana" w:hAnsi="Verdana"/>
        </w:rPr>
        <w:t xml:space="preserve">. The AI Opportunities Action Plan argued that the UK should become an AI </w:t>
      </w:r>
      <w:r w:rsidRPr="004A1368" w:rsidR="00DC4093">
        <w:rPr>
          <w:rFonts w:ascii="Verdana" w:hAnsi="Verdana"/>
        </w:rPr>
        <w:t>‘</w:t>
      </w:r>
      <w:r w:rsidRPr="004A1368">
        <w:rPr>
          <w:rFonts w:ascii="Verdana" w:hAnsi="Verdana"/>
        </w:rPr>
        <w:t>maker, not taker</w:t>
      </w:r>
      <w:r w:rsidRPr="004A1368" w:rsidR="00DC4093">
        <w:rPr>
          <w:rFonts w:ascii="Verdana" w:hAnsi="Verdana"/>
        </w:rPr>
        <w:t>’</w:t>
      </w:r>
      <w:r w:rsidRPr="004A1368">
        <w:rPr>
          <w:rFonts w:ascii="Verdana" w:hAnsi="Verdana"/>
        </w:rPr>
        <w:t xml:space="preserve"> and that Government should act as a sophisticated customer able to shape markets through procurement.[24]</w:t>
      </w:r>
      <w:r w:rsidRPr="004A1368" w:rsidR="00DC4093">
        <w:rPr>
          <w:rFonts w:ascii="Verdana" w:hAnsi="Verdana"/>
        </w:rPr>
        <w:t xml:space="preserve"> </w:t>
      </w:r>
      <w:r w:rsidRPr="004A1368" w:rsidR="00A56CCA">
        <w:rPr>
          <w:rFonts w:ascii="Verdana" w:hAnsi="Verdana"/>
        </w:rPr>
        <w:t>I propose that the UK’s more distinctive competitive advantage could lie in the NHS becoming a globally trusted evaluation and implementation environment—an AI ‘vehicle’ through which standards for personalised medicine are built and AI-enabled health innovations are rigorously tested for health-system readiness.</w:t>
      </w:r>
    </w:p>
    <w:p w:rsidR="009E2340" w:rsidRPr="004A1368" w:rsidP="009E2340">
      <w:pPr>
        <w:rPr>
          <w:rFonts w:ascii="Verdana" w:hAnsi="Verdana"/>
        </w:rPr>
      </w:pPr>
      <w:r w:rsidRPr="004A1368">
        <w:rPr>
          <w:rFonts w:ascii="Verdana" w:hAnsi="Verdana"/>
        </w:rPr>
        <w:t>S1</w:t>
      </w:r>
      <w:r w:rsidRPr="004A1368" w:rsidR="006A46D4">
        <w:rPr>
          <w:rFonts w:ascii="Verdana" w:hAnsi="Verdana"/>
        </w:rPr>
        <w:t>39</w:t>
      </w:r>
      <w:r w:rsidRPr="004A1368">
        <w:rPr>
          <w:rFonts w:ascii="Verdana" w:hAnsi="Verdana"/>
        </w:rPr>
        <w:t>. In healthcare, sophisticated procurement should include the ability to specify:</w:t>
      </w:r>
    </w:p>
    <w:p w:rsidR="009E2340" w:rsidRPr="004A1368" w:rsidP="00DC4093">
      <w:pPr>
        <w:pStyle w:val="ListParagraph"/>
        <w:numPr>
          <w:ilvl w:val="0"/>
          <w:numId w:val="25"/>
        </w:numPr>
        <w:rPr>
          <w:rFonts w:ascii="Verdana" w:hAnsi="Verdana"/>
        </w:rPr>
      </w:pPr>
      <w:r w:rsidRPr="004A1368">
        <w:rPr>
          <w:rFonts w:ascii="Verdana" w:hAnsi="Verdana"/>
        </w:rPr>
        <w:t>intended use;</w:t>
      </w:r>
    </w:p>
    <w:p w:rsidR="009E2340" w:rsidRPr="004A1368" w:rsidP="00DC4093">
      <w:pPr>
        <w:pStyle w:val="ListParagraph"/>
        <w:numPr>
          <w:ilvl w:val="0"/>
          <w:numId w:val="25"/>
        </w:numPr>
        <w:rPr>
          <w:rFonts w:ascii="Verdana" w:hAnsi="Verdana"/>
        </w:rPr>
      </w:pPr>
      <w:r w:rsidRPr="004A1368">
        <w:rPr>
          <w:rFonts w:ascii="Verdana" w:hAnsi="Verdana"/>
        </w:rPr>
        <w:t>evidence requirements;</w:t>
      </w:r>
    </w:p>
    <w:p w:rsidR="009E2340" w:rsidRPr="004A1368" w:rsidP="00DC4093">
      <w:pPr>
        <w:pStyle w:val="ListParagraph"/>
        <w:numPr>
          <w:ilvl w:val="0"/>
          <w:numId w:val="25"/>
        </w:numPr>
        <w:rPr>
          <w:rFonts w:ascii="Verdana" w:hAnsi="Verdana"/>
        </w:rPr>
      </w:pPr>
      <w:r w:rsidRPr="004A1368">
        <w:rPr>
          <w:rFonts w:ascii="Verdana" w:hAnsi="Verdana"/>
        </w:rPr>
        <w:t>pathway and workforce consequences;</w:t>
      </w:r>
    </w:p>
    <w:p w:rsidR="009E2340" w:rsidRPr="004A1368" w:rsidP="00DC4093">
      <w:pPr>
        <w:pStyle w:val="ListParagraph"/>
        <w:numPr>
          <w:ilvl w:val="0"/>
          <w:numId w:val="25"/>
        </w:numPr>
        <w:rPr>
          <w:rFonts w:ascii="Verdana" w:hAnsi="Verdana"/>
        </w:rPr>
      </w:pPr>
      <w:r w:rsidRPr="004A1368">
        <w:rPr>
          <w:rFonts w:ascii="Verdana" w:hAnsi="Verdana"/>
        </w:rPr>
        <w:t>interoperability;</w:t>
      </w:r>
    </w:p>
    <w:p w:rsidR="009E2340" w:rsidRPr="004A1368" w:rsidP="00DC4093">
      <w:pPr>
        <w:pStyle w:val="ListParagraph"/>
        <w:numPr>
          <w:ilvl w:val="0"/>
          <w:numId w:val="25"/>
        </w:numPr>
        <w:rPr>
          <w:rFonts w:ascii="Verdana" w:hAnsi="Verdana"/>
        </w:rPr>
      </w:pPr>
      <w:r w:rsidRPr="004A1368">
        <w:rPr>
          <w:rFonts w:ascii="Verdana" w:hAnsi="Verdana"/>
        </w:rPr>
        <w:t>lifecycle assurance;</w:t>
      </w:r>
    </w:p>
    <w:p w:rsidR="009E2340" w:rsidRPr="004A1368" w:rsidP="00DC4093">
      <w:pPr>
        <w:pStyle w:val="ListParagraph"/>
        <w:numPr>
          <w:ilvl w:val="0"/>
          <w:numId w:val="25"/>
        </w:numPr>
        <w:rPr>
          <w:rFonts w:ascii="Verdana" w:hAnsi="Verdana"/>
        </w:rPr>
      </w:pPr>
      <w:r w:rsidRPr="004A1368">
        <w:rPr>
          <w:rFonts w:ascii="Verdana" w:hAnsi="Verdana"/>
        </w:rPr>
        <w:t>exit and replacement arrangements;</w:t>
      </w:r>
    </w:p>
    <w:p w:rsidR="009E2340" w:rsidRPr="004A1368" w:rsidP="00DC4093">
      <w:pPr>
        <w:pStyle w:val="ListParagraph"/>
        <w:numPr>
          <w:ilvl w:val="0"/>
          <w:numId w:val="25"/>
        </w:numPr>
        <w:rPr>
          <w:rFonts w:ascii="Verdana" w:hAnsi="Verdana"/>
        </w:rPr>
      </w:pPr>
      <w:r w:rsidRPr="004A1368">
        <w:rPr>
          <w:rFonts w:ascii="Verdana" w:hAnsi="Verdana"/>
        </w:rPr>
        <w:t>and measurable pathway benefit.</w:t>
      </w:r>
    </w:p>
    <w:p w:rsidR="009E2340" w:rsidRPr="004A1368" w:rsidP="009E2340">
      <w:pPr>
        <w:rPr>
          <w:rFonts w:ascii="Verdana" w:hAnsi="Verdana"/>
        </w:rPr>
      </w:pPr>
      <w:r w:rsidRPr="004A1368">
        <w:rPr>
          <w:rFonts w:ascii="Verdana" w:hAnsi="Verdana"/>
        </w:rPr>
        <w:t>S14</w:t>
      </w:r>
      <w:r w:rsidRPr="004A1368" w:rsidR="006A46D4">
        <w:rPr>
          <w:rFonts w:ascii="Verdana" w:hAnsi="Verdana"/>
        </w:rPr>
        <w:t>0</w:t>
      </w:r>
      <w:r w:rsidRPr="004A1368">
        <w:rPr>
          <w:rFonts w:ascii="Verdana" w:hAnsi="Verdana"/>
        </w:rPr>
        <w:t>. A strong UK offer could include:</w:t>
      </w:r>
    </w:p>
    <w:p w:rsidR="009E2340" w:rsidRPr="004A1368" w:rsidP="00A3289C">
      <w:pPr>
        <w:pStyle w:val="ListParagraph"/>
        <w:numPr>
          <w:ilvl w:val="0"/>
          <w:numId w:val="26"/>
        </w:numPr>
        <w:rPr>
          <w:rFonts w:ascii="Verdana" w:hAnsi="Verdana"/>
        </w:rPr>
      </w:pPr>
      <w:r w:rsidRPr="004A1368">
        <w:rPr>
          <w:rFonts w:ascii="Verdana" w:hAnsi="Verdana"/>
        </w:rPr>
        <w:t>reusable validation and reporting standards;</w:t>
      </w:r>
    </w:p>
    <w:p w:rsidR="009E2340" w:rsidRPr="004A1368" w:rsidP="00A3289C">
      <w:pPr>
        <w:pStyle w:val="ListParagraph"/>
        <w:numPr>
          <w:ilvl w:val="0"/>
          <w:numId w:val="26"/>
        </w:numPr>
        <w:rPr>
          <w:rFonts w:ascii="Verdana" w:hAnsi="Verdana"/>
        </w:rPr>
      </w:pPr>
      <w:r w:rsidRPr="004A1368">
        <w:rPr>
          <w:rFonts w:ascii="Verdana" w:hAnsi="Verdana"/>
        </w:rPr>
        <w:t>federated test environments;</w:t>
      </w:r>
    </w:p>
    <w:p w:rsidR="009E2340" w:rsidRPr="004A1368" w:rsidP="00A3289C">
      <w:pPr>
        <w:pStyle w:val="ListParagraph"/>
        <w:numPr>
          <w:ilvl w:val="0"/>
          <w:numId w:val="26"/>
        </w:numPr>
        <w:rPr>
          <w:rFonts w:ascii="Verdana" w:hAnsi="Verdana"/>
        </w:rPr>
      </w:pPr>
      <w:r w:rsidRPr="004A1368">
        <w:rPr>
          <w:rFonts w:ascii="Verdana" w:hAnsi="Verdana"/>
        </w:rPr>
        <w:t>common temporal and multimodal data specifications;</w:t>
      </w:r>
    </w:p>
    <w:p w:rsidR="009E2340" w:rsidRPr="004A1368" w:rsidP="00A3289C">
      <w:pPr>
        <w:pStyle w:val="ListParagraph"/>
        <w:numPr>
          <w:ilvl w:val="0"/>
          <w:numId w:val="26"/>
        </w:numPr>
        <w:rPr>
          <w:rFonts w:ascii="Verdana" w:hAnsi="Verdana"/>
        </w:rPr>
      </w:pPr>
      <w:r w:rsidRPr="004A1368">
        <w:rPr>
          <w:rFonts w:ascii="Verdana" w:hAnsi="Verdana"/>
        </w:rPr>
        <w:t>transferable implementation and governance evidence;</w:t>
      </w:r>
    </w:p>
    <w:p w:rsidR="009E2340" w:rsidRPr="004A1368" w:rsidP="00A3289C">
      <w:pPr>
        <w:pStyle w:val="ListParagraph"/>
        <w:numPr>
          <w:ilvl w:val="0"/>
          <w:numId w:val="26"/>
        </w:numPr>
        <w:rPr>
          <w:rFonts w:ascii="Verdana" w:hAnsi="Verdana"/>
        </w:rPr>
      </w:pPr>
      <w:r w:rsidRPr="004A1368">
        <w:rPr>
          <w:rFonts w:ascii="Verdana" w:hAnsi="Verdana"/>
        </w:rPr>
        <w:t>lifecycle-monitoring methods;</w:t>
      </w:r>
    </w:p>
    <w:p w:rsidR="009E2340" w:rsidRPr="004A1368" w:rsidP="00A3289C">
      <w:pPr>
        <w:pStyle w:val="ListParagraph"/>
        <w:numPr>
          <w:ilvl w:val="0"/>
          <w:numId w:val="26"/>
        </w:numPr>
        <w:rPr>
          <w:rFonts w:ascii="Verdana" w:hAnsi="Verdana"/>
        </w:rPr>
      </w:pPr>
      <w:r w:rsidRPr="004A1368">
        <w:rPr>
          <w:rFonts w:ascii="Verdana" w:hAnsi="Verdana"/>
        </w:rPr>
        <w:t>interoperable pathway architecture;</w:t>
      </w:r>
    </w:p>
    <w:p w:rsidR="009E2340" w:rsidRPr="004A1368" w:rsidP="00A3289C">
      <w:pPr>
        <w:pStyle w:val="ListParagraph"/>
        <w:numPr>
          <w:ilvl w:val="0"/>
          <w:numId w:val="26"/>
        </w:numPr>
        <w:rPr>
          <w:rFonts w:ascii="Verdana" w:hAnsi="Verdana"/>
        </w:rPr>
      </w:pPr>
      <w:r w:rsidRPr="004A1368">
        <w:rPr>
          <w:rFonts w:ascii="Verdana" w:hAnsi="Verdana"/>
        </w:rPr>
        <w:t>and procurement models that reduce lock-in.</w:t>
      </w:r>
    </w:p>
    <w:p w:rsidR="009E2340" w:rsidRPr="004A1368" w:rsidP="009E2340">
      <w:pPr>
        <w:rPr>
          <w:rFonts w:ascii="Verdana" w:hAnsi="Verdana"/>
        </w:rPr>
      </w:pPr>
      <w:r w:rsidRPr="004A1368">
        <w:rPr>
          <w:rFonts w:ascii="Verdana" w:hAnsi="Verdana"/>
        </w:rPr>
        <w:t>S14</w:t>
      </w:r>
      <w:r w:rsidRPr="004A1368" w:rsidR="006A46D4">
        <w:rPr>
          <w:rFonts w:ascii="Verdana" w:hAnsi="Verdana"/>
        </w:rPr>
        <w:t>1</w:t>
      </w:r>
      <w:r w:rsidRPr="004A1368">
        <w:rPr>
          <w:rFonts w:ascii="Verdana" w:hAnsi="Verdana"/>
        </w:rPr>
        <w:t>. These capabilities would support domestic companies and researchers while making the NHS a more credible partner for international life-sciences and technology organisations.</w:t>
      </w:r>
    </w:p>
    <w:p w:rsidR="009E2340" w:rsidRPr="004A1368" w:rsidP="009E2340">
      <w:pPr>
        <w:rPr>
          <w:rFonts w:ascii="Verdana" w:hAnsi="Verdana"/>
        </w:rPr>
      </w:pPr>
      <w:r w:rsidRPr="004A1368">
        <w:rPr>
          <w:rFonts w:ascii="Verdana" w:hAnsi="Verdana"/>
        </w:rPr>
        <w:t>S14</w:t>
      </w:r>
      <w:r w:rsidRPr="004A1368" w:rsidR="006A46D4">
        <w:rPr>
          <w:rFonts w:ascii="Verdana" w:hAnsi="Verdana"/>
        </w:rPr>
        <w:t>2</w:t>
      </w:r>
      <w:r w:rsidRPr="004A1368">
        <w:rPr>
          <w:rFonts w:ascii="Verdana" w:hAnsi="Verdana"/>
        </w:rPr>
        <w:t>. They would strengthen the feedback loop between research, industry, and care by ensuring that NHS implementation experience informs subsequent product development and evidence generation.</w:t>
      </w:r>
    </w:p>
    <w:p w:rsidR="00513540" w:rsidRPr="004A1368" w:rsidP="009E2340">
      <w:pPr>
        <w:rPr>
          <w:rFonts w:ascii="Verdana" w:hAnsi="Verdana"/>
        </w:rPr>
      </w:pPr>
    </w:p>
    <w:p w:rsidR="00573DA9" w:rsidRPr="004A1368" w:rsidP="00573DA9">
      <w:pPr>
        <w:rPr>
          <w:rFonts w:ascii="Verdana" w:hAnsi="Verdana"/>
          <w:b/>
          <w:bCs/>
        </w:rPr>
      </w:pPr>
      <w:r w:rsidRPr="004A1368">
        <w:rPr>
          <w:rFonts w:ascii="Verdana" w:hAnsi="Verdana"/>
          <w:b/>
          <w:bCs/>
        </w:rPr>
        <w:t>PRIORITY ACTIONS AND CONCLUSION</w:t>
      </w:r>
    </w:p>
    <w:p w:rsidR="00573DA9" w:rsidRPr="004A1368" w:rsidP="00573DA9">
      <w:pPr>
        <w:rPr>
          <w:rFonts w:ascii="Verdana" w:hAnsi="Verdana"/>
        </w:rPr>
      </w:pPr>
      <w:r w:rsidRPr="004A1368">
        <w:rPr>
          <w:rFonts w:ascii="Verdana" w:hAnsi="Verdana"/>
        </w:rPr>
        <w:t>S14</w:t>
      </w:r>
      <w:r w:rsidRPr="004A1368" w:rsidR="006A46D4">
        <w:rPr>
          <w:rFonts w:ascii="Verdana" w:hAnsi="Verdana"/>
        </w:rPr>
        <w:t>3</w:t>
      </w:r>
      <w:r w:rsidRPr="004A1368">
        <w:rPr>
          <w:rFonts w:ascii="Verdana" w:hAnsi="Verdana"/>
        </w:rPr>
        <w:t>. Government should organise its approach to personalised medicine and AI around three linked priorities:</w:t>
      </w:r>
    </w:p>
    <w:p w:rsidR="00573DA9" w:rsidRPr="004A1368" w:rsidP="009D341C">
      <w:pPr>
        <w:pStyle w:val="ListParagraph"/>
        <w:numPr>
          <w:ilvl w:val="0"/>
          <w:numId w:val="31"/>
        </w:numPr>
        <w:rPr>
          <w:rFonts w:ascii="Verdana" w:hAnsi="Verdana"/>
        </w:rPr>
      </w:pPr>
      <w:r w:rsidRPr="004A1368">
        <w:rPr>
          <w:rFonts w:ascii="Verdana" w:hAnsi="Verdana"/>
          <w:b/>
          <w:bCs/>
        </w:rPr>
        <w:t>MEASURE CHANGE:</w:t>
      </w:r>
      <w:r w:rsidRPr="004A1368">
        <w:rPr>
          <w:rFonts w:ascii="Verdana" w:hAnsi="Verdana"/>
        </w:rPr>
        <w:t xml:space="preserve"> support dynamic, trajectory-aware, and temporally meaningful data where these improve clinical decisions;</w:t>
      </w:r>
    </w:p>
    <w:p w:rsidR="00573DA9" w:rsidRPr="004A1368" w:rsidP="009D341C">
      <w:pPr>
        <w:pStyle w:val="ListParagraph"/>
        <w:numPr>
          <w:ilvl w:val="0"/>
          <w:numId w:val="31"/>
        </w:numPr>
        <w:rPr>
          <w:rFonts w:ascii="Verdana" w:hAnsi="Verdana"/>
        </w:rPr>
      </w:pPr>
      <w:r w:rsidRPr="004A1368">
        <w:rPr>
          <w:rFonts w:ascii="Verdana" w:hAnsi="Verdana"/>
          <w:b/>
          <w:bCs/>
        </w:rPr>
        <w:t>FUND THE PATHWAY:</w:t>
      </w:r>
      <w:r w:rsidRPr="004A1368">
        <w:rPr>
          <w:rFonts w:ascii="Verdana" w:hAnsi="Verdana"/>
        </w:rPr>
        <w:t xml:space="preserve"> establish an accountable route from intended use and prospective validation to conditional adoption and lifecycle review; and</w:t>
      </w:r>
    </w:p>
    <w:p w:rsidR="00573DA9" w:rsidRPr="004A1368" w:rsidP="009D341C">
      <w:pPr>
        <w:pStyle w:val="ListParagraph"/>
        <w:numPr>
          <w:ilvl w:val="0"/>
          <w:numId w:val="31"/>
        </w:numPr>
        <w:rPr>
          <w:rFonts w:ascii="Verdana" w:hAnsi="Verdana"/>
        </w:rPr>
      </w:pPr>
      <w:r w:rsidRPr="004A1368">
        <w:rPr>
          <w:rFonts w:ascii="Verdana" w:hAnsi="Verdana"/>
          <w:b/>
          <w:bCs/>
        </w:rPr>
        <w:t>INTERVENE AT THE RIGHT TIME:</w:t>
      </w:r>
      <w:r w:rsidRPr="004A1368">
        <w:rPr>
          <w:rFonts w:ascii="Verdana" w:hAnsi="Verdana"/>
        </w:rPr>
        <w:t xml:space="preserve"> direct personalisation towards timely decisions, prevention of avoidable de</w:t>
      </w:r>
      <w:r w:rsidRPr="004A1368" w:rsidR="008F613D">
        <w:rPr>
          <w:rFonts w:ascii="Verdana" w:hAnsi="Verdana"/>
        </w:rPr>
        <w:t>cline</w:t>
      </w:r>
      <w:r w:rsidRPr="004A1368">
        <w:rPr>
          <w:rFonts w:ascii="Verdana" w:hAnsi="Verdana"/>
        </w:rPr>
        <w:t>, and reduction of multimorbidity rather than classification alone.</w:t>
      </w:r>
    </w:p>
    <w:p w:rsidR="00573DA9" w:rsidRPr="004A1368" w:rsidP="00573DA9">
      <w:pPr>
        <w:rPr>
          <w:rFonts w:ascii="Verdana" w:hAnsi="Verdana"/>
        </w:rPr>
      </w:pPr>
      <w:r w:rsidRPr="004A1368">
        <w:rPr>
          <w:rFonts w:ascii="Verdana" w:hAnsi="Verdana"/>
        </w:rPr>
        <w:t>S14</w:t>
      </w:r>
      <w:r w:rsidRPr="004A1368" w:rsidR="006A46D4">
        <w:rPr>
          <w:rFonts w:ascii="Verdana" w:hAnsi="Verdana"/>
        </w:rPr>
        <w:t>4</w:t>
      </w:r>
      <w:r w:rsidRPr="004A1368">
        <w:rPr>
          <w:rFonts w:ascii="Verdana" w:hAnsi="Verdana"/>
        </w:rPr>
        <w:t>. As an early practical step, the Health Data Research Service should lead a small demonstrator to define proportionate standards for clinically meaningful temporal metadata. This should test whether information such as measurement timing, treatment timing, physiological state, and relevant environmental context improves specified clinical or research decisions.</w:t>
      </w:r>
    </w:p>
    <w:p w:rsidR="00573DA9" w:rsidRPr="004A1368" w:rsidP="00573DA9">
      <w:pPr>
        <w:rPr>
          <w:rFonts w:ascii="Verdana" w:hAnsi="Verdana"/>
        </w:rPr>
      </w:pPr>
      <w:r w:rsidRPr="004A1368">
        <w:rPr>
          <w:rFonts w:ascii="Verdana" w:hAnsi="Verdana"/>
        </w:rPr>
        <w:t>S14</w:t>
      </w:r>
      <w:r w:rsidRPr="004A1368" w:rsidR="006A46D4">
        <w:rPr>
          <w:rFonts w:ascii="Verdana" w:hAnsi="Verdana"/>
        </w:rPr>
        <w:t>5</w:t>
      </w:r>
      <w:r w:rsidRPr="004A1368">
        <w:rPr>
          <w:rFonts w:ascii="Verdana" w:hAnsi="Verdana"/>
        </w:rPr>
        <w:t>. Government should fund a limited portfolio of high-priority pathway missions rather than pursue diffuse ‘AI transformation’. Each should begin by defining the patient group, the decision that needs to change, the action that should follow, the work created or displaced, the responsible clinical and operational owners, and the outcomes that will determine whether the intervention proceeds.</w:t>
      </w:r>
    </w:p>
    <w:p w:rsidR="00573DA9" w:rsidRPr="004A1368" w:rsidP="00573DA9">
      <w:pPr>
        <w:rPr>
          <w:rFonts w:ascii="Verdana" w:hAnsi="Verdana"/>
        </w:rPr>
      </w:pPr>
      <w:r w:rsidRPr="004A1368">
        <w:rPr>
          <w:rFonts w:ascii="Verdana" w:hAnsi="Verdana"/>
        </w:rPr>
        <w:t>S14</w:t>
      </w:r>
      <w:r w:rsidRPr="004A1368" w:rsidR="006A46D4">
        <w:rPr>
          <w:rFonts w:ascii="Verdana" w:hAnsi="Verdana"/>
        </w:rPr>
        <w:t>6</w:t>
      </w:r>
      <w:r w:rsidRPr="004A1368">
        <w:rPr>
          <w:rFonts w:ascii="Verdana" w:hAnsi="Verdana"/>
        </w:rPr>
        <w:t>. These missions should follow a staged route through intended-use definition, prospective validation, pathway and workforce design, health-economic assessment, conditional adoption, and lifecycle review. Funding should be tied to milestones and explicit stop/go criteria. Projects should end in a defensible decision to scale, modify, repurpose, or stop, and the reasons should be recorded so that discontinued work contributes to system learning rather than accumulating in an ‘AI necropolis’.[12]</w:t>
      </w:r>
    </w:p>
    <w:p w:rsidR="00573DA9" w:rsidRPr="004A1368" w:rsidP="00573DA9">
      <w:pPr>
        <w:rPr>
          <w:rFonts w:ascii="Verdana" w:hAnsi="Verdana"/>
        </w:rPr>
      </w:pPr>
      <w:r w:rsidRPr="004A1368">
        <w:rPr>
          <w:rFonts w:ascii="Verdana" w:hAnsi="Verdana"/>
        </w:rPr>
        <w:t>S1</w:t>
      </w:r>
      <w:r w:rsidRPr="004A1368" w:rsidR="00FA4770">
        <w:rPr>
          <w:rFonts w:ascii="Verdana" w:hAnsi="Verdana"/>
        </w:rPr>
        <w:t>4</w:t>
      </w:r>
      <w:r w:rsidRPr="004A1368" w:rsidR="006A46D4">
        <w:rPr>
          <w:rFonts w:ascii="Verdana" w:hAnsi="Verdana"/>
        </w:rPr>
        <w:t>7</w:t>
      </w:r>
      <w:r w:rsidRPr="004A1368">
        <w:rPr>
          <w:rFonts w:ascii="Verdana" w:hAnsi="Verdana"/>
        </w:rPr>
        <w:t xml:space="preserve">. NICE, MHRA, NIHR, MRC, the Health Data Research Service, Health Innovation Networks, and NHS adopters should align earlier around evidence requirements and use reusable templates where appropriate. Appraisal should assess the whole pathway, including downstream workload, usable capacity, </w:t>
      </w:r>
      <w:r w:rsidRPr="004A1368">
        <w:rPr>
          <w:rFonts w:ascii="Verdana" w:hAnsi="Verdana"/>
        </w:rPr>
        <w:t>equity, human factors, staff fatigue, and costs or benefits that fall across different NHS organisations and timescales.</w:t>
      </w:r>
    </w:p>
    <w:p w:rsidR="00573DA9" w:rsidRPr="004A1368" w:rsidP="00573DA9">
      <w:pPr>
        <w:rPr>
          <w:rFonts w:ascii="Verdana" w:hAnsi="Verdana"/>
        </w:rPr>
      </w:pPr>
      <w:r w:rsidRPr="004A1368">
        <w:rPr>
          <w:rFonts w:ascii="Verdana" w:hAnsi="Verdana"/>
        </w:rPr>
        <w:t>S1</w:t>
      </w:r>
      <w:r w:rsidRPr="004A1368" w:rsidR="00FA4770">
        <w:rPr>
          <w:rFonts w:ascii="Verdana" w:hAnsi="Verdana"/>
        </w:rPr>
        <w:t>4</w:t>
      </w:r>
      <w:r w:rsidRPr="004A1368" w:rsidR="006A46D4">
        <w:rPr>
          <w:rFonts w:ascii="Verdana" w:hAnsi="Verdana"/>
        </w:rPr>
        <w:t>8</w:t>
      </w:r>
      <w:r w:rsidRPr="004A1368">
        <w:rPr>
          <w:rFonts w:ascii="Verdana" w:hAnsi="Verdana"/>
        </w:rPr>
        <w:t>. Procurement and implementation should preserve interoperability, data portability, auditability, contingency arrangements, and the ability to replace a model or supplier without losing the pathway around it. Clinical academics and other boundary-spanning professionals should be treated as implementation infrastructure, with protected time, viable roles, mentorship, and institutional support.</w:t>
      </w:r>
    </w:p>
    <w:p w:rsidR="00573DA9" w:rsidRPr="004A1368" w:rsidP="00573DA9">
      <w:pPr>
        <w:rPr>
          <w:rFonts w:ascii="Verdana" w:hAnsi="Verdana"/>
        </w:rPr>
      </w:pPr>
      <w:r w:rsidRPr="004A1368">
        <w:rPr>
          <w:rFonts w:ascii="Verdana" w:hAnsi="Verdana"/>
        </w:rPr>
        <w:t>S1</w:t>
      </w:r>
      <w:r w:rsidRPr="004A1368" w:rsidR="006A46D4">
        <w:rPr>
          <w:rFonts w:ascii="Verdana" w:hAnsi="Verdana"/>
        </w:rPr>
        <w:t>49</w:t>
      </w:r>
      <w:r w:rsidRPr="004A1368">
        <w:rPr>
          <w:rFonts w:ascii="Verdana" w:hAnsi="Verdana"/>
        </w:rPr>
        <w:t>. Personalised medicine must also operate within a resilient health system. Dynamic monitoring may help identify changing vulnerability, including vulnerability to heat, but cannot substitute for safe buildings, adequate staffing, heat-health planning, and resilient physical and digital infrastructure.</w:t>
      </w:r>
    </w:p>
    <w:p w:rsidR="009941EB" w:rsidRPr="004A1368" w:rsidP="009941EB">
      <w:pPr>
        <w:rPr>
          <w:rFonts w:ascii="Verdana" w:hAnsi="Verdana"/>
        </w:rPr>
      </w:pPr>
      <w:r w:rsidRPr="004A1368">
        <w:rPr>
          <w:rFonts w:ascii="Verdana" w:hAnsi="Verdana"/>
        </w:rPr>
        <w:t>S15</w:t>
      </w:r>
      <w:r w:rsidRPr="004A1368" w:rsidR="006A46D4">
        <w:rPr>
          <w:rFonts w:ascii="Verdana" w:hAnsi="Verdana"/>
        </w:rPr>
        <w:t>0</w:t>
      </w:r>
      <w:r w:rsidRPr="004A1368">
        <w:rPr>
          <w:rFonts w:ascii="Verdana" w:hAnsi="Verdana"/>
        </w:rPr>
        <w:t>. Personalised medicine is too important to be reduced to increasingly granular classification. Its purpose is to improve the accuracy and timing of decisions for individual patients by connecting molecular identity with changing physiology, behaviour, function, treatment, environment, and time.</w:t>
      </w:r>
    </w:p>
    <w:p w:rsidR="00DA6155" w:rsidRPr="004A1368" w:rsidP="009E2340">
      <w:pPr>
        <w:rPr>
          <w:rFonts w:ascii="Verdana" w:hAnsi="Verdana"/>
        </w:rPr>
      </w:pPr>
      <w:r w:rsidRPr="004A1368">
        <w:rPr>
          <w:rFonts w:ascii="Verdana" w:hAnsi="Verdana"/>
        </w:rPr>
        <w:t>S15</w:t>
      </w:r>
      <w:r w:rsidRPr="004A1368" w:rsidR="006A46D4">
        <w:rPr>
          <w:rFonts w:ascii="Verdana" w:hAnsi="Verdana"/>
        </w:rPr>
        <w:t>1</w:t>
      </w:r>
      <w:r w:rsidRPr="004A1368">
        <w:rPr>
          <w:rFonts w:ascii="Verdana" w:hAnsi="Verdana"/>
        </w:rPr>
        <w:t>. By measuring change, funding pathways, and intervening at the right time, the UK could improve patient care while building internationally valuable capability in the responsible deployment of personalised medicine and AI.</w:t>
      </w:r>
    </w:p>
    <w:p w:rsidR="00FA4770" w:rsidRPr="004A1368" w:rsidP="00DA6155">
      <w:pPr>
        <w:spacing w:after="0"/>
        <w:rPr>
          <w:rFonts w:ascii="Verdana" w:hAnsi="Verdana"/>
        </w:rPr>
      </w:pPr>
    </w:p>
    <w:p w:rsidR="009E2340" w:rsidRPr="004A1368" w:rsidP="00DA6155">
      <w:pPr>
        <w:spacing w:after="0"/>
        <w:rPr>
          <w:rFonts w:ascii="Verdana" w:hAnsi="Verdana"/>
        </w:rPr>
      </w:pPr>
      <w:r w:rsidRPr="004A1368">
        <w:rPr>
          <w:rFonts w:ascii="Verdana" w:hAnsi="Verdana"/>
        </w:rPr>
        <w:t>Dr Nina M Rzechorzek</w:t>
      </w:r>
    </w:p>
    <w:p w:rsidR="009E2340" w:rsidRPr="004A1368" w:rsidP="00DA6155">
      <w:pPr>
        <w:spacing w:after="0"/>
        <w:rPr>
          <w:rFonts w:ascii="Verdana" w:hAnsi="Verdana"/>
        </w:rPr>
      </w:pPr>
      <w:r w:rsidRPr="004A1368">
        <w:rPr>
          <w:rFonts w:ascii="Verdana" w:hAnsi="Verdana"/>
        </w:rPr>
        <w:t xml:space="preserve">BSc (Hons) MA PhD VetMB </w:t>
      </w:r>
      <w:r w:rsidRPr="004A1368">
        <w:rPr>
          <w:rFonts w:ascii="Verdana" w:hAnsi="Verdana"/>
        </w:rPr>
        <w:t>DipECVN</w:t>
      </w:r>
      <w:r w:rsidRPr="004A1368">
        <w:rPr>
          <w:rFonts w:ascii="Verdana" w:hAnsi="Verdana"/>
        </w:rPr>
        <w:t xml:space="preserve"> MRCVS</w:t>
      </w:r>
    </w:p>
    <w:p w:rsidR="009E2340" w:rsidRPr="004A1368" w:rsidP="00DA6155">
      <w:pPr>
        <w:spacing w:after="0"/>
        <w:rPr>
          <w:rFonts w:ascii="Verdana" w:hAnsi="Verdana"/>
        </w:rPr>
      </w:pPr>
      <w:r w:rsidRPr="004A1368">
        <w:rPr>
          <w:rFonts w:ascii="Verdana" w:hAnsi="Verdana"/>
        </w:rPr>
        <w:t>June 2026</w:t>
      </w:r>
    </w:p>
    <w:p w:rsidR="009E2340" w:rsidRPr="004A1368" w:rsidP="009E2340">
      <w:pPr>
        <w:rPr>
          <w:rFonts w:ascii="Verdana" w:hAnsi="Verdana"/>
          <w:b/>
          <w:bCs/>
        </w:rPr>
      </w:pPr>
      <w:r w:rsidRPr="004A1368">
        <w:rPr>
          <w:rFonts w:ascii="Verdana" w:hAnsi="Verdana"/>
          <w:b/>
          <w:bCs/>
        </w:rPr>
        <w:t>DECLARATION OF INTERESTS</w:t>
      </w:r>
    </w:p>
    <w:p w:rsidR="009E2340" w:rsidRPr="004A1368" w:rsidP="009E2340">
      <w:pPr>
        <w:rPr>
          <w:rFonts w:ascii="Verdana" w:hAnsi="Verdana"/>
        </w:rPr>
      </w:pPr>
      <w:r w:rsidRPr="004A1368">
        <w:rPr>
          <w:rFonts w:ascii="Verdana" w:hAnsi="Verdana"/>
        </w:rPr>
        <w:t>The author is an MRC Clinician Scientist and a member of the Executive Board of the Cambridge Precision Health Strategic Research Initiative.</w:t>
      </w:r>
      <w:r w:rsidRPr="004A1368" w:rsidR="00032E0C">
        <w:rPr>
          <w:rFonts w:ascii="Verdana" w:hAnsi="Verdana"/>
        </w:rPr>
        <w:t xml:space="preserve"> </w:t>
      </w:r>
      <w:r w:rsidRPr="004A1368">
        <w:rPr>
          <w:rFonts w:ascii="Verdana" w:hAnsi="Verdana"/>
        </w:rPr>
        <w:t>She previously completed an R&amp;D secondment with AstraZeneca Neuroscience and holds no current role with AstraZeneca.</w:t>
      </w:r>
      <w:r w:rsidRPr="004A1368" w:rsidR="00032E0C">
        <w:rPr>
          <w:rFonts w:ascii="Verdana" w:hAnsi="Verdana"/>
        </w:rPr>
        <w:t xml:space="preserve"> </w:t>
      </w:r>
      <w:r w:rsidRPr="004A1368">
        <w:rPr>
          <w:rFonts w:ascii="Verdana" w:hAnsi="Verdana"/>
        </w:rPr>
        <w:t xml:space="preserve">She is Clinical and Scientific Advisor to </w:t>
      </w:r>
      <w:r w:rsidRPr="004A1368">
        <w:rPr>
          <w:rFonts w:ascii="Verdana" w:hAnsi="Verdana"/>
        </w:rPr>
        <w:t>SomNyx</w:t>
      </w:r>
      <w:r w:rsidRPr="004A1368">
        <w:rPr>
          <w:rFonts w:ascii="Verdana" w:hAnsi="Verdana"/>
        </w:rPr>
        <w:t xml:space="preserve"> Ltd. Any reference to </w:t>
      </w:r>
      <w:r w:rsidRPr="004A1368" w:rsidR="00032E0C">
        <w:rPr>
          <w:rFonts w:ascii="Verdana" w:hAnsi="Verdana"/>
        </w:rPr>
        <w:t>related</w:t>
      </w:r>
      <w:r w:rsidRPr="004A1368">
        <w:rPr>
          <w:rFonts w:ascii="Verdana" w:hAnsi="Verdana"/>
        </w:rPr>
        <w:t xml:space="preserve"> work is included solely to illustrate a general gap in translational funding and clinical validation</w:t>
      </w:r>
      <w:r w:rsidRPr="004A1368" w:rsidR="00693A1B">
        <w:rPr>
          <w:rFonts w:ascii="Verdana" w:hAnsi="Verdana"/>
        </w:rPr>
        <w:t>;</w:t>
      </w:r>
      <w:r w:rsidRPr="004A1368">
        <w:rPr>
          <w:rFonts w:ascii="Verdana" w:hAnsi="Verdana"/>
        </w:rPr>
        <w:t xml:space="preserve"> no product claim is made.</w:t>
      </w:r>
      <w:r w:rsidRPr="004A1368" w:rsidR="00032E0C">
        <w:rPr>
          <w:rFonts w:ascii="Verdana" w:hAnsi="Verdana"/>
        </w:rPr>
        <w:t xml:space="preserve"> </w:t>
      </w:r>
      <w:r w:rsidRPr="004A1368">
        <w:rPr>
          <w:rFonts w:ascii="Verdana" w:hAnsi="Verdana"/>
        </w:rPr>
        <w:t xml:space="preserve">She is also a Trustee and Management Committee member of Altitude Physiology Expeditions, and a co-founder of </w:t>
      </w:r>
      <w:r w:rsidRPr="004A1368">
        <w:rPr>
          <w:rFonts w:ascii="Verdana" w:hAnsi="Verdana"/>
        </w:rPr>
        <w:t>BioClocks</w:t>
      </w:r>
      <w:r w:rsidRPr="004A1368">
        <w:rPr>
          <w:rFonts w:ascii="Verdana" w:hAnsi="Verdana"/>
        </w:rPr>
        <w:t xml:space="preserve"> UK and the Cambridge Wearables Innovation Forum.</w:t>
      </w:r>
      <w:r w:rsidRPr="004A1368" w:rsidR="00032E0C">
        <w:rPr>
          <w:rFonts w:ascii="Verdana" w:hAnsi="Verdana"/>
        </w:rPr>
        <w:t xml:space="preserve"> </w:t>
      </w:r>
      <w:r w:rsidRPr="004A1368">
        <w:rPr>
          <w:rFonts w:ascii="Verdana" w:hAnsi="Verdana"/>
        </w:rPr>
        <w:t>The views expressed in this supplementary note are the author’s own.</w:t>
      </w:r>
    </w:p>
    <w:p w:rsidR="00252A12" w:rsidRPr="004A1368" w:rsidP="009E2340">
      <w:pPr>
        <w:rPr>
          <w:rFonts w:ascii="Verdana" w:hAnsi="Verdana"/>
        </w:rPr>
      </w:pPr>
    </w:p>
    <w:p w:rsidR="009E2340" w:rsidRPr="004A1368" w:rsidP="009E2340">
      <w:pPr>
        <w:rPr>
          <w:rFonts w:ascii="Verdana" w:hAnsi="Verdana"/>
          <w:b/>
          <w:bCs/>
        </w:rPr>
      </w:pPr>
      <w:r w:rsidRPr="004A1368">
        <w:rPr>
          <w:rFonts w:ascii="Verdana" w:hAnsi="Verdana"/>
          <w:b/>
          <w:bCs/>
        </w:rPr>
        <w:t>REFERENCES</w:t>
      </w:r>
    </w:p>
    <w:p w:rsidR="0061665A" w:rsidRPr="004A1368" w:rsidP="0061665A">
      <w:pPr>
        <w:numPr>
          <w:ilvl w:val="0"/>
          <w:numId w:val="12"/>
        </w:numPr>
        <w:rPr>
          <w:rFonts w:ascii="Verdana" w:hAnsi="Verdana"/>
        </w:rPr>
      </w:pPr>
      <w:r w:rsidRPr="004A1368">
        <w:rPr>
          <w:rFonts w:ascii="Verdana" w:hAnsi="Verdana"/>
        </w:rPr>
        <w:t xml:space="preserve">House of Lords Science and Technology Committee. </w:t>
      </w:r>
      <w:r>
        <w:fldChar w:fldCharType="begin"/>
      </w:r>
      <w:r>
        <w:instrText xml:space="preserve"> HYPERLINK "https://committees.parliament.uk/oralevidence/17423/html/" </w:instrText>
      </w:r>
      <w:r>
        <w:fldChar w:fldCharType="separate"/>
      </w:r>
      <w:r w:rsidRPr="004A1368">
        <w:rPr>
          <w:rStyle w:val="Hyperlink"/>
          <w:rFonts w:ascii="Verdana" w:hAnsi="Verdana"/>
          <w:i/>
          <w:iCs/>
        </w:rPr>
        <w:t>Corrected oral evidence: Innovation in the NHS: personalised medicine and AI</w:t>
      </w:r>
      <w:r w:rsidRPr="004A1368">
        <w:rPr>
          <w:rStyle w:val="Hyperlink"/>
          <w:rFonts w:ascii="Verdana" w:hAnsi="Verdana"/>
        </w:rPr>
        <w:t>.</w:t>
      </w:r>
      <w:r>
        <w:fldChar w:fldCharType="end"/>
      </w:r>
      <w:r w:rsidRPr="004A1368">
        <w:rPr>
          <w:rFonts w:ascii="Verdana" w:hAnsi="Verdana"/>
        </w:rPr>
        <w:t xml:space="preserve"> Evidence of Professor Anneke Lucassen, 24 March 2026. London: UK Parliament; 2026.</w:t>
      </w:r>
    </w:p>
    <w:p w:rsidR="009E2340" w:rsidRPr="004A1368" w:rsidP="009E2340">
      <w:pPr>
        <w:numPr>
          <w:ilvl w:val="0"/>
          <w:numId w:val="12"/>
        </w:numPr>
        <w:rPr>
          <w:rFonts w:ascii="Verdana" w:hAnsi="Verdana"/>
        </w:rPr>
      </w:pPr>
      <w:r w:rsidRPr="004A1368">
        <w:rPr>
          <w:rFonts w:ascii="Verdana" w:hAnsi="Verdana"/>
        </w:rPr>
        <w:t xml:space="preserve">van der Schaar M. </w:t>
      </w:r>
      <w:r>
        <w:fldChar w:fldCharType="begin"/>
      </w:r>
      <w:r>
        <w:instrText xml:space="preserve"> HYPERLINK "https://www.vanderschaar-lab.com/open-beginningness/" </w:instrText>
      </w:r>
      <w:r>
        <w:fldChar w:fldCharType="separate"/>
      </w:r>
      <w:r w:rsidRPr="004A1368">
        <w:rPr>
          <w:rStyle w:val="Hyperlink"/>
          <w:rFonts w:ascii="Verdana" w:hAnsi="Verdana"/>
          <w:i/>
          <w:iCs/>
        </w:rPr>
        <w:t>From Phenomena to Problems: Open-</w:t>
      </w:r>
      <w:r w:rsidRPr="004A1368">
        <w:rPr>
          <w:rStyle w:val="Hyperlink"/>
          <w:rFonts w:ascii="Verdana" w:hAnsi="Verdana"/>
          <w:i/>
          <w:iCs/>
        </w:rPr>
        <w:t>Beginningness</w:t>
      </w:r>
      <w:r w:rsidRPr="004A1368">
        <w:rPr>
          <w:rStyle w:val="Hyperlink"/>
          <w:rFonts w:ascii="Verdana" w:hAnsi="Verdana"/>
          <w:i/>
          <w:iCs/>
        </w:rPr>
        <w:t xml:space="preserve"> and the Next Frontier of AI</w:t>
      </w:r>
      <w:r>
        <w:fldChar w:fldCharType="end"/>
      </w:r>
      <w:r w:rsidRPr="004A1368">
        <w:rPr>
          <w:rFonts w:ascii="Verdana" w:hAnsi="Verdana"/>
        </w:rPr>
        <w:t>. Cambridge: van der Schaar Lab; June 2026. White paper.</w:t>
      </w:r>
      <w:r w:rsidRPr="004A1368" w:rsidR="0095621D">
        <w:rPr>
          <w:rFonts w:ascii="Verdana" w:hAnsi="Verdana"/>
        </w:rPr>
        <w:t xml:space="preserve"> </w:t>
      </w:r>
    </w:p>
    <w:p w:rsidR="0061665A" w:rsidRPr="004A1368" w:rsidP="0061665A">
      <w:pPr>
        <w:numPr>
          <w:ilvl w:val="0"/>
          <w:numId w:val="12"/>
        </w:numPr>
        <w:rPr>
          <w:rFonts w:ascii="Verdana" w:hAnsi="Verdana"/>
        </w:rPr>
      </w:pPr>
      <w:r w:rsidRPr="004A1368">
        <w:rPr>
          <w:rFonts w:ascii="Verdana" w:hAnsi="Verdana"/>
        </w:rPr>
        <w:t xml:space="preserve">Rzechorzek NM, Thrippleton MJ, Chappell FM, Mair G, Ercole A, </w:t>
      </w:r>
      <w:r w:rsidRPr="004A1368">
        <w:rPr>
          <w:rFonts w:ascii="Verdana" w:hAnsi="Verdana"/>
        </w:rPr>
        <w:t>Cabeleira</w:t>
      </w:r>
      <w:r w:rsidRPr="004A1368">
        <w:rPr>
          <w:rFonts w:ascii="Verdana" w:hAnsi="Verdana"/>
        </w:rPr>
        <w:t xml:space="preserve"> M, et al. A daily temperature rhythm in the human brain predicts survival after brain injury. </w:t>
      </w:r>
      <w:r w:rsidRPr="004A1368">
        <w:rPr>
          <w:rFonts w:ascii="Verdana" w:hAnsi="Verdana"/>
          <w:i/>
          <w:iCs/>
        </w:rPr>
        <w:t>Brain</w:t>
      </w:r>
      <w:r w:rsidRPr="004A1368">
        <w:rPr>
          <w:rFonts w:ascii="Verdana" w:hAnsi="Verdana"/>
        </w:rPr>
        <w:t xml:space="preserve">. 2022;145(6):2031–2048. </w:t>
      </w:r>
      <w:r>
        <w:fldChar w:fldCharType="begin"/>
      </w:r>
      <w:r>
        <w:instrText xml:space="preserve"> HYPERLINK "https://doi.org/10.1093/brain/awab466" </w:instrText>
      </w:r>
      <w:r>
        <w:fldChar w:fldCharType="separate"/>
      </w:r>
      <w:r w:rsidRPr="004A1368">
        <w:rPr>
          <w:rStyle w:val="Hyperlink"/>
          <w:rFonts w:ascii="Verdana" w:hAnsi="Verdana"/>
        </w:rPr>
        <w:t>doi:10.1093/brain/awab466</w:t>
      </w:r>
      <w:r>
        <w:fldChar w:fldCharType="end"/>
      </w:r>
      <w:r w:rsidRPr="004A1368">
        <w:rPr>
          <w:rFonts w:ascii="Verdana" w:hAnsi="Verdana"/>
        </w:rPr>
        <w:t>.</w:t>
      </w:r>
    </w:p>
    <w:p w:rsidR="0061665A" w:rsidRPr="004A1368" w:rsidP="0061665A">
      <w:pPr>
        <w:numPr>
          <w:ilvl w:val="0"/>
          <w:numId w:val="12"/>
        </w:numPr>
        <w:rPr>
          <w:rFonts w:ascii="Verdana" w:hAnsi="Verdana"/>
        </w:rPr>
      </w:pPr>
      <w:r w:rsidRPr="004A1368">
        <w:rPr>
          <w:rFonts w:ascii="Verdana" w:hAnsi="Verdana"/>
        </w:rPr>
        <w:t xml:space="preserve">Gonzalez-Aponte MF, Damato AR, Simon T, </w:t>
      </w:r>
      <w:r w:rsidRPr="004A1368">
        <w:rPr>
          <w:rFonts w:ascii="Verdana" w:hAnsi="Verdana"/>
        </w:rPr>
        <w:t>Aripova</w:t>
      </w:r>
      <w:r w:rsidRPr="004A1368">
        <w:rPr>
          <w:rFonts w:ascii="Verdana" w:hAnsi="Verdana"/>
        </w:rPr>
        <w:t xml:space="preserve"> N, Darby F, Jeon MS, et al. Daily glucocorticoids promote glioblastoma growth and circadian synchrony to the host. </w:t>
      </w:r>
      <w:r w:rsidRPr="004A1368">
        <w:rPr>
          <w:rFonts w:ascii="Verdana" w:hAnsi="Verdana"/>
          <w:i/>
          <w:iCs/>
        </w:rPr>
        <w:t>Cancer Cell</w:t>
      </w:r>
      <w:r w:rsidRPr="004A1368">
        <w:rPr>
          <w:rFonts w:ascii="Verdana" w:hAnsi="Verdana"/>
        </w:rPr>
        <w:t xml:space="preserve">. 2025;43(1):144–160.e7. </w:t>
      </w:r>
      <w:r>
        <w:fldChar w:fldCharType="begin"/>
      </w:r>
      <w:r>
        <w:instrText xml:space="preserve"> HYPERLINK "https://doi.org/10.1016/j.ccell.2024.11.012" </w:instrText>
      </w:r>
      <w:r>
        <w:fldChar w:fldCharType="separate"/>
      </w:r>
      <w:r w:rsidRPr="004A1368">
        <w:rPr>
          <w:rStyle w:val="Hyperlink"/>
          <w:rFonts w:ascii="Verdana" w:hAnsi="Verdana"/>
        </w:rPr>
        <w:t>doi:10.1016/j.ccell</w:t>
      </w:r>
      <w:r w:rsidRPr="004A1368">
        <w:rPr>
          <w:rStyle w:val="Hyperlink"/>
          <w:rFonts w:ascii="Verdana" w:hAnsi="Verdana"/>
        </w:rPr>
        <w:t>.2024.11.012</w:t>
      </w:r>
      <w:r>
        <w:fldChar w:fldCharType="end"/>
      </w:r>
      <w:r w:rsidRPr="004A1368">
        <w:rPr>
          <w:rFonts w:ascii="Verdana" w:hAnsi="Verdana"/>
        </w:rPr>
        <w:t>.</w:t>
      </w:r>
    </w:p>
    <w:p w:rsidR="0061665A" w:rsidRPr="004A1368" w:rsidP="0061665A">
      <w:pPr>
        <w:numPr>
          <w:ilvl w:val="0"/>
          <w:numId w:val="12"/>
        </w:numPr>
        <w:rPr>
          <w:rFonts w:ascii="Verdana" w:hAnsi="Verdana"/>
        </w:rPr>
      </w:pPr>
      <w:r w:rsidRPr="004A1368">
        <w:rPr>
          <w:rFonts w:ascii="Verdana" w:hAnsi="Verdana"/>
        </w:rPr>
        <w:t xml:space="preserve">Thapa R, Kjaer MR, He B, Covert I, Moore H IV, Hanif U, et al. A multimodal sleep foundation model for disease prediction. </w:t>
      </w:r>
      <w:r w:rsidRPr="004A1368">
        <w:rPr>
          <w:rFonts w:ascii="Verdana" w:hAnsi="Verdana"/>
          <w:i/>
          <w:iCs/>
        </w:rPr>
        <w:t>Nature Medicine</w:t>
      </w:r>
      <w:r w:rsidRPr="004A1368">
        <w:rPr>
          <w:rFonts w:ascii="Verdana" w:hAnsi="Verdana"/>
        </w:rPr>
        <w:t xml:space="preserve">. 2026;32(2):752–762. </w:t>
      </w:r>
      <w:r>
        <w:fldChar w:fldCharType="begin"/>
      </w:r>
      <w:r>
        <w:instrText xml:space="preserve"> HYPERLINK "https://doi.org/10.1038/s41591-025-04133-4" </w:instrText>
      </w:r>
      <w:r>
        <w:fldChar w:fldCharType="separate"/>
      </w:r>
      <w:r w:rsidRPr="004A1368">
        <w:rPr>
          <w:rStyle w:val="Hyperlink"/>
          <w:rFonts w:ascii="Verdana" w:hAnsi="Verdana"/>
        </w:rPr>
        <w:t>doi:10.1038/s41591-025-04133-4</w:t>
      </w:r>
      <w:r>
        <w:fldChar w:fldCharType="end"/>
      </w:r>
      <w:r w:rsidRPr="004A1368">
        <w:rPr>
          <w:rFonts w:ascii="Verdana" w:hAnsi="Verdana"/>
        </w:rPr>
        <w:t>.</w:t>
      </w:r>
    </w:p>
    <w:p w:rsidR="0061665A" w:rsidRPr="004A1368" w:rsidP="0061665A">
      <w:pPr>
        <w:numPr>
          <w:ilvl w:val="0"/>
          <w:numId w:val="12"/>
        </w:numPr>
        <w:rPr>
          <w:rFonts w:ascii="Verdana" w:hAnsi="Verdana"/>
        </w:rPr>
      </w:pPr>
      <w:r w:rsidRPr="004A1368">
        <w:rPr>
          <w:rFonts w:ascii="Verdana" w:hAnsi="Verdana"/>
        </w:rPr>
        <w:t xml:space="preserve">Kopka M, von </w:t>
      </w:r>
      <w:r w:rsidRPr="004A1368">
        <w:rPr>
          <w:rFonts w:ascii="Verdana" w:hAnsi="Verdana"/>
        </w:rPr>
        <w:t>Kalckreuth</w:t>
      </w:r>
      <w:r w:rsidRPr="004A1368">
        <w:rPr>
          <w:rFonts w:ascii="Verdana" w:hAnsi="Verdana"/>
        </w:rPr>
        <w:t xml:space="preserve"> N, </w:t>
      </w:r>
      <w:r w:rsidRPr="004A1368">
        <w:rPr>
          <w:rFonts w:ascii="Verdana" w:hAnsi="Verdana"/>
        </w:rPr>
        <w:t>Feufel</w:t>
      </w:r>
      <w:r w:rsidRPr="004A1368">
        <w:rPr>
          <w:rFonts w:ascii="Verdana" w:hAnsi="Verdana"/>
        </w:rPr>
        <w:t xml:space="preserve"> MA. Accuracy of online symptom assessment applications, large language models, and laypeople for self-triage decisions: a systematic review. </w:t>
      </w:r>
      <w:r w:rsidRPr="004A1368">
        <w:rPr>
          <w:rFonts w:ascii="Verdana" w:hAnsi="Verdana"/>
          <w:i/>
          <w:iCs/>
        </w:rPr>
        <w:t>npj</w:t>
      </w:r>
      <w:r w:rsidRPr="004A1368">
        <w:rPr>
          <w:rFonts w:ascii="Verdana" w:hAnsi="Verdana"/>
          <w:i/>
          <w:iCs/>
        </w:rPr>
        <w:t xml:space="preserve"> Digital Medicine</w:t>
      </w:r>
      <w:r w:rsidRPr="004A1368">
        <w:rPr>
          <w:rFonts w:ascii="Verdana" w:hAnsi="Verdana"/>
        </w:rPr>
        <w:t xml:space="preserve">. </w:t>
      </w:r>
      <w:r w:rsidRPr="004A1368">
        <w:rPr>
          <w:rFonts w:ascii="Verdana" w:hAnsi="Verdana"/>
        </w:rPr>
        <w:t>2025;8:178</w:t>
      </w:r>
      <w:r w:rsidRPr="004A1368">
        <w:rPr>
          <w:rFonts w:ascii="Verdana" w:hAnsi="Verdana"/>
        </w:rPr>
        <w:t>.</w:t>
      </w:r>
      <w:r w:rsidRPr="004A1368" w:rsidR="009941EB">
        <w:rPr>
          <w:rFonts w:ascii="Verdana" w:hAnsi="Verdana"/>
        </w:rPr>
        <w:t xml:space="preserve"> </w:t>
      </w:r>
      <w:r>
        <w:fldChar w:fldCharType="begin"/>
      </w:r>
      <w:r>
        <w:instrText xml:space="preserve"> HYPERLINK "https://doi.org/10.1038/s41746-025-01566-6" </w:instrText>
      </w:r>
      <w:r>
        <w:fldChar w:fldCharType="separate"/>
      </w:r>
      <w:r w:rsidRPr="004A1368" w:rsidR="009941EB">
        <w:rPr>
          <w:rStyle w:val="Hyperlink"/>
          <w:rFonts w:ascii="Verdana" w:hAnsi="Verdana"/>
        </w:rPr>
        <w:t>doi:10.1038/s41746-025-01566-6</w:t>
      </w:r>
      <w:r>
        <w:fldChar w:fldCharType="end"/>
      </w:r>
      <w:r w:rsidRPr="004A1368" w:rsidR="009941EB">
        <w:rPr>
          <w:rFonts w:ascii="Verdana" w:hAnsi="Verdana"/>
        </w:rPr>
        <w:t>.</w:t>
      </w:r>
      <w:r w:rsidRPr="004A1368">
        <w:rPr>
          <w:rFonts w:ascii="Verdana" w:hAnsi="Verdana"/>
        </w:rPr>
        <w:t xml:space="preserve"> </w:t>
      </w:r>
    </w:p>
    <w:p w:rsidR="0061665A" w:rsidRPr="004A1368" w:rsidP="0061665A">
      <w:pPr>
        <w:numPr>
          <w:ilvl w:val="0"/>
          <w:numId w:val="12"/>
        </w:numPr>
        <w:rPr>
          <w:rFonts w:ascii="Verdana" w:hAnsi="Verdana"/>
        </w:rPr>
      </w:pPr>
      <w:r w:rsidRPr="004A1368">
        <w:rPr>
          <w:rFonts w:ascii="Verdana" w:hAnsi="Verdana"/>
        </w:rPr>
        <w:t xml:space="preserve">Stokel-Walker C. Scientists invented a fake disease. AI told people it was real. </w:t>
      </w:r>
      <w:r w:rsidRPr="004A1368">
        <w:rPr>
          <w:rFonts w:ascii="Verdana" w:hAnsi="Verdana"/>
          <w:i/>
          <w:iCs/>
        </w:rPr>
        <w:t>Nature</w:t>
      </w:r>
      <w:r w:rsidRPr="004A1368">
        <w:rPr>
          <w:rFonts w:ascii="Verdana" w:hAnsi="Verdana"/>
        </w:rPr>
        <w:t xml:space="preserve">. </w:t>
      </w:r>
      <w:r w:rsidRPr="004A1368">
        <w:rPr>
          <w:rFonts w:ascii="Verdana" w:hAnsi="Verdana"/>
        </w:rPr>
        <w:t>2026;652:559</w:t>
      </w:r>
      <w:r w:rsidRPr="004A1368">
        <w:rPr>
          <w:rFonts w:ascii="Verdana" w:hAnsi="Verdana"/>
        </w:rPr>
        <w:t>–561.</w:t>
      </w:r>
      <w:r w:rsidRPr="004A1368" w:rsidR="009941EB">
        <w:rPr>
          <w:rFonts w:ascii="Verdana" w:hAnsi="Verdana"/>
        </w:rPr>
        <w:t xml:space="preserve"> </w:t>
      </w:r>
      <w:r>
        <w:fldChar w:fldCharType="begin"/>
      </w:r>
      <w:r>
        <w:instrText xml:space="preserve"> HYPERLINK "https://doi.org/10.1038/d41586-026-01100-y" </w:instrText>
      </w:r>
      <w:r>
        <w:fldChar w:fldCharType="separate"/>
      </w:r>
      <w:r w:rsidRPr="004A1368" w:rsidR="009941EB">
        <w:rPr>
          <w:rStyle w:val="Hyperlink"/>
          <w:rFonts w:ascii="Verdana" w:hAnsi="Verdana"/>
        </w:rPr>
        <w:t>doi:10.1038/d41586-026-01100-y</w:t>
      </w:r>
      <w:r>
        <w:fldChar w:fldCharType="end"/>
      </w:r>
      <w:r w:rsidRPr="004A1368" w:rsidR="009941EB">
        <w:rPr>
          <w:rFonts w:ascii="Verdana" w:hAnsi="Verdana"/>
        </w:rPr>
        <w:t xml:space="preserve">. </w:t>
      </w:r>
    </w:p>
    <w:p w:rsidR="0061665A" w:rsidRPr="004A1368" w:rsidP="0061665A">
      <w:pPr>
        <w:numPr>
          <w:ilvl w:val="0"/>
          <w:numId w:val="12"/>
        </w:numPr>
        <w:rPr>
          <w:rFonts w:ascii="Verdana" w:hAnsi="Verdana"/>
        </w:rPr>
      </w:pPr>
      <w:r w:rsidRPr="004A1368">
        <w:rPr>
          <w:rFonts w:ascii="Verdana" w:hAnsi="Verdana"/>
        </w:rPr>
        <w:t xml:space="preserve">Wang Y-X, Farland LV, Gaskins AJ, Wang S, Terry KL, Rexrode KM, et al. Endometriosis and uterine fibroids and risk of premature mortality: prospective cohort study. </w:t>
      </w:r>
      <w:r w:rsidRPr="004A1368">
        <w:rPr>
          <w:rFonts w:ascii="Verdana" w:hAnsi="Verdana"/>
          <w:i/>
          <w:iCs/>
        </w:rPr>
        <w:t>BMJ</w:t>
      </w:r>
      <w:r w:rsidRPr="004A1368">
        <w:rPr>
          <w:rFonts w:ascii="Verdana" w:hAnsi="Verdana"/>
        </w:rPr>
        <w:t>. 2024;</w:t>
      </w:r>
      <w:r w:rsidRPr="004A1368">
        <w:rPr>
          <w:rFonts w:ascii="Verdana" w:hAnsi="Verdana"/>
        </w:rPr>
        <w:t>387:e</w:t>
      </w:r>
      <w:r w:rsidRPr="004A1368">
        <w:rPr>
          <w:rFonts w:ascii="Verdana" w:hAnsi="Verdana"/>
        </w:rPr>
        <w:t xml:space="preserve">078797. </w:t>
      </w:r>
      <w:r>
        <w:fldChar w:fldCharType="begin"/>
      </w:r>
      <w:r>
        <w:instrText xml:space="preserve"> HYPERLINK "https://doi.org/10.1136/bmj-2023-078797%20(" </w:instrText>
      </w:r>
      <w:r>
        <w:fldChar w:fldCharType="separate"/>
      </w:r>
      <w:r w:rsidRPr="004A1368">
        <w:rPr>
          <w:rStyle w:val="Hyperlink"/>
          <w:rFonts w:ascii="Verdana" w:hAnsi="Verdana"/>
        </w:rPr>
        <w:t>doi:10.1136/bmj-2023-078797</w:t>
      </w:r>
      <w:r>
        <w:fldChar w:fldCharType="end"/>
      </w:r>
      <w:r w:rsidRPr="004A1368">
        <w:rPr>
          <w:rFonts w:ascii="Verdana" w:hAnsi="Verdana"/>
        </w:rPr>
        <w:t xml:space="preserve">. </w:t>
      </w:r>
    </w:p>
    <w:p w:rsidR="0061665A" w:rsidRPr="004A1368" w:rsidP="0061665A">
      <w:pPr>
        <w:numPr>
          <w:ilvl w:val="0"/>
          <w:numId w:val="12"/>
        </w:numPr>
        <w:rPr>
          <w:rFonts w:ascii="Verdana" w:hAnsi="Verdana"/>
        </w:rPr>
      </w:pPr>
      <w:r w:rsidRPr="004A1368">
        <w:rPr>
          <w:rFonts w:ascii="Verdana" w:hAnsi="Verdana"/>
        </w:rPr>
        <w:t xml:space="preserve">Ercole A. Incentives, equilibria, and the limits of healthcare AI: a game-theoretic perspective. </w:t>
      </w:r>
      <w:r w:rsidRPr="004A1368">
        <w:rPr>
          <w:rFonts w:ascii="Verdana" w:hAnsi="Verdana"/>
          <w:i/>
          <w:iCs/>
        </w:rPr>
        <w:t>arXiv</w:t>
      </w:r>
      <w:r w:rsidRPr="004A1368">
        <w:rPr>
          <w:rFonts w:ascii="Verdana" w:hAnsi="Verdana"/>
        </w:rPr>
        <w:t xml:space="preserve"> [preprint]. 2026:2603.28825. </w:t>
      </w:r>
      <w:r>
        <w:fldChar w:fldCharType="begin"/>
      </w:r>
      <w:r>
        <w:instrText xml:space="preserve"> HYPERLINK "https://doi.org/10.48550/arXiv.2603.28825" </w:instrText>
      </w:r>
      <w:r>
        <w:fldChar w:fldCharType="separate"/>
      </w:r>
      <w:r w:rsidRPr="004A1368">
        <w:rPr>
          <w:rStyle w:val="Hyperlink"/>
          <w:rFonts w:ascii="Verdana" w:hAnsi="Verdana"/>
        </w:rPr>
        <w:t>doi:10.48550/arXiv.2603.28825</w:t>
      </w:r>
      <w:r>
        <w:fldChar w:fldCharType="end"/>
      </w:r>
      <w:r w:rsidRPr="004A1368">
        <w:rPr>
          <w:rFonts w:ascii="Verdana" w:hAnsi="Verdana"/>
        </w:rPr>
        <w:t>.</w:t>
      </w:r>
    </w:p>
    <w:p w:rsidR="0061665A" w:rsidRPr="004A1368" w:rsidP="0061665A">
      <w:pPr>
        <w:numPr>
          <w:ilvl w:val="0"/>
          <w:numId w:val="12"/>
        </w:numPr>
        <w:rPr>
          <w:rFonts w:ascii="Verdana" w:hAnsi="Verdana"/>
        </w:rPr>
      </w:pPr>
      <w:r w:rsidRPr="004A1368">
        <w:rPr>
          <w:rFonts w:ascii="Verdana" w:hAnsi="Verdana"/>
        </w:rPr>
        <w:t xml:space="preserve">Ercole A. The partial adoption trap: coordination failure, trust, and cultural lock-in in health AI adoption. </w:t>
      </w:r>
      <w:r w:rsidRPr="004A1368">
        <w:rPr>
          <w:rFonts w:ascii="Verdana" w:hAnsi="Verdana"/>
          <w:i/>
          <w:iCs/>
        </w:rPr>
        <w:t>arXiv</w:t>
      </w:r>
      <w:r w:rsidRPr="004A1368">
        <w:rPr>
          <w:rFonts w:ascii="Verdana" w:hAnsi="Verdana"/>
        </w:rPr>
        <w:t xml:space="preserve"> [preprint]. 2026:2605.17388. </w:t>
      </w:r>
      <w:r>
        <w:fldChar w:fldCharType="begin"/>
      </w:r>
      <w:r>
        <w:instrText xml:space="preserve"> HYPERLINK "https://doi.org/10.48550/arXiv.2605.17388" </w:instrText>
      </w:r>
      <w:r>
        <w:fldChar w:fldCharType="separate"/>
      </w:r>
      <w:r w:rsidRPr="004A1368">
        <w:rPr>
          <w:rStyle w:val="Hyperlink"/>
          <w:rFonts w:ascii="Verdana" w:hAnsi="Verdana"/>
        </w:rPr>
        <w:t>doi:10.48550/arXiv.2605.17388</w:t>
      </w:r>
      <w:r>
        <w:fldChar w:fldCharType="end"/>
      </w:r>
      <w:r w:rsidRPr="004A1368">
        <w:rPr>
          <w:rFonts w:ascii="Verdana" w:hAnsi="Verdana"/>
        </w:rPr>
        <w:t>.</w:t>
      </w:r>
    </w:p>
    <w:p w:rsidR="0061665A" w:rsidRPr="004A1368" w:rsidP="0061665A">
      <w:pPr>
        <w:numPr>
          <w:ilvl w:val="0"/>
          <w:numId w:val="12"/>
        </w:numPr>
        <w:rPr>
          <w:rFonts w:ascii="Verdana" w:hAnsi="Verdana"/>
        </w:rPr>
      </w:pPr>
      <w:r w:rsidRPr="004A1368">
        <w:rPr>
          <w:rFonts w:ascii="Verdana" w:hAnsi="Verdana"/>
        </w:rPr>
        <w:t xml:space="preserve">Medicines and Healthcare products Regulatory Agency. </w:t>
      </w:r>
      <w:r>
        <w:fldChar w:fldCharType="begin"/>
      </w:r>
      <w:r>
        <w:instrText xml:space="preserve"> HYPERLINK "https://www.gov.uk/government/publications/ai-airlock-sandbox-phase-2-programme-report" </w:instrText>
      </w:r>
      <w:r>
        <w:fldChar w:fldCharType="separate"/>
      </w:r>
      <w:r w:rsidRPr="004A1368">
        <w:rPr>
          <w:rStyle w:val="Hyperlink"/>
          <w:rFonts w:ascii="Verdana" w:hAnsi="Verdana"/>
          <w:i/>
          <w:iCs/>
        </w:rPr>
        <w:t>AI Airlock Sandbox Phase 2 Programme Report</w:t>
      </w:r>
      <w:r>
        <w:fldChar w:fldCharType="end"/>
      </w:r>
      <w:r w:rsidRPr="004A1368">
        <w:rPr>
          <w:rFonts w:ascii="Verdana" w:hAnsi="Verdana"/>
        </w:rPr>
        <w:t>. London: MHRA; 2026. Published 9 June 2026.</w:t>
      </w:r>
    </w:p>
    <w:p w:rsidR="009E2340" w:rsidRPr="004A1368" w:rsidP="009E2340">
      <w:pPr>
        <w:numPr>
          <w:ilvl w:val="0"/>
          <w:numId w:val="12"/>
        </w:numPr>
        <w:rPr>
          <w:rFonts w:ascii="Verdana" w:hAnsi="Verdana"/>
        </w:rPr>
      </w:pPr>
      <w:r w:rsidRPr="004A1368">
        <w:rPr>
          <w:rFonts w:ascii="Verdana" w:hAnsi="Verdana"/>
        </w:rPr>
        <w:t>Chappidi</w:t>
      </w:r>
      <w:r w:rsidRPr="004A1368">
        <w:rPr>
          <w:rFonts w:ascii="Verdana" w:hAnsi="Verdana"/>
        </w:rPr>
        <w:t xml:space="preserve"> S, Singh J. To Build or Not to Build? Factors that Lead to Non-Development or Abandonment of AI Systems. </w:t>
      </w:r>
      <w:r w:rsidRPr="004A1368">
        <w:rPr>
          <w:rFonts w:ascii="Verdana" w:hAnsi="Verdana"/>
          <w:i/>
          <w:iCs/>
        </w:rPr>
        <w:t>arXiv</w:t>
      </w:r>
      <w:r w:rsidRPr="004A1368" w:rsidR="0061665A">
        <w:rPr>
          <w:rFonts w:ascii="Verdana" w:hAnsi="Verdana"/>
        </w:rPr>
        <w:t xml:space="preserve"> [preprint]. </w:t>
      </w:r>
      <w:r w:rsidRPr="004A1368" w:rsidR="009941EB">
        <w:rPr>
          <w:rFonts w:ascii="Verdana" w:hAnsi="Verdana"/>
        </w:rPr>
        <w:t>2026:</w:t>
      </w:r>
      <w:r w:rsidRPr="004A1368">
        <w:rPr>
          <w:rFonts w:ascii="Verdana" w:hAnsi="Verdana"/>
        </w:rPr>
        <w:t>2604.28053.</w:t>
      </w:r>
      <w:r w:rsidRPr="004A1368" w:rsidR="00A22CFB">
        <w:rPr>
          <w:rFonts w:ascii="Verdana" w:hAnsi="Verdana"/>
        </w:rPr>
        <w:t xml:space="preserve"> </w:t>
      </w:r>
      <w:r>
        <w:fldChar w:fldCharType="begin"/>
      </w:r>
      <w:r>
        <w:instrText xml:space="preserve"> HYPERLINK "https://doi.org/10.48550/arXiv.2604.28053" </w:instrText>
      </w:r>
      <w:r>
        <w:fldChar w:fldCharType="separate"/>
      </w:r>
      <w:r w:rsidRPr="004A1368" w:rsidR="00A22CFB">
        <w:rPr>
          <w:rStyle w:val="Hyperlink"/>
          <w:rFonts w:ascii="Verdana" w:hAnsi="Verdana"/>
        </w:rPr>
        <w:t>doi:10.48550/arXiv.2604.28053</w:t>
      </w:r>
      <w:r>
        <w:fldChar w:fldCharType="end"/>
      </w:r>
      <w:r w:rsidRPr="004A1368" w:rsidR="00A22CFB">
        <w:rPr>
          <w:rFonts w:ascii="Verdana" w:hAnsi="Verdana"/>
        </w:rPr>
        <w:t xml:space="preserve">. </w:t>
      </w:r>
    </w:p>
    <w:p w:rsidR="00762870" w:rsidRPr="004A1368" w:rsidP="00762870">
      <w:pPr>
        <w:numPr>
          <w:ilvl w:val="0"/>
          <w:numId w:val="12"/>
        </w:numPr>
        <w:rPr>
          <w:rFonts w:ascii="Verdana" w:hAnsi="Verdana"/>
        </w:rPr>
      </w:pPr>
      <w:r w:rsidRPr="004A1368">
        <w:rPr>
          <w:rFonts w:ascii="Verdana" w:hAnsi="Verdana"/>
        </w:rPr>
        <w:t xml:space="preserve">Department of Health and Social Care. </w:t>
      </w:r>
      <w:r>
        <w:fldChar w:fldCharType="begin"/>
      </w:r>
      <w:r>
        <w:instrText xml:space="preserve"> HYPERLINK "https://www.gov.uk/government/publications/review-of-patient-safety-across-the-health-and-care-landscape/review-of-patient-safety-across-the-health-and-care-landscape" </w:instrText>
      </w:r>
      <w:r>
        <w:fldChar w:fldCharType="separate"/>
      </w:r>
      <w:r w:rsidRPr="004A1368">
        <w:rPr>
          <w:rStyle w:val="Hyperlink"/>
          <w:rFonts w:ascii="Verdana" w:hAnsi="Verdana"/>
          <w:i/>
          <w:iCs/>
        </w:rPr>
        <w:t>Review of patient safety across the health and care landscape</w:t>
      </w:r>
      <w:r>
        <w:fldChar w:fldCharType="end"/>
      </w:r>
      <w:r w:rsidRPr="004A1368">
        <w:rPr>
          <w:rFonts w:ascii="Verdana" w:hAnsi="Verdana"/>
          <w:i/>
          <w:iCs/>
        </w:rPr>
        <w:t>.</w:t>
      </w:r>
      <w:r w:rsidRPr="004A1368">
        <w:rPr>
          <w:rFonts w:ascii="Verdana" w:hAnsi="Verdana"/>
        </w:rPr>
        <w:t xml:space="preserve"> London: Department of Health and Social Care; 2025.</w:t>
      </w:r>
    </w:p>
    <w:p w:rsidR="00762870" w:rsidRPr="004A1368" w:rsidP="00762870">
      <w:pPr>
        <w:numPr>
          <w:ilvl w:val="0"/>
          <w:numId w:val="12"/>
        </w:numPr>
        <w:rPr>
          <w:rFonts w:ascii="Verdana" w:hAnsi="Verdana"/>
        </w:rPr>
      </w:pPr>
      <w:r w:rsidRPr="004A1368">
        <w:rPr>
          <w:rFonts w:ascii="Verdana" w:hAnsi="Verdana"/>
        </w:rPr>
        <w:t xml:space="preserve">Schubert T, Peck RW, Gimson A, Davtyan C, van der Schaar M. A foundational framework and methodology for personalized early and timely diagnosis. </w:t>
      </w:r>
      <w:r w:rsidRPr="004A1368">
        <w:rPr>
          <w:rFonts w:ascii="Verdana" w:hAnsi="Verdana"/>
          <w:i/>
          <w:iCs/>
        </w:rPr>
        <w:t>arXiv</w:t>
      </w:r>
      <w:r w:rsidRPr="004A1368">
        <w:rPr>
          <w:rFonts w:ascii="Verdana" w:hAnsi="Verdana"/>
        </w:rPr>
        <w:t xml:space="preserve"> [preprint]. 2023:2311.16195. </w:t>
      </w:r>
      <w:r>
        <w:fldChar w:fldCharType="begin"/>
      </w:r>
      <w:r>
        <w:instrText xml:space="preserve"> HYPERLINK "https://doi.org/10.48550/arXiv.2311.16195" </w:instrText>
      </w:r>
      <w:r>
        <w:fldChar w:fldCharType="separate"/>
      </w:r>
      <w:r w:rsidRPr="004A1368">
        <w:rPr>
          <w:rStyle w:val="Hyperlink"/>
          <w:rFonts w:ascii="Verdana" w:hAnsi="Verdana"/>
        </w:rPr>
        <w:t>doi:10.48550/arXiv.2311.16195</w:t>
      </w:r>
      <w:r>
        <w:fldChar w:fldCharType="end"/>
      </w:r>
      <w:r w:rsidRPr="004A1368">
        <w:rPr>
          <w:rFonts w:ascii="Verdana" w:hAnsi="Verdana"/>
        </w:rPr>
        <w:t>.</w:t>
      </w:r>
    </w:p>
    <w:p w:rsidR="00762870" w:rsidRPr="004A1368" w:rsidP="00762870">
      <w:pPr>
        <w:numPr>
          <w:ilvl w:val="0"/>
          <w:numId w:val="12"/>
        </w:numPr>
        <w:rPr>
          <w:rFonts w:ascii="Verdana" w:hAnsi="Verdana"/>
        </w:rPr>
      </w:pPr>
      <w:r w:rsidRPr="004A1368">
        <w:rPr>
          <w:rFonts w:ascii="Verdana" w:hAnsi="Verdana"/>
        </w:rPr>
        <w:t xml:space="preserve">van der Schaar M, Peck RW, McKinney E, Weatherall J, Bailey S, Rochon J, et al. Revolutionizing clinical trials: a manifesto for AI-driven transformation. </w:t>
      </w:r>
      <w:r w:rsidRPr="004A1368">
        <w:rPr>
          <w:rFonts w:ascii="Verdana" w:hAnsi="Verdana"/>
          <w:i/>
          <w:iCs/>
        </w:rPr>
        <w:t>arXiv</w:t>
      </w:r>
      <w:r w:rsidRPr="004A1368">
        <w:rPr>
          <w:rFonts w:ascii="Verdana" w:hAnsi="Verdana"/>
        </w:rPr>
        <w:t xml:space="preserve"> [preprint]. 2025:2506.09102. </w:t>
      </w:r>
      <w:r>
        <w:fldChar w:fldCharType="begin"/>
      </w:r>
      <w:r>
        <w:instrText xml:space="preserve"> HYPERLINK "https://doi.org/10.48550/arXiv.2506.09102" </w:instrText>
      </w:r>
      <w:r>
        <w:fldChar w:fldCharType="separate"/>
      </w:r>
      <w:r w:rsidRPr="004A1368">
        <w:rPr>
          <w:rStyle w:val="Hyperlink"/>
          <w:rFonts w:ascii="Verdana" w:hAnsi="Verdana"/>
        </w:rPr>
        <w:t>doi:10.48550/arXiv.2506.09102</w:t>
      </w:r>
      <w:r>
        <w:fldChar w:fldCharType="end"/>
      </w:r>
      <w:r w:rsidRPr="004A1368">
        <w:rPr>
          <w:rFonts w:ascii="Verdana" w:hAnsi="Verdana"/>
        </w:rPr>
        <w:t>.</w:t>
      </w:r>
    </w:p>
    <w:p w:rsidR="00826D4E" w:rsidRPr="004A1368" w:rsidP="00826D4E">
      <w:pPr>
        <w:numPr>
          <w:ilvl w:val="0"/>
          <w:numId w:val="12"/>
        </w:numPr>
        <w:rPr>
          <w:rFonts w:ascii="Verdana" w:hAnsi="Verdana"/>
        </w:rPr>
      </w:pPr>
      <w:r w:rsidRPr="004A1368">
        <w:rPr>
          <w:rFonts w:ascii="Verdana" w:hAnsi="Verdana"/>
        </w:rPr>
        <w:t xml:space="preserve">Pickup L, Redfern N, Plunkett E, Broadbent S, Young MS. Healthcare staff fatigue: the unrecognised risk for patient safety. </w:t>
      </w:r>
      <w:r w:rsidRPr="004A1368">
        <w:rPr>
          <w:rFonts w:ascii="Verdana" w:hAnsi="Verdana"/>
          <w:i/>
          <w:iCs/>
        </w:rPr>
        <w:t>Future Healthcare Journal</w:t>
      </w:r>
      <w:r w:rsidRPr="004A1368">
        <w:rPr>
          <w:rFonts w:ascii="Verdana" w:hAnsi="Verdana"/>
        </w:rPr>
        <w:t xml:space="preserve">. 2025;12(2):100250. </w:t>
      </w:r>
      <w:r>
        <w:fldChar w:fldCharType="begin"/>
      </w:r>
      <w:r>
        <w:instrText xml:space="preserve"> HYPERLINK "https://doi.org/10.1016/j.fhj.2025.100250" </w:instrText>
      </w:r>
      <w:r>
        <w:fldChar w:fldCharType="separate"/>
      </w:r>
      <w:r w:rsidRPr="004A1368">
        <w:rPr>
          <w:rStyle w:val="Hyperlink"/>
          <w:rFonts w:ascii="Verdana" w:hAnsi="Verdana"/>
        </w:rPr>
        <w:t>doi:10.1016/j.fhj</w:t>
      </w:r>
      <w:r w:rsidRPr="004A1368">
        <w:rPr>
          <w:rStyle w:val="Hyperlink"/>
          <w:rFonts w:ascii="Verdana" w:hAnsi="Verdana"/>
        </w:rPr>
        <w:t>.2025.100250</w:t>
      </w:r>
      <w:r>
        <w:fldChar w:fldCharType="end"/>
      </w:r>
      <w:r w:rsidRPr="004A1368">
        <w:rPr>
          <w:rFonts w:ascii="Verdana" w:hAnsi="Verdana"/>
        </w:rPr>
        <w:t>.</w:t>
      </w:r>
    </w:p>
    <w:p w:rsidR="00826D4E" w:rsidRPr="004A1368" w:rsidP="00826D4E">
      <w:pPr>
        <w:numPr>
          <w:ilvl w:val="0"/>
          <w:numId w:val="12"/>
        </w:numPr>
        <w:rPr>
          <w:rFonts w:ascii="Verdana" w:hAnsi="Verdana"/>
        </w:rPr>
      </w:pPr>
      <w:r w:rsidRPr="004A1368">
        <w:rPr>
          <w:rFonts w:ascii="Verdana" w:hAnsi="Verdana"/>
        </w:rPr>
        <w:t>Bellampalli</w:t>
      </w:r>
      <w:r w:rsidRPr="004A1368">
        <w:rPr>
          <w:rFonts w:ascii="Verdana" w:hAnsi="Verdana"/>
        </w:rPr>
        <w:t xml:space="preserve"> R, Mills JD, </w:t>
      </w:r>
      <w:r w:rsidRPr="004A1368">
        <w:rPr>
          <w:rFonts w:ascii="Verdana" w:hAnsi="Verdana"/>
        </w:rPr>
        <w:t>Vakrinou</w:t>
      </w:r>
      <w:r w:rsidRPr="004A1368">
        <w:rPr>
          <w:rFonts w:ascii="Verdana" w:hAnsi="Verdana"/>
        </w:rPr>
        <w:t xml:space="preserve"> A, Moloney P, Pagni S, </w:t>
      </w:r>
      <w:r w:rsidRPr="004A1368">
        <w:rPr>
          <w:rFonts w:ascii="Verdana" w:hAnsi="Verdana"/>
        </w:rPr>
        <w:t>Gulcebi</w:t>
      </w:r>
      <w:r w:rsidRPr="004A1368">
        <w:rPr>
          <w:rFonts w:ascii="Verdana" w:hAnsi="Verdana"/>
        </w:rPr>
        <w:t xml:space="preserve"> MI, et al. Genetic susceptibility to heat identifies rare neurological diseases at particular risk from climate change impacts. </w:t>
      </w:r>
      <w:r w:rsidRPr="004A1368">
        <w:rPr>
          <w:rFonts w:ascii="Verdana" w:hAnsi="Verdana"/>
          <w:i/>
          <w:iCs/>
        </w:rPr>
        <w:t>Journal of Neurology, Neurosurgery &amp; Psychiatry</w:t>
      </w:r>
      <w:r w:rsidRPr="004A1368">
        <w:rPr>
          <w:rFonts w:ascii="Verdana" w:hAnsi="Verdana"/>
        </w:rPr>
        <w:t xml:space="preserve">. 2026;97(6):470–478. </w:t>
      </w:r>
      <w:r>
        <w:fldChar w:fldCharType="begin"/>
      </w:r>
      <w:r>
        <w:instrText xml:space="preserve"> HYPERLINK "https://doi.org/10.1136/jnnp-2025-337077" </w:instrText>
      </w:r>
      <w:r>
        <w:fldChar w:fldCharType="separate"/>
      </w:r>
      <w:r w:rsidRPr="004A1368">
        <w:rPr>
          <w:rStyle w:val="Hyperlink"/>
          <w:rFonts w:ascii="Verdana" w:hAnsi="Verdana"/>
        </w:rPr>
        <w:t>doi:10.1136/jnnp-2025-337077</w:t>
      </w:r>
      <w:r>
        <w:fldChar w:fldCharType="end"/>
      </w:r>
      <w:r w:rsidRPr="004A1368">
        <w:rPr>
          <w:rFonts w:ascii="Verdana" w:hAnsi="Verdana"/>
        </w:rPr>
        <w:t>.</w:t>
      </w:r>
    </w:p>
    <w:p w:rsidR="009E2340" w:rsidRPr="004A1368" w:rsidP="009E2340">
      <w:pPr>
        <w:numPr>
          <w:ilvl w:val="0"/>
          <w:numId w:val="12"/>
        </w:numPr>
        <w:rPr>
          <w:rFonts w:ascii="Verdana" w:hAnsi="Verdana"/>
        </w:rPr>
      </w:pPr>
      <w:r w:rsidRPr="004A1368">
        <w:rPr>
          <w:rFonts w:ascii="Verdana" w:hAnsi="Verdana"/>
        </w:rPr>
        <w:t>Met Office. Red Extreme Heat Warning issued with June temperature records forecast to break. Exeter: Met Office; published and updated 22 June 2026.</w:t>
      </w:r>
    </w:p>
    <w:p w:rsidR="009E2340" w:rsidRPr="004A1368" w:rsidP="009E2340">
      <w:pPr>
        <w:numPr>
          <w:ilvl w:val="0"/>
          <w:numId w:val="12"/>
        </w:numPr>
        <w:rPr>
          <w:rFonts w:ascii="Verdana" w:hAnsi="Verdana"/>
        </w:rPr>
      </w:pPr>
      <w:r w:rsidRPr="004A1368">
        <w:rPr>
          <w:rFonts w:ascii="Verdana" w:hAnsi="Verdana"/>
        </w:rPr>
        <w:t>UK Health Security Agency. UKHSA issues red heat-health alerts across England. London: UKHSA; published 22 May 2026; updated 22 June 2026.</w:t>
      </w:r>
    </w:p>
    <w:p w:rsidR="009E5CCC" w:rsidRPr="004A1368" w:rsidP="009E5CCC">
      <w:pPr>
        <w:numPr>
          <w:ilvl w:val="0"/>
          <w:numId w:val="12"/>
        </w:numPr>
        <w:rPr>
          <w:rFonts w:ascii="Verdana" w:hAnsi="Verdana"/>
        </w:rPr>
      </w:pPr>
      <w:r w:rsidRPr="004A1368">
        <w:rPr>
          <w:rFonts w:ascii="Verdana" w:hAnsi="Verdana"/>
        </w:rPr>
        <w:t xml:space="preserve">Medical Research Council. </w:t>
      </w:r>
      <w:r>
        <w:fldChar w:fldCharType="begin"/>
      </w:r>
      <w:r>
        <w:instrText xml:space="preserve"> HYPERLINK "https://www.ukri.org/publications/clinical-researchers-in-the-uk-reversing-the-decline/" </w:instrText>
      </w:r>
      <w:r>
        <w:fldChar w:fldCharType="separate"/>
      </w:r>
      <w:r w:rsidRPr="004A1368">
        <w:rPr>
          <w:rStyle w:val="Hyperlink"/>
          <w:rFonts w:ascii="Verdana" w:hAnsi="Verdana"/>
          <w:i/>
          <w:iCs/>
        </w:rPr>
        <w:t>Clinical researchers in the United Kingdom: reversing the decline to improve population health and promote economic growth</w:t>
      </w:r>
      <w:r>
        <w:fldChar w:fldCharType="end"/>
      </w:r>
      <w:r w:rsidRPr="004A1368">
        <w:rPr>
          <w:rFonts w:ascii="Verdana" w:hAnsi="Verdana"/>
          <w:i/>
          <w:iCs/>
        </w:rPr>
        <w:t>.</w:t>
      </w:r>
      <w:r w:rsidRPr="004A1368">
        <w:rPr>
          <w:rFonts w:ascii="Verdana" w:hAnsi="Verdana"/>
        </w:rPr>
        <w:t xml:space="preserve"> Swindon: Medical Research Council; 2025.</w:t>
      </w:r>
    </w:p>
    <w:p w:rsidR="009E5CCC" w:rsidRPr="004A1368" w:rsidP="009E5CCC">
      <w:pPr>
        <w:numPr>
          <w:ilvl w:val="0"/>
          <w:numId w:val="12"/>
        </w:numPr>
        <w:rPr>
          <w:rFonts w:ascii="Verdana" w:hAnsi="Verdana"/>
        </w:rPr>
      </w:pPr>
      <w:r w:rsidRPr="004A1368">
        <w:rPr>
          <w:rFonts w:ascii="Verdana" w:hAnsi="Verdana"/>
        </w:rPr>
        <w:t xml:space="preserve">Ercole A. Digital maturity and technical efficiency in NHS acute trusts: cross-sectional evidence from England. </w:t>
      </w:r>
      <w:r w:rsidRPr="004A1368">
        <w:rPr>
          <w:rFonts w:ascii="Verdana" w:hAnsi="Verdana"/>
          <w:i/>
          <w:iCs/>
        </w:rPr>
        <w:t>arXiv</w:t>
      </w:r>
      <w:r w:rsidRPr="004A1368">
        <w:rPr>
          <w:rFonts w:ascii="Verdana" w:hAnsi="Verdana"/>
        </w:rPr>
        <w:t xml:space="preserve"> [preprint]. 2026:2606.01137. </w:t>
      </w:r>
      <w:r>
        <w:fldChar w:fldCharType="begin"/>
      </w:r>
      <w:r>
        <w:instrText xml:space="preserve"> HYPERLINK "https://doi.org/10.48550/arXiv.2606.01137" </w:instrText>
      </w:r>
      <w:r>
        <w:fldChar w:fldCharType="separate"/>
      </w:r>
      <w:r w:rsidRPr="004A1368">
        <w:rPr>
          <w:rStyle w:val="Hyperlink"/>
          <w:rFonts w:ascii="Verdana" w:hAnsi="Verdana"/>
        </w:rPr>
        <w:t>doi:10.48550/arXiv.2606.01137</w:t>
      </w:r>
      <w:r>
        <w:fldChar w:fldCharType="end"/>
      </w:r>
      <w:r w:rsidRPr="004A1368">
        <w:rPr>
          <w:rFonts w:ascii="Verdana" w:hAnsi="Verdana"/>
        </w:rPr>
        <w:t>.</w:t>
      </w:r>
    </w:p>
    <w:p w:rsidR="009E5CCC" w:rsidRPr="004A1368" w:rsidP="009E5CCC">
      <w:pPr>
        <w:numPr>
          <w:ilvl w:val="0"/>
          <w:numId w:val="12"/>
        </w:numPr>
        <w:rPr>
          <w:rFonts w:ascii="Verdana" w:hAnsi="Verdana"/>
        </w:rPr>
      </w:pPr>
      <w:r w:rsidRPr="004A1368">
        <w:rPr>
          <w:rFonts w:ascii="Verdana" w:hAnsi="Verdana"/>
        </w:rPr>
        <w:t xml:space="preserve">Chan A, Peck R, Gibbs M, van der Schaar M. Synthetic Model Combination: a new machine-learning method for </w:t>
      </w:r>
      <w:r w:rsidRPr="004A1368">
        <w:rPr>
          <w:rFonts w:ascii="Verdana" w:hAnsi="Verdana"/>
        </w:rPr>
        <w:t>pharmacometric</w:t>
      </w:r>
      <w:r w:rsidRPr="004A1368">
        <w:rPr>
          <w:rFonts w:ascii="Verdana" w:hAnsi="Verdana"/>
        </w:rPr>
        <w:t xml:space="preserve"> model </w:t>
      </w:r>
      <w:r w:rsidRPr="004A1368">
        <w:rPr>
          <w:rFonts w:ascii="Verdana" w:hAnsi="Verdana"/>
        </w:rPr>
        <w:t>ensembling</w:t>
      </w:r>
      <w:r w:rsidRPr="004A1368">
        <w:rPr>
          <w:rFonts w:ascii="Verdana" w:hAnsi="Verdana"/>
        </w:rPr>
        <w:t xml:space="preserve">. </w:t>
      </w:r>
      <w:r w:rsidRPr="004A1368">
        <w:rPr>
          <w:rFonts w:ascii="Verdana" w:hAnsi="Verdana"/>
          <w:i/>
          <w:iCs/>
        </w:rPr>
        <w:t>CPT: Pharmacometrics &amp; Systems Pharmacology</w:t>
      </w:r>
      <w:r w:rsidRPr="004A1368">
        <w:rPr>
          <w:rFonts w:ascii="Verdana" w:hAnsi="Verdana"/>
        </w:rPr>
        <w:t xml:space="preserve">. 2023;12(7):953–962. </w:t>
      </w:r>
      <w:r>
        <w:fldChar w:fldCharType="begin"/>
      </w:r>
      <w:r>
        <w:instrText xml:space="preserve"> HYPERLINK "https://doi.org/10.1002/psp4.12965" </w:instrText>
      </w:r>
      <w:r>
        <w:fldChar w:fldCharType="separate"/>
      </w:r>
      <w:r w:rsidRPr="004A1368">
        <w:rPr>
          <w:rStyle w:val="Hyperlink"/>
          <w:rFonts w:ascii="Verdana" w:hAnsi="Verdana"/>
        </w:rPr>
        <w:t>doi:10.1002/psp4.12965</w:t>
      </w:r>
      <w:r>
        <w:fldChar w:fldCharType="end"/>
      </w:r>
      <w:r w:rsidRPr="004A1368">
        <w:rPr>
          <w:rFonts w:ascii="Verdana" w:hAnsi="Verdana"/>
        </w:rPr>
        <w:t>.</w:t>
      </w:r>
    </w:p>
    <w:p w:rsidR="009E5CCC" w:rsidRPr="004A1368" w:rsidP="009E5CCC">
      <w:pPr>
        <w:numPr>
          <w:ilvl w:val="0"/>
          <w:numId w:val="12"/>
        </w:numPr>
        <w:rPr>
          <w:rFonts w:ascii="Verdana" w:hAnsi="Verdana"/>
        </w:rPr>
      </w:pPr>
      <w:r w:rsidRPr="004A1368">
        <w:rPr>
          <w:rFonts w:ascii="Verdana" w:hAnsi="Verdana"/>
        </w:rPr>
        <w:t xml:space="preserve">van der Schaar M. </w:t>
      </w:r>
      <w:r>
        <w:fldChar w:fldCharType="begin"/>
      </w:r>
      <w:r>
        <w:instrText xml:space="preserve"> HYPERLINK "https://www.vanderschaar-lab.com/clinical-trials-as-continuously-learning-systems/" </w:instrText>
      </w:r>
      <w:r>
        <w:fldChar w:fldCharType="separate"/>
      </w:r>
      <w:r w:rsidRPr="004A1368">
        <w:rPr>
          <w:rStyle w:val="Hyperlink"/>
          <w:rFonts w:ascii="Verdana" w:hAnsi="Verdana"/>
          <w:i/>
          <w:iCs/>
        </w:rPr>
        <w:t>Clinical Trials as Continuously Learning Systems: A Multi-Agent Machine Learning Framework for End-to-End Derisking of Clinical Trials Using Digital Twins</w:t>
      </w:r>
      <w:r>
        <w:fldChar w:fldCharType="end"/>
      </w:r>
      <w:r w:rsidRPr="004A1368">
        <w:rPr>
          <w:rFonts w:ascii="Verdana" w:hAnsi="Verdana"/>
          <w:i/>
          <w:iCs/>
        </w:rPr>
        <w:t>.</w:t>
      </w:r>
      <w:r w:rsidRPr="004A1368">
        <w:rPr>
          <w:rFonts w:ascii="Verdana" w:hAnsi="Verdana"/>
        </w:rPr>
        <w:t xml:space="preserve"> Version 4.0. Cambridge: van der Schaar Lab; 2026. White paper.</w:t>
      </w:r>
    </w:p>
    <w:p w:rsidR="009E5CCC" w:rsidRPr="004A1368" w:rsidP="009E5CCC">
      <w:pPr>
        <w:numPr>
          <w:ilvl w:val="0"/>
          <w:numId w:val="12"/>
        </w:numPr>
        <w:rPr>
          <w:rFonts w:ascii="Verdana" w:hAnsi="Verdana"/>
        </w:rPr>
      </w:pPr>
      <w:r w:rsidRPr="004A1368">
        <w:rPr>
          <w:rFonts w:ascii="Verdana" w:hAnsi="Verdana"/>
        </w:rPr>
        <w:t xml:space="preserve">Clifford M. </w:t>
      </w:r>
      <w:r>
        <w:fldChar w:fldCharType="begin"/>
      </w:r>
      <w:r>
        <w:instrText xml:space="preserve"> HYPERLINK "https://www.gov.uk/government/publications/ai-opportunities-action-plan" </w:instrText>
      </w:r>
      <w:r>
        <w:fldChar w:fldCharType="separate"/>
      </w:r>
      <w:r w:rsidRPr="004A1368">
        <w:rPr>
          <w:rStyle w:val="Hyperlink"/>
          <w:rFonts w:ascii="Verdana" w:hAnsi="Verdana"/>
          <w:i/>
          <w:iCs/>
        </w:rPr>
        <w:t>AI Opportunities Action Plan</w:t>
      </w:r>
      <w:r>
        <w:fldChar w:fldCharType="end"/>
      </w:r>
      <w:r w:rsidRPr="004A1368">
        <w:rPr>
          <w:rFonts w:ascii="Verdana" w:hAnsi="Verdana"/>
          <w:i/>
          <w:iCs/>
        </w:rPr>
        <w:t>.</w:t>
      </w:r>
      <w:r w:rsidRPr="004A1368">
        <w:rPr>
          <w:rFonts w:ascii="Verdana" w:hAnsi="Verdana"/>
        </w:rPr>
        <w:t xml:space="preserve"> London: Department for Science, Innovation and Technology; 2025. Command Paper CP 1241.</w:t>
      </w:r>
    </w:p>
    <w:p w:rsidR="00CE1A87" w:rsidRPr="004A1368">
      <w:pPr>
        <w:rPr>
          <w:rFonts w:ascii="Verdana" w:hAnsi="Verdana"/>
        </w:rPr>
      </w:pPr>
    </w:p>
    <w:sectPr w:rsidSect="001422A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8B5E8C"/>
    <w:multiLevelType w:val="hybridMultilevel"/>
    <w:tmpl w:val="BC72F2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685EA7"/>
    <w:multiLevelType w:val="hybridMultilevel"/>
    <w:tmpl w:val="E3B2C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00045B"/>
    <w:multiLevelType w:val="hybridMultilevel"/>
    <w:tmpl w:val="71EE59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47066F"/>
    <w:multiLevelType w:val="hybridMultilevel"/>
    <w:tmpl w:val="F14209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94FB5"/>
    <w:multiLevelType w:val="multilevel"/>
    <w:tmpl w:val="1D629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5F3E48"/>
    <w:multiLevelType w:val="hybridMultilevel"/>
    <w:tmpl w:val="FC584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925CC6"/>
    <w:multiLevelType w:val="hybridMultilevel"/>
    <w:tmpl w:val="CFF8E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857CB6"/>
    <w:multiLevelType w:val="hybridMultilevel"/>
    <w:tmpl w:val="2E2E1B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219F1B39"/>
    <w:multiLevelType w:val="multilevel"/>
    <w:tmpl w:val="0EE849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906FE9"/>
    <w:multiLevelType w:val="hybridMultilevel"/>
    <w:tmpl w:val="3030EB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5514740"/>
    <w:multiLevelType w:val="hybridMultilevel"/>
    <w:tmpl w:val="3508BE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AE964CA"/>
    <w:multiLevelType w:val="hybridMultilevel"/>
    <w:tmpl w:val="E7C4F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AFB17CB"/>
    <w:multiLevelType w:val="hybridMultilevel"/>
    <w:tmpl w:val="064E4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5B473F"/>
    <w:multiLevelType w:val="multilevel"/>
    <w:tmpl w:val="0BCE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A43B34"/>
    <w:multiLevelType w:val="multilevel"/>
    <w:tmpl w:val="182A8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D32F3C"/>
    <w:multiLevelType w:val="hybridMultilevel"/>
    <w:tmpl w:val="95CADB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5A83AFC"/>
    <w:multiLevelType w:val="hybridMultilevel"/>
    <w:tmpl w:val="36F0EF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C0435D1"/>
    <w:multiLevelType w:val="hybridMultilevel"/>
    <w:tmpl w:val="AF164D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0CA3DD0"/>
    <w:multiLevelType w:val="hybridMultilevel"/>
    <w:tmpl w:val="1EA63D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21727F8"/>
    <w:multiLevelType w:val="hybridMultilevel"/>
    <w:tmpl w:val="350458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3C80ACC"/>
    <w:multiLevelType w:val="hybridMultilevel"/>
    <w:tmpl w:val="AA3079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012130C"/>
    <w:multiLevelType w:val="hybridMultilevel"/>
    <w:tmpl w:val="C206D2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2430C65"/>
    <w:multiLevelType w:val="hybridMultilevel"/>
    <w:tmpl w:val="5BCAD2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6FD5E84"/>
    <w:multiLevelType w:val="multilevel"/>
    <w:tmpl w:val="8A52E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786467"/>
    <w:multiLevelType w:val="hybridMultilevel"/>
    <w:tmpl w:val="22D0C7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E1E74D9"/>
    <w:multiLevelType w:val="hybridMultilevel"/>
    <w:tmpl w:val="E138BA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9385632"/>
    <w:multiLevelType w:val="hybridMultilevel"/>
    <w:tmpl w:val="4530B3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9B3431A"/>
    <w:multiLevelType w:val="multilevel"/>
    <w:tmpl w:val="0F4E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AF3440"/>
    <w:multiLevelType w:val="multilevel"/>
    <w:tmpl w:val="06CA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4F4CE3"/>
    <w:multiLevelType w:val="hybridMultilevel"/>
    <w:tmpl w:val="B9A6CD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DD62D7"/>
    <w:multiLevelType w:val="multilevel"/>
    <w:tmpl w:val="32DEB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
  </w:num>
  <w:num w:numId="3">
    <w:abstractNumId w:val="14"/>
  </w:num>
  <w:num w:numId="4">
    <w:abstractNumId w:val="8"/>
  </w:num>
  <w:num w:numId="5">
    <w:abstractNumId w:val="27"/>
  </w:num>
  <w:num w:numId="6">
    <w:abstractNumId w:val="16"/>
  </w:num>
  <w:num w:numId="7">
    <w:abstractNumId w:val="29"/>
  </w:num>
  <w:num w:numId="8">
    <w:abstractNumId w:val="13"/>
  </w:num>
  <w:num w:numId="9">
    <w:abstractNumId w:val="19"/>
  </w:num>
  <w:num w:numId="10">
    <w:abstractNumId w:val="10"/>
  </w:num>
  <w:num w:numId="11">
    <w:abstractNumId w:val="2"/>
  </w:num>
  <w:num w:numId="12">
    <w:abstractNumId w:val="23"/>
  </w:num>
  <w:num w:numId="13">
    <w:abstractNumId w:val="17"/>
  </w:num>
  <w:num w:numId="14">
    <w:abstractNumId w:val="21"/>
  </w:num>
  <w:num w:numId="15">
    <w:abstractNumId w:val="18"/>
  </w:num>
  <w:num w:numId="16">
    <w:abstractNumId w:val="22"/>
  </w:num>
  <w:num w:numId="17">
    <w:abstractNumId w:val="20"/>
  </w:num>
  <w:num w:numId="18">
    <w:abstractNumId w:val="9"/>
  </w:num>
  <w:num w:numId="19">
    <w:abstractNumId w:val="6"/>
  </w:num>
  <w:num w:numId="20">
    <w:abstractNumId w:val="3"/>
  </w:num>
  <w:num w:numId="21">
    <w:abstractNumId w:val="0"/>
  </w:num>
  <w:num w:numId="22">
    <w:abstractNumId w:val="15"/>
  </w:num>
  <w:num w:numId="23">
    <w:abstractNumId w:val="5"/>
  </w:num>
  <w:num w:numId="24">
    <w:abstractNumId w:val="12"/>
  </w:num>
  <w:num w:numId="25">
    <w:abstractNumId w:val="25"/>
  </w:num>
  <w:num w:numId="26">
    <w:abstractNumId w:val="24"/>
  </w:num>
  <w:num w:numId="27">
    <w:abstractNumId w:val="1"/>
  </w:num>
  <w:num w:numId="28">
    <w:abstractNumId w:val="26"/>
  </w:num>
  <w:num w:numId="29">
    <w:abstractNumId w:val="7"/>
  </w:num>
  <w:num w:numId="30">
    <w:abstractNumId w:val="3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26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6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3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3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3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3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6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3A4"/>
    <w:rPr>
      <w:rFonts w:eastAsiaTheme="majorEastAsia" w:cstheme="majorBidi"/>
      <w:color w:val="272727" w:themeColor="text1" w:themeTint="D8"/>
    </w:rPr>
  </w:style>
  <w:style w:type="paragraph" w:styleId="Title">
    <w:name w:val="Title"/>
    <w:basedOn w:val="Normal"/>
    <w:next w:val="Normal"/>
    <w:link w:val="TitleChar"/>
    <w:uiPriority w:val="10"/>
    <w:qFormat/>
    <w:rsid w:val="00226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3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3A4"/>
    <w:pPr>
      <w:spacing w:before="160"/>
      <w:jc w:val="center"/>
    </w:pPr>
    <w:rPr>
      <w:i/>
      <w:iCs/>
      <w:color w:val="404040" w:themeColor="text1" w:themeTint="BF"/>
    </w:rPr>
  </w:style>
  <w:style w:type="character" w:customStyle="1" w:styleId="QuoteChar">
    <w:name w:val="Quote Char"/>
    <w:basedOn w:val="DefaultParagraphFont"/>
    <w:link w:val="Quote"/>
    <w:uiPriority w:val="29"/>
    <w:rsid w:val="002263A4"/>
    <w:rPr>
      <w:i/>
      <w:iCs/>
      <w:color w:val="404040" w:themeColor="text1" w:themeTint="BF"/>
    </w:rPr>
  </w:style>
  <w:style w:type="paragraph" w:styleId="ListParagraph">
    <w:name w:val="List Paragraph"/>
    <w:basedOn w:val="Normal"/>
    <w:uiPriority w:val="34"/>
    <w:qFormat/>
    <w:rsid w:val="002263A4"/>
    <w:pPr>
      <w:ind w:left="720"/>
      <w:contextualSpacing/>
    </w:pPr>
  </w:style>
  <w:style w:type="character" w:styleId="IntenseEmphasis">
    <w:name w:val="Intense Emphasis"/>
    <w:basedOn w:val="DefaultParagraphFont"/>
    <w:uiPriority w:val="21"/>
    <w:qFormat/>
    <w:rsid w:val="002263A4"/>
    <w:rPr>
      <w:i/>
      <w:iCs/>
      <w:color w:val="0F4761" w:themeColor="accent1" w:themeShade="BF"/>
    </w:rPr>
  </w:style>
  <w:style w:type="paragraph" w:styleId="IntenseQuote">
    <w:name w:val="Intense Quote"/>
    <w:basedOn w:val="Normal"/>
    <w:next w:val="Normal"/>
    <w:link w:val="IntenseQuoteChar"/>
    <w:uiPriority w:val="30"/>
    <w:qFormat/>
    <w:rsid w:val="00226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3A4"/>
    <w:rPr>
      <w:i/>
      <w:iCs/>
      <w:color w:val="0F4761" w:themeColor="accent1" w:themeShade="BF"/>
    </w:rPr>
  </w:style>
  <w:style w:type="character" w:styleId="IntenseReference">
    <w:name w:val="Intense Reference"/>
    <w:basedOn w:val="DefaultParagraphFont"/>
    <w:uiPriority w:val="32"/>
    <w:qFormat/>
    <w:rsid w:val="002263A4"/>
    <w:rPr>
      <w:b/>
      <w:bCs/>
      <w:smallCaps/>
      <w:color w:val="0F4761" w:themeColor="accent1" w:themeShade="BF"/>
      <w:spacing w:val="5"/>
    </w:rPr>
  </w:style>
  <w:style w:type="character" w:styleId="Hyperlink">
    <w:name w:val="Hyperlink"/>
    <w:basedOn w:val="DefaultParagraphFont"/>
    <w:uiPriority w:val="99"/>
    <w:unhideWhenUsed/>
    <w:rsid w:val="0061665A"/>
    <w:rPr>
      <w:color w:val="467886" w:themeColor="hyperlink"/>
      <w:u w:val="single"/>
    </w:rPr>
  </w:style>
  <w:style w:type="character" w:customStyle="1" w:styleId="UnresolvedMention">
    <w:name w:val="Unresolved Mention"/>
    <w:basedOn w:val="DefaultParagraphFont"/>
    <w:uiPriority w:val="99"/>
    <w:semiHidden/>
    <w:unhideWhenUsed/>
    <w:rsid w:val="0061665A"/>
    <w:rPr>
      <w:color w:val="605E5C"/>
      <w:shd w:val="clear" w:color="auto" w:fill="E1DFDD"/>
    </w:rPr>
  </w:style>
  <w:style w:type="paragraph" w:customStyle="1" w:styleId="isselectedend">
    <w:name w:val="isselectedend"/>
    <w:basedOn w:val="Normal"/>
    <w:rsid w:val="00B8362A"/>
    <w:pPr>
      <w:spacing w:before="100" w:beforeAutospacing="1" w:after="100" w:afterAutospacing="1" w:line="240" w:lineRule="auto"/>
    </w:pPr>
    <w:rPr>
      <w:rFonts w:ascii="Times New Roman" w:eastAsia="Times New Roman" w:hAnsi="Times New Roman" w:cs="Times New Roman"/>
      <w:kern w:val="0"/>
      <w:lang w:eastAsia="en-GB"/>
    </w:rPr>
  </w:style>
  <w:style w:type="character" w:styleId="FollowedHyperlink">
    <w:name w:val="FollowedHyperlink"/>
    <w:basedOn w:val="DefaultParagraphFont"/>
    <w:uiPriority w:val="99"/>
    <w:semiHidden/>
    <w:unhideWhenUsed/>
    <w:rsid w:val="009941E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7705D-1AAE-A045-A6E0-0DBA02EFE8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PMA0122</dc:title>
  <cp:revision>0</cp:revision>
</cp:coreProperties>
</file>