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3B8E">
      <w:pPr>
        <w:pStyle w:val="Title"/>
        <w:jc w:val="center"/>
      </w:pPr>
      <w:r>
        <w:t xml:space="preserve">Written evidence by </w:t>
      </w:r>
      <w:r w:rsidRPr="00A23B8E">
        <w:t xml:space="preserve">William Gomes </w:t>
      </w:r>
      <w:r>
        <w:t>(ECA0004)</w:t>
      </w:r>
    </w:p>
    <w:p w:rsidR="00A23B8E">
      <w:pPr>
        <w:pStyle w:val="Title"/>
        <w:jc w:val="center"/>
      </w:pPr>
    </w:p>
    <w:p w:rsidR="00126371">
      <w:pPr>
        <w:pStyle w:val="Title"/>
        <w:jc w:val="center"/>
      </w:pPr>
      <w:r>
        <w:t>Written Evidence to the House of Commons Education Committee</w:t>
      </w:r>
    </w:p>
    <w:p w:rsidR="00126371">
      <w:pPr>
        <w:spacing w:after="40"/>
        <w:jc w:val="center"/>
      </w:pPr>
      <w:r>
        <w:rPr>
          <w:b/>
          <w:bCs/>
          <w:sz w:val="26"/>
          <w:szCs w:val="26"/>
        </w:rPr>
        <w:t>Inquiry into the ‘Every Child Achieving and Thriving’ White Paper 2026</w:t>
      </w:r>
    </w:p>
    <w:p w:rsidR="00126371">
      <w:pPr>
        <w:pBdr>
          <w:bottom w:val="single" w:sz="6" w:space="6" w:color="333333"/>
        </w:pBdr>
        <w:spacing w:after="160"/>
        <w:jc w:val="center"/>
      </w:pPr>
    </w:p>
    <w:p w:rsidR="00126371">
      <w:pPr>
        <w:spacing w:after="20"/>
        <w:jc w:val="center"/>
      </w:pPr>
      <w:r>
        <w:t>Submitted by William Gomes, Doctoral Researcher</w:t>
      </w:r>
    </w:p>
    <w:p w:rsidR="00126371">
      <w:pPr>
        <w:spacing w:after="20"/>
        <w:jc w:val="center"/>
      </w:pPr>
      <w:r>
        <w:t>Department of Psychosocial and Psychoanalytic Studies, University of Essex</w:t>
      </w:r>
    </w:p>
    <w:p w:rsidR="00126371">
      <w:pPr>
        <w:spacing w:after="160"/>
        <w:jc w:val="center"/>
      </w:pPr>
      <w:r>
        <w:t>29 June 2026</w:t>
      </w:r>
    </w:p>
    <w:p w:rsidR="00126371">
      <w:pPr>
        <w:spacing w:after="200" w:line="276" w:lineRule="auto"/>
      </w:pPr>
      <w:r>
        <w:rPr>
          <w:b/>
          <w:bCs/>
        </w:rPr>
        <w:t xml:space="preserve">Declaration: </w:t>
      </w:r>
      <w:r>
        <w:t>This submission is made by William Gomes in an individual academic capacity, prepared specifically for this inquiry, and has not been published elsewhere or submitted to any other committee.</w:t>
      </w:r>
    </w:p>
    <w:p w:rsidR="00126371">
      <w:pPr>
        <w:pStyle w:val="Heading2"/>
        <w:pBdr>
          <w:bottom w:val="single" w:sz="4" w:space="4" w:color="888888"/>
        </w:pBdr>
      </w:pPr>
      <w:r>
        <w:t>Summary</w:t>
      </w:r>
    </w:p>
    <w:p w:rsidR="00126371">
      <w:pPr>
        <w:spacing w:after="160" w:line="276" w:lineRule="auto"/>
      </w:pPr>
      <w:r>
        <w:rPr>
          <w:b/>
          <w:bCs/>
        </w:rPr>
        <w:t xml:space="preserve">1.  </w:t>
      </w:r>
      <w:r>
        <w:t>This submission responds to the Committee’s inquiry into the ‘Every Child Achieving and Thriving’ White Paper (Department for Education, 2026). It covers attainment and the disadvantage gap, accountability, curriculum, school improvement, attendance, behaviour and exclusion, belonging, the workforce, admissions, complaints, the trust-led system, the post-16 transition, wider youth policy and artificial intelligence. It does not address the White Paper’s SEND-specific proposals, which the Committee will scru</w:t>
      </w:r>
      <w:r>
        <w:t>tinise separately.</w:t>
      </w:r>
    </w:p>
    <w:p w:rsidR="00126371">
      <w:pPr>
        <w:spacing w:after="160" w:line="276" w:lineRule="auto"/>
      </w:pPr>
      <w:r>
        <w:rPr>
          <w:b/>
          <w:bCs/>
        </w:rPr>
        <w:t xml:space="preserve">2.  </w:t>
      </w:r>
      <w:r>
        <w:t>The central argument is that attainment and attendance cannot be raised sustainably by metrics, sanctions or structural reform alone. The strongest evidence points to belonging, teacher-pupil relationships, family-school trust, high-quality teaching and coordinated local support as the conditions through which standards become reachable for children facing poverty, anxiety, instability or exclusion. The White Paper is right to connect achievement with thriving, but implementation risks over-relying on targe</w:t>
      </w:r>
      <w:r>
        <w:t>ts, data tools and behaviour controls unless these are balanced by relational practice, independent evaluation and a transparent theory of change.</w:t>
      </w:r>
    </w:p>
    <w:p w:rsidR="00126371">
      <w:pPr>
        <w:pStyle w:val="Heading2"/>
        <w:pBdr>
          <w:bottom w:val="single" w:sz="4" w:space="4" w:color="888888"/>
        </w:pBdr>
      </w:pPr>
      <w:r>
        <w:t>Evidence</w:t>
      </w:r>
    </w:p>
    <w:p w:rsidR="00126371">
      <w:pPr>
        <w:spacing w:after="160" w:line="276" w:lineRule="auto"/>
      </w:pPr>
      <w:r>
        <w:rPr>
          <w:b/>
          <w:bCs/>
        </w:rPr>
        <w:t xml:space="preserve">3.  </w:t>
      </w:r>
      <w:r>
        <w:t>Children learn best where they feel safe, known and connected. Meta-analytic evidence shows that school belonging is associated with academic, motivational and wellbeing outcomes (Allen et al., 2018). The White Paper’s emphasis on belonging is well founded, but the task is to avoid reducing it to a narrow performance indicator and to take seriously its inverse: bullying, peer victimisation and discrimination erode belonging and, with it, attendance and attainment. Enrichment, anti-bullying and anti-discrimi</w:t>
      </w:r>
      <w:r>
        <w:t>nation duties should be treated as part of the attainment strategy, not as separate pastoral concerns.</w:t>
      </w:r>
    </w:p>
    <w:p w:rsidR="00126371">
      <w:pPr>
        <w:spacing w:after="160" w:line="276" w:lineRule="auto"/>
      </w:pPr>
      <w:r>
        <w:rPr>
          <w:b/>
          <w:bCs/>
        </w:rPr>
        <w:t xml:space="preserve">4.  </w:t>
      </w:r>
      <w:r>
        <w:t xml:space="preserve">The Pupil Engagement Framework should be an improvement tool, not a public ranking device. If schools fear reputational punishment for low scores, pupils’ accounts may be filtered or treated defensively. It should use validated, age-appropriate measures; analyse </w:t>
      </w:r>
      <w:r>
        <w:t>differences by disadvantage, sex, ethnicity and vulnerability; require schools to act on results; and protect pupil voice from becoming a compliance exercise.</w:t>
      </w:r>
    </w:p>
    <w:p w:rsidR="00126371">
      <w:pPr>
        <w:spacing w:after="160" w:line="276" w:lineRule="auto"/>
      </w:pPr>
      <w:r>
        <w:rPr>
          <w:b/>
          <w:bCs/>
        </w:rPr>
        <w:t xml:space="preserve">5.  </w:t>
      </w:r>
      <w:r>
        <w:t>The target of attendance above 94 per cent by 2028/29 is understandable, but attendance policy needs a developmental account of absence. Persistent absence in England remains well above its pre-pandemic level and falls disproportionately on disadvantaged pupils (Department for Education, 2025). Non-attendance can reflect anxiety, illness, peer difficulty, family stress, bullying, poverty or disengagement, often in combination (Kearney, 2008), yet it is modifiable: a meta-analysis found that well-designed in</w:t>
      </w:r>
      <w:r>
        <w:t>terventions can improve attendance (Eklund et al., 2020). The statutory support-first, multi-agency framework already exists (Department for Education, 2023); the Committee should press for it to be resourced and made operational rather than restated.</w:t>
      </w:r>
    </w:p>
    <w:p w:rsidR="00126371">
      <w:pPr>
        <w:spacing w:after="160" w:line="276" w:lineRule="auto"/>
      </w:pPr>
      <w:r>
        <w:rPr>
          <w:b/>
          <w:bCs/>
        </w:rPr>
        <w:t xml:space="preserve">6.  </w:t>
      </w:r>
      <w:r>
        <w:t>Attendance hubs, data tools and local authority teams should distinguish between patterns of absence: episodic illness, anxiety-led avoidance, unmet learning needs, poverty, family crisis, and disengagement after exclusion or transition. Different pathways require different responses. Attendance mentoring is welcome where it is skilled relational work rather than surveillance, and should be evaluated for sustained attendance, wellbeing and engagement, not only short-term returns. The Committee should ask ho</w:t>
      </w:r>
      <w:r>
        <w:t>w mentors will be trained, supervised and linked to mental health, family help and youth services.</w:t>
      </w:r>
    </w:p>
    <w:p w:rsidR="00126371">
      <w:pPr>
        <w:spacing w:after="160" w:line="276" w:lineRule="auto"/>
      </w:pPr>
      <w:r>
        <w:rPr>
          <w:b/>
          <w:bCs/>
        </w:rPr>
        <w:t xml:space="preserve">7.  </w:t>
      </w:r>
      <w:r>
        <w:t>Family-school partnership improves outcomes when it is respectful and specific. Meta-analytic evidence links parental involvement with achievement, with stronger effects for home-based involvement and high expectations (Castro et al., 2015). Minimum expectations should avoid a deficit model: parents facing poverty, insecure housing or shift work need practical, relational and culturally literate engagement.</w:t>
      </w:r>
    </w:p>
    <w:p w:rsidR="00126371">
      <w:pPr>
        <w:spacing w:after="160" w:line="276" w:lineRule="auto"/>
      </w:pPr>
      <w:r>
        <w:rPr>
          <w:b/>
          <w:bCs/>
        </w:rPr>
        <w:t xml:space="preserve">8.  </w:t>
      </w:r>
      <w:r>
        <w:t>Disadvantage policy should recognise persistence, depth and place. The move beyond free school meal eligibility merits scrutiny: a stepped household-income model may better capture entrenched poverty, but raises risks around privacy, data quality, volatile income, stigma and threshold effects. The evidence on what funding achieves is sobering: a large meta-analysis of interventions for free-school-meal pupils found only a small literacy effect and none in mathematics (Ashraf et al., 2021). The secondary dis</w:t>
      </w:r>
      <w:r>
        <w:t>advantage gap narrowed marginally to 19.1 months in 2024 but remains wider than before the pandemic, an increase since 2019 that is explained by higher absence among disadvantaged pupils (Education Policy Institute, 2025). The Committee should recommend that any new measure be piloted, phased and independently evaluated, and that the Pupil Premium be reviewed for impact rather than expanded in volume alone (</w:t>
      </w:r>
      <w:r>
        <w:t>Gorard, Siddiqui and See, 2023).</w:t>
      </w:r>
    </w:p>
    <w:p w:rsidR="00126371">
      <w:pPr>
        <w:spacing w:after="160" w:line="276" w:lineRule="auto"/>
      </w:pPr>
      <w:r>
        <w:rPr>
          <w:b/>
          <w:bCs/>
        </w:rPr>
        <w:t xml:space="preserve">9.  </w:t>
      </w:r>
      <w:r>
        <w:t>Place-based missions can be valuable where they avoid pathologising communities. Mission North-East and Mission Coastal should be co-produced with local families, pupils, schools, further education, health and employers, and judged not only by attainment but by sustained attendance, post-16 participation, enrichment and teacher stability. The Committee’s own earlier work documented how entrenched disadvantage has been allowed to persist in particular communities</w:t>
      </w:r>
      <w:r>
        <w:t xml:space="preserve"> (House of Commons Education Committee, 2021).</w:t>
      </w:r>
    </w:p>
    <w:p w:rsidR="00126371">
      <w:pPr>
        <w:spacing w:after="160" w:line="276" w:lineRule="auto"/>
      </w:pPr>
      <w:r>
        <w:rPr>
          <w:b/>
          <w:bCs/>
        </w:rPr>
        <w:t xml:space="preserve">10.  </w:t>
      </w:r>
      <w:r>
        <w:t xml:space="preserve">The Regional Improvement for Standards and Excellence (RISE) teams are central to the improvement model and deserve specific scrutiny. School-improvement support can help, but its effects depend on capacity, expertise and trust. RISE teams should be evaluated </w:t>
      </w:r>
      <w:r>
        <w:t>independently and kept distinct from inspection, so schools experience them as support rather than surveillance. Their remit should cover curriculum breadth, attendance, inclusion and staff development, with impact measured against a published baseline. The Committee should ask how capacity will be built, how intervention will be matched to need, and how success and failure will be judged.</w:t>
      </w:r>
    </w:p>
    <w:p w:rsidR="00126371">
      <w:pPr>
        <w:spacing w:after="160" w:line="276" w:lineRule="auto"/>
      </w:pPr>
      <w:r>
        <w:rPr>
          <w:b/>
          <w:bCs/>
        </w:rPr>
        <w:t xml:space="preserve">11.  </w:t>
      </w:r>
      <w:r>
        <w:t>Curriculum breadth matters, but the accountability system must not narrow the curriculum while claiming to broaden it. Progress 8 and Attainment 8 have strengths, yet England-specific research shows value-added measures are sensitive to design choices, background adjustment and statistical uncertainty (Leckie and Goldstein, 2019). High-stakes measures also generate behavioural responses: off-rolling is a documented form of accountability gaming with consequences for inclusion (Done and Knowler, 2022). Inter</w:t>
      </w:r>
      <w:r>
        <w:t>national assessment offers useful benchmarking (OECD, 2023), but comparative data alone cannot adjudicate domestic curriculum design. The Committee should ask whether new measures for low and high attainers will be published with uncertainty intervals and contextual information, and how the system will guard against exclusionary admissions, off-rolling and curriculum gaming.</w:t>
      </w:r>
    </w:p>
    <w:p w:rsidR="00126371">
      <w:pPr>
        <w:spacing w:after="160" w:line="276" w:lineRule="auto"/>
      </w:pPr>
      <w:r>
        <w:rPr>
          <w:b/>
          <w:bCs/>
        </w:rPr>
        <w:t xml:space="preserve">12.  </w:t>
      </w:r>
      <w:r>
        <w:t>A broad curriculum should include the arts, sport, oracy, civic participation and social and emotional development, not as extras once the tested curriculum is secured. Meta-analytic evidence finds that universal social and emotional learning benefits skills, behaviour, wellbeing and attainment when well implemented (Durlak et al., 2011). Relational and emotional capacities support learning when embedded with fidelity, and the Education Endowment Foundation’s syntheses offer a sound basis for choosing evide</w:t>
      </w:r>
      <w:r>
        <w:t>nced approaches (Education Endowment Foundation, 2021).</w:t>
      </w:r>
    </w:p>
    <w:p w:rsidR="00126371">
      <w:pPr>
        <w:spacing w:after="160" w:line="276" w:lineRule="auto"/>
      </w:pPr>
      <w:r>
        <w:rPr>
          <w:b/>
          <w:bCs/>
        </w:rPr>
        <w:t xml:space="preserve">13.  </w:t>
      </w:r>
      <w:r>
        <w:t>Behaviour reform needs particular care. The emphasis on calm, orderly classrooms is legitimate, and the strongest approaches combine clear expectations with relationships and restorative practice (Education Endowment Foundation, 2021). Systems relying heavily on removal, isolation or repeated suspension can deepen disengagement among children already at risk. The Timpson Review remains the authoritative domestic analysis, finding that exclusion falls disproportionately on disadvantaged and vulnerable pupils</w:t>
      </w:r>
      <w:r>
        <w:t xml:space="preserve"> and that schools vary widely in its use (Timpson, 2019); its recommendations on keeping schools accountable for excluded pupils remain only partly realised.</w:t>
      </w:r>
    </w:p>
    <w:p w:rsidR="00126371">
      <w:pPr>
        <w:spacing w:after="160" w:line="276" w:lineRule="auto"/>
      </w:pPr>
      <w:r>
        <w:rPr>
          <w:b/>
          <w:bCs/>
        </w:rPr>
        <w:t xml:space="preserve">14.  </w:t>
      </w:r>
      <w:r>
        <w:t>The flexibility for supervised on-site suspension should be tightly defined and never become routine isolation under another name. Any on-site suspension should be time-limited, recorded, supervised by trained staff, linked to academic work, and followed by a reintegration meeting that identifies triggers, repairs relationships and specifies support. The Committee should request safeguards against informal exclusion, hidden part-time timetables and unrecorded lost learning (Timpson, 2019).</w:t>
      </w:r>
    </w:p>
    <w:p w:rsidR="00126371">
      <w:pPr>
        <w:spacing w:after="160" w:line="276" w:lineRule="auto"/>
      </w:pPr>
      <w:r>
        <w:rPr>
          <w:b/>
          <w:bCs/>
        </w:rPr>
        <w:t xml:space="preserve">15.  </w:t>
      </w:r>
      <w:r>
        <w:t>Reintegration Support Partnerships are promising if they are genuinely restorative. Exclusion is linked to adverse mental health trajectories, with indicators often visible beforehand (Tejerina-Arreal et al., 2020), and excluded children show high rates of psychiatric difficulty (Whear et al., 2014). A reintegration meeting should not merely reaffirm rules; it should ask what happened, what the child needs in order to</w:t>
      </w:r>
      <w:r>
        <w:t xml:space="preserve"> return safely, and what adults and families will do differently. The aim is accountability combined with re-engagement, not removal by another route.</w:t>
      </w:r>
    </w:p>
    <w:p w:rsidR="00126371">
      <w:pPr>
        <w:spacing w:after="160" w:line="276" w:lineRule="auto"/>
      </w:pPr>
      <w:r>
        <w:rPr>
          <w:b/>
          <w:bCs/>
        </w:rPr>
        <w:t xml:space="preserve">16.  </w:t>
      </w:r>
      <w:r>
        <w:t>Teacher-pupil relationships are infrastructure for attainment: perceived teacher support is associated with engagement and achievement (Tao et al., 2022), which shapes attendance and behaviour. The pledge of 6,500 additional teachers matters, but recruitment without retention will not secure the stability disadvantaged pupils need. Current evidence describes teacher supply in England as critical, with rising workload and worsening retention (McLean and Worth, 2024), and turnover concentrated in disadvantage</w:t>
      </w:r>
      <w:r>
        <w:t>d schools (Allen, Burgess and Mayo, 2018). The retention programme, headteacher incentives, professional development, mentoring and leadership capacity should be backed by measurable workload reduction and flexible working, not recruitment targets alone.</w:t>
      </w:r>
    </w:p>
    <w:p w:rsidR="00126371">
      <w:pPr>
        <w:spacing w:after="160" w:line="276" w:lineRule="auto"/>
      </w:pPr>
      <w:r>
        <w:rPr>
          <w:b/>
          <w:bCs/>
        </w:rPr>
        <w:t xml:space="preserve">17.  </w:t>
      </w:r>
      <w:r>
        <w:t>Support staff should be central, not peripheral. Attendance officers, teaching assistants, pastoral staff and family liaison workers often hold the relationships that make attendance and reintegration possible. The School Support Staff Negotiating Body should be used to establish clear pay and career structures, with supervision, manageable caseloads and evidence-informed deployment.</w:t>
      </w:r>
    </w:p>
    <w:p w:rsidR="00126371">
      <w:pPr>
        <w:spacing w:after="160" w:line="276" w:lineRule="auto"/>
      </w:pPr>
      <w:r>
        <w:rPr>
          <w:b/>
          <w:bCs/>
        </w:rPr>
        <w:t xml:space="preserve">18.  </w:t>
      </w:r>
      <w:r>
        <w:t>Achievement does not end at the school gate. The ambition for essential skills and for reducing the number of young people not in education, employment or training requires alignment between schools, further education, careers provision and youth services. Oracy, literacy, numeracy, digital capability and careers education in the school years underpin post-16 participation, and the same disadvantaged pupils are most at risk at each transition. Wider alignment should connect this work to the National Youth S</w:t>
      </w:r>
      <w:r>
        <w:t>trategy and the extension of the vote to 16- and 17-year-olds, which make civic engagement, oracy and belonging part of young people’s preparation for participation.</w:t>
      </w:r>
    </w:p>
    <w:p w:rsidR="00126371">
      <w:pPr>
        <w:spacing w:after="160" w:line="276" w:lineRule="auto"/>
      </w:pPr>
      <w:r>
        <w:rPr>
          <w:b/>
          <w:bCs/>
        </w:rPr>
        <w:t xml:space="preserve">19.  </w:t>
      </w:r>
      <w:r>
        <w:t>Digital and AI tools may reduce administrative burden but should not substitute for professional judgement or teaching. Dashboards identify patterns but cannot explain the meaning of a child’s absence, silence or apparent compliance. The evidence base for artificial intelligence in education is still limited and partly drawn from adjacent sectors, dominated by short studies with little attention to pedagogy, ethics and equity (Zawacki-Richter et al., 2019), which argues for caution rather than rapid scaling</w:t>
      </w:r>
      <w:r>
        <w:t>. Systems used for planning, feedback, assessment or attendance should be independently evaluated for accuracy, bias, privacy, workload and effects on vulnerable pupils, and governed by national standards, before being scaled.</w:t>
      </w:r>
    </w:p>
    <w:p w:rsidR="00126371">
      <w:pPr>
        <w:spacing w:after="160" w:line="276" w:lineRule="auto"/>
      </w:pPr>
      <w:r>
        <w:rPr>
          <w:b/>
          <w:bCs/>
        </w:rPr>
        <w:t xml:space="preserve">20.  </w:t>
      </w:r>
      <w:r>
        <w:t xml:space="preserve">The move to a trust-led system should be judged by whether it strengthens local responsibility for children, not by structural tidiness. Evidence on whether structural reform itself raises attainment is mixed, with academisation in England showing modest and uneven </w:t>
      </w:r>
      <w:r>
        <w:t>effects (Eyles, Machin and McNally, 2017). Trust-level inspection should examine inclusion, attendance collaboration, curriculum breadth, governance and cooperation with local authorities, health and social care, and the Committee should attend t</w:t>
      </w:r>
      <w:r>
        <w:t xml:space="preserve">o local authority </w:t>
      </w:r>
      <w:r>
        <w:t>coordination, the limits of school autonomy, and the risks to children during structural transition. Reform should not weaken the local relationships on which early help depends.</w:t>
      </w:r>
    </w:p>
    <w:p w:rsidR="00126371">
      <w:pPr>
        <w:spacing w:after="160" w:line="276" w:lineRule="auto"/>
      </w:pPr>
      <w:r>
        <w:rPr>
          <w:b/>
          <w:bCs/>
        </w:rPr>
        <w:t xml:space="preserve">21.  </w:t>
      </w:r>
      <w:r>
        <w:t>Admissions reform is part of disadvantage policy. Fair access protocols, in-year admissions, banding arrangements and transparent information matter because instability, exclusion and managed moves fall hardest on disadvantaged families. The Committee should ask how reform will prevent schools from becoming socially selective through complexity, distance or informal discouragement.</w:t>
      </w:r>
    </w:p>
    <w:p w:rsidR="00126371">
      <w:pPr>
        <w:spacing w:after="160" w:line="276" w:lineRule="auto"/>
      </w:pPr>
      <w:r>
        <w:rPr>
          <w:b/>
          <w:bCs/>
        </w:rPr>
        <w:t xml:space="preserve">22.  </w:t>
      </w:r>
      <w:r>
        <w:t>Complaints reform deserves attention because redress is part of accountability. As the system becomes more trust-led, families can struggle to identify who is responsible. A reformed system, including any national digital complaints-handling service, should be accessible and proportionate, with a clear audit trail, defined timeliness, escalation routes that do not depend on a family’s resources, and pattern analysis across trusts to surface systemic problems.</w:t>
      </w:r>
    </w:p>
    <w:p w:rsidR="00126371">
      <w:pPr>
        <w:spacing w:after="160" w:line="276" w:lineRule="auto"/>
      </w:pPr>
      <w:r>
        <w:rPr>
          <w:b/>
          <w:bCs/>
        </w:rPr>
        <w:t xml:space="preserve">23.  </w:t>
      </w:r>
      <w:r>
        <w:t>The aspiration to halve the disadvantage gap is important but requires patience about causality. Faster test-score gains are unlikely where poverty, instability, mental health need and workforce churn remain unaddressed, and the gap has narrowed only marginally and remains above pre-pandemic levels (Education Policy Institute, 2025). The Government should publish an implementation theory of change showing how each reform is expected to affect attainment, attendance, belonging and post-16 outcomes.</w:t>
      </w:r>
    </w:p>
    <w:p w:rsidR="00126371">
      <w:pPr>
        <w:pStyle w:val="Heading2"/>
        <w:pBdr>
          <w:bottom w:val="single" w:sz="4" w:space="4" w:color="888888"/>
        </w:pBdr>
      </w:pPr>
      <w:r>
        <w:t>Recommendations</w:t>
      </w:r>
    </w:p>
    <w:p w:rsidR="00126371">
      <w:pPr>
        <w:pStyle w:val="ListParagraph"/>
        <w:numPr>
          <w:ilvl w:val="0"/>
          <w:numId w:val="2"/>
        </w:numPr>
        <w:spacing w:after="120" w:line="276" w:lineRule="auto"/>
      </w:pPr>
      <w:r>
        <w:t>Use the Pupil Engagement Framework for school improvement, with validated measures, subgroup analysis, pupil-voice safeguards and explicit coverage of bullying and discrimination.</w:t>
      </w:r>
    </w:p>
    <w:p w:rsidR="00126371">
      <w:pPr>
        <w:pStyle w:val="ListParagraph"/>
        <w:numPr>
          <w:ilvl w:val="0"/>
          <w:numId w:val="2"/>
        </w:numPr>
        <w:spacing w:after="120" w:line="276" w:lineRule="auto"/>
      </w:pPr>
      <w:r>
        <w:t>Publish a differentiated attendance model distinguishing illness, anxiety-led avoidance, poverty, family crisis, transition and post-exclusion disengagement, and independently evaluate attendance hubs, mentoring and AI attendance tools on sustained attendance, wellbeing and re-engagement, not days attended alone.</w:t>
      </w:r>
    </w:p>
    <w:p w:rsidR="00126371">
      <w:pPr>
        <w:pStyle w:val="ListParagraph"/>
        <w:numPr>
          <w:ilvl w:val="0"/>
          <w:numId w:val="2"/>
        </w:numPr>
        <w:spacing w:after="120" w:line="276" w:lineRule="auto"/>
      </w:pPr>
      <w:r>
        <w:t>Evaluate RISE teams independently and distinctly from inspection, against published baselines for curriculum breadth, attendance, inclusion and staff development.</w:t>
      </w:r>
    </w:p>
    <w:p w:rsidR="00126371">
      <w:pPr>
        <w:pStyle w:val="ListParagraph"/>
        <w:numPr>
          <w:ilvl w:val="0"/>
          <w:numId w:val="2"/>
        </w:numPr>
        <w:spacing w:after="120" w:line="276" w:lineRule="auto"/>
      </w:pPr>
      <w:r>
        <w:t>Publish Progress 8, Attainment 8 and any new attainer measures with contextual information and statistical uncertainty, and monitor admissions, exclusions, off-rolling and curriculum breadth for perverse incentives.</w:t>
      </w:r>
    </w:p>
    <w:p w:rsidR="00126371">
      <w:pPr>
        <w:pStyle w:val="ListParagraph"/>
        <w:numPr>
          <w:ilvl w:val="0"/>
          <w:numId w:val="2"/>
        </w:numPr>
        <w:spacing w:after="120" w:line="276" w:lineRule="auto"/>
      </w:pPr>
      <w:r>
        <w:t>Pilot and phase any change to disadvantage funding, review the Pupil Premium for impact, and protect schools serving volatile poverty, with transparent assessment of data, stigma and redistribution risks.</w:t>
      </w:r>
    </w:p>
    <w:p w:rsidR="00126371">
      <w:pPr>
        <w:pStyle w:val="ListParagraph"/>
        <w:numPr>
          <w:ilvl w:val="0"/>
          <w:numId w:val="2"/>
        </w:numPr>
        <w:spacing w:after="120" w:line="276" w:lineRule="auto"/>
      </w:pPr>
      <w:r>
        <w:t>Give on-site suspension statutory safeguards against routine isolation, informal exclusion and unrecorded lost learning, with mandatory reintegration planning after every suspension.</w:t>
      </w:r>
    </w:p>
    <w:p w:rsidR="00126371">
      <w:pPr>
        <w:pStyle w:val="ListParagraph"/>
        <w:numPr>
          <w:ilvl w:val="0"/>
          <w:numId w:val="2"/>
        </w:numPr>
        <w:spacing w:after="120" w:line="276" w:lineRule="auto"/>
      </w:pPr>
      <w:r>
        <w:t>Prioritise teacher retention, workload reduction, relational and inclusive practice, supervision for pastoral staff, and clear support-staff career structures through the School Support Staff Negotiating Body, rather than recruitment targets alone.</w:t>
      </w:r>
    </w:p>
    <w:p w:rsidR="00126371">
      <w:pPr>
        <w:pStyle w:val="ListParagraph"/>
        <w:numPr>
          <w:ilvl w:val="0"/>
          <w:numId w:val="2"/>
        </w:numPr>
        <w:spacing w:after="120" w:line="276" w:lineRule="auto"/>
      </w:pPr>
      <w:r>
        <w:t>Govern AI and digital tools by national standards for accuracy, bias, privacy, explainability and workload impact, preserve teacher professional judgement, and evaluate independently before scaling.</w:t>
      </w:r>
    </w:p>
    <w:p w:rsidR="00126371">
      <w:pPr>
        <w:pStyle w:val="ListParagraph"/>
        <w:numPr>
          <w:ilvl w:val="0"/>
          <w:numId w:val="2"/>
        </w:numPr>
        <w:spacing w:after="120" w:line="276" w:lineRule="auto"/>
      </w:pPr>
      <w:r>
        <w:t>Deliver an accessible, proportionate complaints system with a clear audit trail, defined timeliness, escalation and cross-trust pattern analysis, and hold trusts accountable for inclusion, attendance and cooperation with local services.</w:t>
      </w:r>
    </w:p>
    <w:p w:rsidR="00126371">
      <w:pPr>
        <w:pStyle w:val="ListParagraph"/>
        <w:numPr>
          <w:ilvl w:val="0"/>
          <w:numId w:val="2"/>
        </w:numPr>
        <w:spacing w:after="120" w:line="276" w:lineRule="auto"/>
      </w:pPr>
      <w:r>
        <w:t>Align essential-skills and NEET-prevention duties with school reform and wider youth policy, track them into post-16 destinations, and publish an implementation theory of change with independent evaluation of unintended consequences.</w:t>
      </w:r>
    </w:p>
    <w:p w:rsidR="00126371">
      <w:pPr>
        <w:pStyle w:val="Heading2"/>
        <w:pBdr>
          <w:bottom w:val="single" w:sz="4" w:space="4" w:color="888888"/>
        </w:pBdr>
      </w:pPr>
      <w:r>
        <w:t>References</w:t>
      </w:r>
    </w:p>
    <w:p w:rsidR="00126371">
      <w:pPr>
        <w:spacing w:after="120" w:line="264" w:lineRule="auto"/>
        <w:ind w:left="720" w:hanging="720"/>
      </w:pPr>
      <w:r>
        <w:rPr>
          <w:sz w:val="22"/>
          <w:szCs w:val="22"/>
        </w:rPr>
        <w:t xml:space="preserve">Allen, K.-A., Kern, M.L., Vella-Brodrick, D., Hattie, J. and Waters, L. (2018) ‘What schools need to know about fostering school belonging: a meta-analysis’, </w:t>
      </w:r>
      <w:r>
        <w:rPr>
          <w:i/>
          <w:iCs/>
          <w:sz w:val="22"/>
          <w:szCs w:val="22"/>
        </w:rPr>
        <w:t>Educational Psychology Review</w:t>
      </w:r>
      <w:r>
        <w:rPr>
          <w:sz w:val="22"/>
          <w:szCs w:val="22"/>
        </w:rPr>
        <w:t>, 30(1), pp. 1–34. https://doi.org/10.1007/s10648-016-9389-8.</w:t>
      </w:r>
    </w:p>
    <w:p w:rsidR="00126371">
      <w:pPr>
        <w:spacing w:after="120" w:line="264" w:lineRule="auto"/>
        <w:ind w:left="720" w:hanging="720"/>
      </w:pPr>
      <w:r>
        <w:rPr>
          <w:sz w:val="22"/>
          <w:szCs w:val="22"/>
        </w:rPr>
        <w:t xml:space="preserve">Allen, R., Burgess, S. and Mayo, J. (2018) ‘The teacher labour market, teacher turnover and disadvantaged schools: new evidence for England’, </w:t>
      </w:r>
      <w:r>
        <w:rPr>
          <w:i/>
          <w:iCs/>
          <w:sz w:val="22"/>
          <w:szCs w:val="22"/>
        </w:rPr>
        <w:t>Education Economics</w:t>
      </w:r>
      <w:r>
        <w:rPr>
          <w:sz w:val="22"/>
          <w:szCs w:val="22"/>
        </w:rPr>
        <w:t>, 26(1), pp. 4–23. https://doi.org/10.1080/09645292.2017.1366425.</w:t>
      </w:r>
    </w:p>
    <w:p w:rsidR="00126371">
      <w:pPr>
        <w:spacing w:after="120" w:line="264" w:lineRule="auto"/>
        <w:ind w:left="720" w:hanging="720"/>
      </w:pPr>
      <w:r>
        <w:rPr>
          <w:sz w:val="22"/>
          <w:szCs w:val="22"/>
        </w:rPr>
        <w:t xml:space="preserve">Ashraf, B., Singh, A., Uwimpuhwe, G., Higgins, S. and Kasim, A. (2021) ‘Individual participant data meta-analysis of the impact of educational interventions on pupils eligible for free school meals’, </w:t>
      </w:r>
      <w:r>
        <w:rPr>
          <w:i/>
          <w:iCs/>
          <w:sz w:val="22"/>
          <w:szCs w:val="22"/>
        </w:rPr>
        <w:t>British Educational Research Journal</w:t>
      </w:r>
      <w:r>
        <w:rPr>
          <w:sz w:val="22"/>
          <w:szCs w:val="22"/>
        </w:rPr>
        <w:t>, 47(6), pp. 1675–1699. https://doi.org/10.1002/berj.3749.</w:t>
      </w:r>
    </w:p>
    <w:p w:rsidR="00126371">
      <w:pPr>
        <w:spacing w:after="120" w:line="264" w:lineRule="auto"/>
        <w:ind w:left="720" w:hanging="720"/>
      </w:pPr>
      <w:r>
        <w:rPr>
          <w:sz w:val="22"/>
          <w:szCs w:val="22"/>
        </w:rPr>
        <w:t xml:space="preserve">Castro, M., Expósito-Casas, E., López-Martín, E., Lizasoain, L., Navarro-Asencio, E. and Gaviria, J.L. (2015) ‘Parental involvement on student academic achievement: a meta-analysis’, </w:t>
      </w:r>
      <w:r>
        <w:rPr>
          <w:i/>
          <w:iCs/>
          <w:sz w:val="22"/>
          <w:szCs w:val="22"/>
        </w:rPr>
        <w:t>Educational Research Review</w:t>
      </w:r>
      <w:r>
        <w:rPr>
          <w:sz w:val="22"/>
          <w:szCs w:val="22"/>
        </w:rPr>
        <w:t>, 14, pp. 33–46. https://doi.org/10.1016/j.edurev.2015.01.002.</w:t>
      </w:r>
    </w:p>
    <w:p w:rsidR="00126371">
      <w:pPr>
        <w:spacing w:after="120" w:line="264" w:lineRule="auto"/>
        <w:ind w:left="720" w:hanging="720"/>
      </w:pPr>
      <w:r>
        <w:rPr>
          <w:sz w:val="22"/>
          <w:szCs w:val="22"/>
        </w:rPr>
        <w:t xml:space="preserve">Department for Education (2023) </w:t>
      </w:r>
      <w:r>
        <w:rPr>
          <w:i/>
          <w:iCs/>
          <w:sz w:val="22"/>
          <w:szCs w:val="22"/>
        </w:rPr>
        <w:t>Working Together to Improve School Attendance</w:t>
      </w:r>
      <w:r>
        <w:rPr>
          <w:sz w:val="22"/>
          <w:szCs w:val="22"/>
        </w:rPr>
        <w:t>. London: Department for Education. Available at: https://www.gov.uk/government/publications/working-together-to-improve-school-attendance (Accessed: 29 June 2026).</w:t>
      </w:r>
    </w:p>
    <w:p w:rsidR="00126371">
      <w:pPr>
        <w:spacing w:after="120" w:line="264" w:lineRule="auto"/>
        <w:ind w:left="720" w:hanging="720"/>
      </w:pPr>
      <w:r>
        <w:rPr>
          <w:sz w:val="22"/>
          <w:szCs w:val="22"/>
        </w:rPr>
        <w:t xml:space="preserve">Department for Education (2025) </w:t>
      </w:r>
      <w:r>
        <w:rPr>
          <w:i/>
          <w:iCs/>
          <w:sz w:val="22"/>
          <w:szCs w:val="22"/>
        </w:rPr>
        <w:t>Pupil Absence in Schools in England</w:t>
      </w:r>
      <w:r>
        <w:rPr>
          <w:sz w:val="22"/>
          <w:szCs w:val="22"/>
        </w:rPr>
        <w:t>. London: Department for Education. Available at: https://explore-education-statistics.service.gov.uk/find-statistics/pupil-absence-in-schools-in-england (Accessed: 29 June 2026).</w:t>
      </w:r>
    </w:p>
    <w:p w:rsidR="00126371">
      <w:pPr>
        <w:spacing w:after="120" w:line="264" w:lineRule="auto"/>
        <w:ind w:left="720" w:hanging="720"/>
      </w:pPr>
      <w:r>
        <w:rPr>
          <w:sz w:val="22"/>
          <w:szCs w:val="22"/>
        </w:rPr>
        <w:t xml:space="preserve">Department for Education (2026) </w:t>
      </w:r>
      <w:r>
        <w:rPr>
          <w:i/>
          <w:iCs/>
          <w:sz w:val="22"/>
          <w:szCs w:val="22"/>
        </w:rPr>
        <w:t>Every Child Achieving and Thriving</w:t>
      </w:r>
      <w:r>
        <w:rPr>
          <w:sz w:val="22"/>
          <w:szCs w:val="22"/>
        </w:rPr>
        <w:t>. CP 1508-I. London: Department for Education. Available at: https://www.gov.uk/government/publications/every-child-achieving-and-thriving-white-paper (Accessed: 29 June 2026).</w:t>
      </w:r>
    </w:p>
    <w:p w:rsidR="00126371">
      <w:pPr>
        <w:spacing w:after="120" w:line="264" w:lineRule="auto"/>
        <w:ind w:left="720" w:hanging="720"/>
      </w:pPr>
      <w:r>
        <w:rPr>
          <w:sz w:val="22"/>
          <w:szCs w:val="22"/>
        </w:rPr>
        <w:t xml:space="preserve">Done, E.J. and Knowler, H. (2022) ‘A tension between rationalities: “off-rolling” as gaming and the implications for head teachers and the inclusion agenda’, </w:t>
      </w:r>
      <w:r>
        <w:rPr>
          <w:i/>
          <w:iCs/>
          <w:sz w:val="22"/>
          <w:szCs w:val="22"/>
        </w:rPr>
        <w:t>Educational Review</w:t>
      </w:r>
      <w:r>
        <w:rPr>
          <w:sz w:val="22"/>
          <w:szCs w:val="22"/>
        </w:rPr>
        <w:t>, 74(7), pp. 1322–1341. https://doi.org/10.1080/00131911.2020.1806785.</w:t>
      </w:r>
    </w:p>
    <w:p w:rsidR="00126371">
      <w:pPr>
        <w:spacing w:after="120" w:line="264" w:lineRule="auto"/>
        <w:ind w:left="720" w:hanging="720"/>
      </w:pPr>
      <w:r>
        <w:rPr>
          <w:sz w:val="22"/>
          <w:szCs w:val="22"/>
        </w:rPr>
        <w:t xml:space="preserve">Durlak, J.A., Weissberg, R.P., Dymnicki, A.B., Taylor, R.D. and Schellinger, K.B. (2011) ‘The impact of enhancing students’ social and emotional learning: a meta-analysis of school-based universal interventions’, </w:t>
      </w:r>
      <w:r>
        <w:rPr>
          <w:i/>
          <w:iCs/>
          <w:sz w:val="22"/>
          <w:szCs w:val="22"/>
        </w:rPr>
        <w:t>Child Development</w:t>
      </w:r>
      <w:r>
        <w:rPr>
          <w:sz w:val="22"/>
          <w:szCs w:val="22"/>
        </w:rPr>
        <w:t>, 82(1), pp. 405–432. https://doi.org/10.1111/j.1467-8624.2010.01564.x.</w:t>
      </w:r>
    </w:p>
    <w:p w:rsidR="00126371">
      <w:pPr>
        <w:spacing w:after="120" w:line="264" w:lineRule="auto"/>
        <w:ind w:left="720" w:hanging="720"/>
      </w:pPr>
      <w:r>
        <w:rPr>
          <w:sz w:val="22"/>
          <w:szCs w:val="22"/>
        </w:rPr>
        <w:t xml:space="preserve">Education Endowment Foundation (2021) </w:t>
      </w:r>
      <w:r>
        <w:rPr>
          <w:i/>
          <w:iCs/>
          <w:sz w:val="22"/>
          <w:szCs w:val="22"/>
        </w:rPr>
        <w:t>Teaching and Learning Toolkit</w:t>
      </w:r>
      <w:r>
        <w:rPr>
          <w:sz w:val="22"/>
          <w:szCs w:val="22"/>
        </w:rPr>
        <w:t>. London: Education Endowment Foundation. Available at: https://educationendowmentfoundation.org.uk/education-evidence/teaching-learning-toolkit (Accessed: 29 June 2026).</w:t>
      </w:r>
    </w:p>
    <w:p w:rsidR="00126371">
      <w:pPr>
        <w:spacing w:after="120" w:line="264" w:lineRule="auto"/>
        <w:ind w:left="720" w:hanging="720"/>
      </w:pPr>
      <w:r>
        <w:rPr>
          <w:sz w:val="22"/>
          <w:szCs w:val="22"/>
        </w:rPr>
        <w:t xml:space="preserve">Education Policy Institute (2025) </w:t>
      </w:r>
      <w:r>
        <w:rPr>
          <w:i/>
          <w:iCs/>
          <w:sz w:val="22"/>
          <w:szCs w:val="22"/>
        </w:rPr>
        <w:t>Annual Report 2025: Disadvantage</w:t>
      </w:r>
      <w:r>
        <w:rPr>
          <w:sz w:val="22"/>
          <w:szCs w:val="22"/>
        </w:rPr>
        <w:t>. London: Education Policy Institute. Available at: https://epi.org.uk/annual-report-2025-disadvantage/ (Accessed: 29 June 2026).</w:t>
      </w:r>
    </w:p>
    <w:p w:rsidR="00126371">
      <w:pPr>
        <w:spacing w:after="120" w:line="264" w:lineRule="auto"/>
        <w:ind w:left="720" w:hanging="720"/>
      </w:pPr>
      <w:r>
        <w:rPr>
          <w:sz w:val="22"/>
          <w:szCs w:val="22"/>
        </w:rPr>
        <w:t xml:space="preserve">Eklund, K., Burns, M.K., Oyen, K., DeMarchena, S. and McCollom, E.M. (2020) ‘Addressing chronic absenteeism in schools: a meta-analysis of evidence-based interventions’, </w:t>
      </w:r>
      <w:r>
        <w:rPr>
          <w:i/>
          <w:iCs/>
          <w:sz w:val="22"/>
          <w:szCs w:val="22"/>
        </w:rPr>
        <w:t>School Psychology Review</w:t>
      </w:r>
      <w:r>
        <w:rPr>
          <w:sz w:val="22"/>
          <w:szCs w:val="22"/>
        </w:rPr>
        <w:t>, 49(4), pp. 356–370. https://doi.org/10.1080/2372966X.2020.1789436.</w:t>
      </w:r>
    </w:p>
    <w:p w:rsidR="00126371">
      <w:pPr>
        <w:spacing w:after="120" w:line="264" w:lineRule="auto"/>
        <w:ind w:left="720" w:hanging="720"/>
      </w:pPr>
      <w:r>
        <w:rPr>
          <w:sz w:val="22"/>
          <w:szCs w:val="22"/>
        </w:rPr>
        <w:t xml:space="preserve">Eyles, A., Machin, S. and McNally, S. (2017) ‘Unexpected school reform: academisation of primary schools in England’, </w:t>
      </w:r>
      <w:r>
        <w:rPr>
          <w:i/>
          <w:iCs/>
          <w:sz w:val="22"/>
          <w:szCs w:val="22"/>
        </w:rPr>
        <w:t>Journal of Public Economics</w:t>
      </w:r>
      <w:r>
        <w:rPr>
          <w:sz w:val="22"/>
          <w:szCs w:val="22"/>
        </w:rPr>
        <w:t>, 155, pp. 108–121. https://doi.org/10.1016/j.jpubeco.2017.09.004.</w:t>
      </w:r>
    </w:p>
    <w:p w:rsidR="00126371">
      <w:pPr>
        <w:spacing w:after="120" w:line="264" w:lineRule="auto"/>
        <w:ind w:left="720" w:hanging="720"/>
      </w:pPr>
      <w:r>
        <w:rPr>
          <w:sz w:val="22"/>
          <w:szCs w:val="22"/>
        </w:rPr>
        <w:t>Gorard</w:t>
      </w:r>
      <w:r>
        <w:rPr>
          <w:sz w:val="22"/>
          <w:szCs w:val="22"/>
        </w:rPr>
        <w:t xml:space="preserve">, S., Siddiqui, N. and See, B.H. (2023) ‘Lessons for addressing educational disadvantage from a range of studies’, </w:t>
      </w:r>
      <w:r>
        <w:rPr>
          <w:i/>
          <w:iCs/>
          <w:sz w:val="22"/>
          <w:szCs w:val="22"/>
        </w:rPr>
        <w:t>Cogent Education</w:t>
      </w:r>
      <w:r>
        <w:rPr>
          <w:sz w:val="22"/>
          <w:szCs w:val="22"/>
        </w:rPr>
        <w:t>, 10(2), 2262258. https://doi.org/10.1080/2331186X.2023.2262258.</w:t>
      </w:r>
    </w:p>
    <w:p w:rsidR="00126371">
      <w:pPr>
        <w:spacing w:after="120" w:line="264" w:lineRule="auto"/>
        <w:ind w:left="720" w:hanging="720"/>
      </w:pPr>
      <w:r>
        <w:rPr>
          <w:sz w:val="22"/>
          <w:szCs w:val="22"/>
        </w:rPr>
        <w:t xml:space="preserve">House of Commons Education Committee (2021) </w:t>
      </w:r>
      <w:r>
        <w:rPr>
          <w:i/>
          <w:iCs/>
          <w:sz w:val="22"/>
          <w:szCs w:val="22"/>
        </w:rPr>
        <w:t>The Forgotten: How White Working-class Pupils Have Been Let Down, and How to Change It</w:t>
      </w:r>
      <w:r>
        <w:rPr>
          <w:sz w:val="22"/>
          <w:szCs w:val="22"/>
        </w:rPr>
        <w:t>. HC 85. London: House of Commons. Available at: https://committees.parliament.uk/work/1078/ (Accessed: 29 June 2026).</w:t>
      </w:r>
    </w:p>
    <w:p w:rsidR="00126371">
      <w:pPr>
        <w:spacing w:after="120" w:line="264" w:lineRule="auto"/>
        <w:ind w:left="720" w:hanging="720"/>
      </w:pPr>
      <w:r>
        <w:rPr>
          <w:sz w:val="22"/>
          <w:szCs w:val="22"/>
        </w:rPr>
        <w:t xml:space="preserve">Kearney, C.A. (2008) ‘School absenteeism and school refusal </w:t>
      </w:r>
      <w:r>
        <w:rPr>
          <w:sz w:val="22"/>
          <w:szCs w:val="22"/>
        </w:rPr>
        <w:t xml:space="preserve">behavior in youth: a contemporary review’, </w:t>
      </w:r>
      <w:r>
        <w:rPr>
          <w:i/>
          <w:iCs/>
          <w:sz w:val="22"/>
          <w:szCs w:val="22"/>
        </w:rPr>
        <w:t>Clinical Psychology Review</w:t>
      </w:r>
      <w:r>
        <w:rPr>
          <w:sz w:val="22"/>
          <w:szCs w:val="22"/>
        </w:rPr>
        <w:t>, 28(3), pp. 451–471. https://doi.org/10.1016/j.cpr.2007.07.012.</w:t>
      </w:r>
    </w:p>
    <w:p w:rsidR="00126371">
      <w:pPr>
        <w:spacing w:after="120" w:line="264" w:lineRule="auto"/>
        <w:ind w:left="720" w:hanging="720"/>
      </w:pPr>
      <w:r>
        <w:rPr>
          <w:sz w:val="22"/>
          <w:szCs w:val="22"/>
        </w:rPr>
        <w:t xml:space="preserve">Leckie, G. and Goldstein, H. (2019) ‘The importance of adjusting for pupil background in school value-added models: a study of Progress 8 and school accountability in England’, </w:t>
      </w:r>
      <w:r>
        <w:rPr>
          <w:i/>
          <w:iCs/>
          <w:sz w:val="22"/>
          <w:szCs w:val="22"/>
        </w:rPr>
        <w:t>British Educational Research Journal</w:t>
      </w:r>
      <w:r>
        <w:rPr>
          <w:sz w:val="22"/>
          <w:szCs w:val="22"/>
        </w:rPr>
        <w:t>, 45(3), pp. 518–537. https://doi.org/10.1002/berj.3511.</w:t>
      </w:r>
    </w:p>
    <w:p w:rsidR="00126371">
      <w:pPr>
        <w:spacing w:after="120" w:line="264" w:lineRule="auto"/>
        <w:ind w:left="720" w:hanging="720"/>
      </w:pPr>
      <w:r>
        <w:rPr>
          <w:sz w:val="22"/>
          <w:szCs w:val="22"/>
        </w:rPr>
        <w:t xml:space="preserve">McLean, D. and Worth, J. (2024) </w:t>
      </w:r>
      <w:r>
        <w:rPr>
          <w:i/>
          <w:iCs/>
          <w:sz w:val="22"/>
          <w:szCs w:val="22"/>
        </w:rPr>
        <w:t>Teacher Labour Market in England: Annual Report 2024</w:t>
      </w:r>
      <w:r>
        <w:rPr>
          <w:sz w:val="22"/>
          <w:szCs w:val="22"/>
        </w:rPr>
        <w:t>. Slough: National Foundation for Educational Research. Available at: https://www.nfer.ac.uk/publications/teacher-labour-market-in-england-annual-report-2024/ (Accessed: 29 June 2026).</w:t>
      </w:r>
    </w:p>
    <w:p w:rsidR="00126371">
      <w:pPr>
        <w:spacing w:after="120" w:line="264" w:lineRule="auto"/>
        <w:ind w:left="720" w:hanging="720"/>
      </w:pPr>
      <w:r>
        <w:rPr>
          <w:sz w:val="22"/>
          <w:szCs w:val="22"/>
        </w:rPr>
        <w:t xml:space="preserve">OECD (2023) </w:t>
      </w:r>
      <w:r>
        <w:rPr>
          <w:i/>
          <w:iCs/>
          <w:sz w:val="22"/>
          <w:szCs w:val="22"/>
        </w:rPr>
        <w:t>PISA 2022 Results (Volume I): The State of Learning and Equity in Education</w:t>
      </w:r>
      <w:r>
        <w:rPr>
          <w:sz w:val="22"/>
          <w:szCs w:val="22"/>
        </w:rPr>
        <w:t>. Paris: OECD Publishing. Available at: https://www.oecd.org/en/publications/pisa-2022-results-volume-i_53f23881-en.html (Accessed: 29 June 2026).</w:t>
      </w:r>
    </w:p>
    <w:p w:rsidR="00126371">
      <w:pPr>
        <w:spacing w:after="120" w:line="264" w:lineRule="auto"/>
        <w:ind w:left="720" w:hanging="720"/>
      </w:pPr>
      <w:r>
        <w:rPr>
          <w:sz w:val="22"/>
          <w:szCs w:val="22"/>
        </w:rPr>
        <w:t xml:space="preserve">Tao, Y., Meng, Y., Gao, Z. and Yang, X. (2022) ‘Perceived teacher support, student engagement, and academic achievement: a meta-analysis’, </w:t>
      </w:r>
      <w:r>
        <w:rPr>
          <w:i/>
          <w:iCs/>
          <w:sz w:val="22"/>
          <w:szCs w:val="22"/>
        </w:rPr>
        <w:t>Educational Psychology</w:t>
      </w:r>
      <w:r>
        <w:rPr>
          <w:sz w:val="22"/>
          <w:szCs w:val="22"/>
        </w:rPr>
        <w:t>, 42(4), pp. 401–420. https://doi.org/10.1080/01443410.2022.2033168.</w:t>
      </w:r>
    </w:p>
    <w:p w:rsidR="00126371">
      <w:pPr>
        <w:spacing w:after="120" w:line="264" w:lineRule="auto"/>
        <w:ind w:left="720" w:hanging="720"/>
      </w:pPr>
      <w:r>
        <w:rPr>
          <w:sz w:val="22"/>
          <w:szCs w:val="22"/>
        </w:rPr>
        <w:t xml:space="preserve">Tejerina-Arreal, M., Parker, C., Paget, A., Henley, W., Logan, S., Emond, A. and Ford, T. (2020) ‘Child and adolescent mental health trajectories in relation to exclusion from school from the </w:t>
      </w:r>
      <w:r>
        <w:rPr>
          <w:sz w:val="22"/>
          <w:szCs w:val="22"/>
        </w:rPr>
        <w:t xml:space="preserve">Avon Longitudinal Study of Parents and Children’, </w:t>
      </w:r>
      <w:r>
        <w:rPr>
          <w:i/>
          <w:iCs/>
          <w:sz w:val="22"/>
          <w:szCs w:val="22"/>
        </w:rPr>
        <w:t>Child and Adolescent Mental Health</w:t>
      </w:r>
      <w:r>
        <w:rPr>
          <w:sz w:val="22"/>
          <w:szCs w:val="22"/>
        </w:rPr>
        <w:t>, 25(4), pp. 217–223. https://doi.org/10.1111/camh.12367.</w:t>
      </w:r>
    </w:p>
    <w:p w:rsidR="00126371">
      <w:pPr>
        <w:spacing w:after="120" w:line="264" w:lineRule="auto"/>
        <w:ind w:left="720" w:hanging="720"/>
      </w:pPr>
      <w:r>
        <w:rPr>
          <w:sz w:val="22"/>
          <w:szCs w:val="22"/>
        </w:rPr>
        <w:t xml:space="preserve">Timpson, E. (2019) </w:t>
      </w:r>
      <w:r>
        <w:rPr>
          <w:i/>
          <w:iCs/>
          <w:sz w:val="22"/>
          <w:szCs w:val="22"/>
        </w:rPr>
        <w:t>Timpson Review of School Exclusion</w:t>
      </w:r>
      <w:r>
        <w:rPr>
          <w:sz w:val="22"/>
          <w:szCs w:val="22"/>
        </w:rPr>
        <w:t>. CP 92. London: Department for Education. Available at: https://www.gov.uk/government/publications/timpson-review-of-school-exclusion (Accessed: 29 June 2026).</w:t>
      </w:r>
    </w:p>
    <w:p w:rsidR="00126371">
      <w:pPr>
        <w:spacing w:after="120" w:line="264" w:lineRule="auto"/>
        <w:ind w:left="720" w:hanging="720"/>
      </w:pPr>
      <w:r>
        <w:rPr>
          <w:sz w:val="22"/>
          <w:szCs w:val="22"/>
        </w:rPr>
        <w:t xml:space="preserve">Whear, R., Marlow, R., Boddy, K., Ukoumunne, O.C. and Parker, C. (2014) ‘Psychiatric disorder or impairing psychology in children who have been excluded from school: a systematic review’, </w:t>
      </w:r>
      <w:r>
        <w:rPr>
          <w:i/>
          <w:iCs/>
          <w:sz w:val="22"/>
          <w:szCs w:val="22"/>
        </w:rPr>
        <w:t>School Psychology International</w:t>
      </w:r>
      <w:r>
        <w:rPr>
          <w:sz w:val="22"/>
          <w:szCs w:val="22"/>
        </w:rPr>
        <w:t>, 35(5), pp. 530–543. https://doi.org/10.1177/0143034313517451.</w:t>
      </w:r>
    </w:p>
    <w:p w:rsidR="00126371">
      <w:pPr>
        <w:spacing w:after="120" w:line="264" w:lineRule="auto"/>
        <w:ind w:left="720" w:hanging="720"/>
        <w:rPr>
          <w:sz w:val="22"/>
          <w:szCs w:val="22"/>
        </w:rPr>
      </w:pPr>
      <w:r>
        <w:rPr>
          <w:sz w:val="22"/>
          <w:szCs w:val="22"/>
        </w:rPr>
        <w:t xml:space="preserve">Zawacki-Richter, O., Marín, V.I., Bond, M. and Gouverneur, F. (2019) ‘Systematic review of research on artificial intelligence applications in higher education – where are the educators?’, </w:t>
      </w:r>
      <w:r>
        <w:rPr>
          <w:i/>
          <w:iCs/>
          <w:sz w:val="22"/>
          <w:szCs w:val="22"/>
        </w:rPr>
        <w:t>International Journal of Educational Technology in Higher Education</w:t>
      </w:r>
      <w:r>
        <w:rPr>
          <w:sz w:val="22"/>
          <w:szCs w:val="22"/>
        </w:rPr>
        <w:t xml:space="preserve">, 16(1), article 39. </w:t>
      </w:r>
      <w:r>
        <w:fldChar w:fldCharType="begin"/>
      </w:r>
      <w:r>
        <w:instrText xml:space="preserve"> HYPERLINK "https://doi.org/10.1186/s41239-019-0171-0" </w:instrText>
      </w:r>
      <w:r>
        <w:fldChar w:fldCharType="separate"/>
      </w:r>
      <w:r w:rsidRPr="000E1594" w:rsidR="00A23B8E">
        <w:rPr>
          <w:rStyle w:val="Hyperlink"/>
          <w:sz w:val="22"/>
          <w:szCs w:val="22"/>
        </w:rPr>
        <w:t>https://doi.org/10.1186/s41239-019-0171-0</w:t>
      </w:r>
      <w:r>
        <w:fldChar w:fldCharType="end"/>
      </w:r>
      <w:r>
        <w:rPr>
          <w:sz w:val="22"/>
          <w:szCs w:val="22"/>
        </w:rPr>
        <w:t>.</w:t>
      </w:r>
    </w:p>
    <w:p w:rsidR="00A23B8E">
      <w:pPr>
        <w:spacing w:after="120" w:line="264" w:lineRule="auto"/>
        <w:ind w:left="720" w:hanging="720"/>
        <w:rPr>
          <w:sz w:val="22"/>
          <w:szCs w:val="22"/>
        </w:rPr>
      </w:pPr>
    </w:p>
    <w:p w:rsidR="00A23B8E" w:rsidRPr="00A23B8E">
      <w:pPr>
        <w:spacing w:after="120" w:line="264" w:lineRule="auto"/>
        <w:ind w:left="720" w:hanging="720"/>
        <w:rPr>
          <w:i/>
          <w:iCs/>
        </w:rPr>
      </w:pPr>
      <w:r w:rsidRPr="00A23B8E">
        <w:rPr>
          <w:i/>
          <w:iCs/>
          <w:sz w:val="22"/>
          <w:szCs w:val="22"/>
        </w:rPr>
        <w:t>August 2026</w:t>
      </w:r>
    </w:p>
    <w:sectPr>
      <w:headerReference w:type="default" r:id="rId4"/>
      <w:footerReference w:type="default" r:id="rId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6371">
    <w:pPr>
      <w:pBdr>
        <w:top w:val="single" w:sz="4" w:space="2" w:color="BBBBBB"/>
      </w:pBdr>
      <w:jc w:val="center"/>
    </w:pPr>
    <w:r>
      <w:rPr>
        <w:color w:val="555555"/>
        <w:sz w:val="18"/>
        <w:szCs w:val="18"/>
      </w:rPr>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Pr>
        <w:noProof/>
        <w:color w:val="555555"/>
        <w:sz w:val="18"/>
        <w:szCs w:val="18"/>
      </w:rPr>
      <w:t>1</w:t>
    </w:r>
    <w:r>
      <w:rPr>
        <w:color w:val="555555"/>
        <w:sz w:val="18"/>
        <w:szCs w:val="18"/>
      </w:rPr>
      <w:fldChar w:fldCharType="end"/>
    </w:r>
    <w:r>
      <w:rPr>
        <w:color w:val="555555"/>
        <w:sz w:val="18"/>
        <w:szCs w:val="18"/>
      </w:rPr>
      <w:t xml:space="preserve"> of </w:t>
    </w:r>
    <w:r>
      <w:rPr>
        <w:color w:val="555555"/>
        <w:sz w:val="18"/>
        <w:szCs w:val="18"/>
      </w:rPr>
      <w:fldChar w:fldCharType="begin"/>
    </w:r>
    <w:r>
      <w:rPr>
        <w:color w:val="555555"/>
        <w:sz w:val="18"/>
        <w:szCs w:val="18"/>
      </w:rPr>
      <w:instrText>NUMPAGES</w:instrText>
    </w:r>
    <w:r>
      <w:rPr>
        <w:color w:val="555555"/>
        <w:sz w:val="18"/>
        <w:szCs w:val="18"/>
      </w:rPr>
      <w:fldChar w:fldCharType="separate"/>
    </w:r>
    <w:r>
      <w:rPr>
        <w:noProof/>
        <w:color w:val="555555"/>
        <w:sz w:val="18"/>
        <w:szCs w:val="18"/>
      </w:rPr>
      <w:t>2</w:t>
    </w:r>
    <w:r>
      <w:rPr>
        <w:color w:val="555555"/>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6371">
    <w:pPr>
      <w:pBdr>
        <w:bottom w:val="single" w:sz="4" w:space="2" w:color="BBBBBB"/>
      </w:pBdr>
      <w:tabs>
        <w:tab w:val="right" w:pos="9026"/>
      </w:tabs>
      <w:spacing w:after="120"/>
    </w:pPr>
    <w:r>
      <w:rPr>
        <w:color w:val="555555"/>
        <w:sz w:val="18"/>
        <w:szCs w:val="18"/>
      </w:rPr>
      <w:t>William Gomes</w:t>
    </w:r>
    <w:r>
      <w:rPr>
        <w:color w:val="555555"/>
        <w:sz w:val="18"/>
        <w:szCs w:val="18"/>
      </w:rPr>
      <w:tab/>
      <w:t>Education Committee — Written Evidence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04F7A3F"/>
    <w:multiLevelType w:val="hybridMultilevel"/>
    <w:tmpl w:val="2C6C8C7E"/>
    <w:lvl w:ilvl="0">
      <w:start w:val="1"/>
      <w:numFmt w:val="decimal"/>
      <w:lvlText w:val="%1."/>
      <w:lvlJc w:val="left"/>
      <w:pPr>
        <w:ind w:left="5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7CC55E2C"/>
    <w:multiLevelType w:val="hybridMultilevel"/>
    <w:tmpl w:val="D642223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spacing w:before="260" w:after="120"/>
      <w:outlineLvl w:val="1"/>
    </w:pPr>
    <w:rPr>
      <w:b/>
      <w:bCs/>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60"/>
      <w:outlineLvl w:val="0"/>
    </w:pPr>
    <w:rPr>
      <w:b/>
      <w:bCs/>
      <w:sz w:val="30"/>
      <w:szCs w:val="30"/>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UnresolvedMention">
    <w:name w:val="Unresolved Mention"/>
    <w:basedOn w:val="DefaultParagraphFont"/>
    <w:uiPriority w:val="99"/>
    <w:rsid w:val="00A23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ECA0004</dc:title>
  <cp:revision>0</cp:revision>
</cp:coreProperties>
</file>