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3414" w:rsidRPr="00DB57A9" w:rsidP="00DB57A9">
      <w:pPr>
        <w:pStyle w:val="Standard"/>
        <w:jc w:val="center"/>
        <w:rPr>
          <w:rFonts w:ascii="Calibri" w:hAnsi="Calibri" w:cs="Calibri"/>
          <w:b/>
          <w:bCs/>
          <w:sz w:val="26"/>
          <w:szCs w:val="26"/>
        </w:rPr>
      </w:pPr>
      <w:r w:rsidRPr="00DB57A9">
        <w:rPr>
          <w:rFonts w:ascii="Calibri" w:hAnsi="Calibri" w:cs="Calibri"/>
          <w:b/>
          <w:bCs/>
          <w:sz w:val="26"/>
          <w:szCs w:val="26"/>
        </w:rPr>
        <w:t>Written evidence submitted by Clarence’s of Dartmoor (LUN0091)</w:t>
      </w:r>
    </w:p>
    <w:p w:rsidR="00243414">
      <w:pPr>
        <w:pStyle w:val="Standard"/>
      </w:pPr>
    </w:p>
    <w:p w:rsidR="00243414">
      <w:pPr>
        <w:pStyle w:val="Standard"/>
      </w:pPr>
    </w:p>
    <w:p w:rsidR="00243414">
      <w:pPr>
        <w:pStyle w:val="Standard"/>
        <w:rPr>
          <w:b/>
          <w:bCs/>
        </w:rPr>
      </w:pPr>
    </w:p>
    <w:p w:rsidR="00243414">
      <w:pPr>
        <w:pStyle w:val="Standard"/>
        <w:rPr>
          <w:b/>
          <w:bCs/>
        </w:rPr>
      </w:pPr>
      <w:r>
        <w:rPr>
          <w:b/>
          <w:bCs/>
        </w:rPr>
        <w:t>Evidence to the Environment, Food and Rural Affairs Committee</w:t>
      </w:r>
    </w:p>
    <w:p w:rsidR="00243414">
      <w:pPr>
        <w:pStyle w:val="Standard"/>
        <w:rPr>
          <w:b/>
          <w:bCs/>
        </w:rPr>
      </w:pPr>
    </w:p>
    <w:p w:rsidR="00243414">
      <w:pPr>
        <w:pStyle w:val="Standard"/>
      </w:pPr>
      <w:r>
        <w:rPr>
          <w:b/>
          <w:bCs/>
        </w:rPr>
        <w:t>On behalf of Clarences of Dartmoor.</w:t>
      </w:r>
      <w:r>
        <w:rPr>
          <w:b/>
          <w:bCs/>
        </w:rPr>
        <w:tab/>
      </w:r>
      <w:r>
        <w:rPr>
          <w:b/>
          <w:bCs/>
        </w:rPr>
        <w:tab/>
      </w:r>
      <w:r>
        <w:tab/>
      </w:r>
      <w:r>
        <w:tab/>
      </w:r>
      <w:r>
        <w:tab/>
      </w:r>
      <w:r>
        <w:tab/>
        <w:t>26</w:t>
      </w:r>
      <w:r>
        <w:rPr>
          <w:vertAlign w:val="superscript"/>
        </w:rPr>
        <w:t>th</w:t>
      </w:r>
      <w:r>
        <w:t xml:space="preserve"> June 2026</w:t>
      </w:r>
    </w:p>
    <w:p w:rsidR="00243414">
      <w:pPr>
        <w:pStyle w:val="Standard"/>
      </w:pPr>
    </w:p>
    <w:p w:rsidR="00243414">
      <w:pPr>
        <w:pStyle w:val="Standard"/>
        <w:jc w:val="center"/>
      </w:pPr>
    </w:p>
    <w:tbl>
      <w:tblPr>
        <w:tblW w:w="9638" w:type="dxa"/>
        <w:tblLayout w:type="fixed"/>
        <w:tblCellMar>
          <w:top w:w="0" w:type="dxa"/>
          <w:left w:w="10" w:type="dxa"/>
          <w:bottom w:w="0" w:type="dxa"/>
          <w:right w:w="10" w:type="dxa"/>
        </w:tblCellMar>
        <w:tblLook w:val="0000"/>
      </w:tblPr>
      <w:tblGrid>
        <w:gridCol w:w="9638"/>
      </w:tblGrid>
      <w:tr>
        <w:tblPrEx>
          <w:tblW w:w="9638" w:type="dxa"/>
          <w:tblLayout w:type="fixed"/>
          <w:tblCellMar>
            <w:top w:w="0" w:type="dxa"/>
            <w:left w:w="10" w:type="dxa"/>
            <w:bottom w:w="0" w:type="dxa"/>
            <w:right w:w="10" w:type="dxa"/>
          </w:tblCellMar>
          <w:tblLook w:val="0000"/>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243414">
            <w:pPr>
              <w:pStyle w:val="Textbody"/>
              <w:rPr>
                <w:b/>
                <w:bCs/>
              </w:rPr>
            </w:pPr>
            <w:r>
              <w:rPr>
                <w:b/>
                <w:bCs/>
              </w:rPr>
              <w:t>Question 1</w:t>
            </w:r>
          </w:p>
          <w:p w:rsidR="00243414">
            <w:pPr>
              <w:pStyle w:val="Textbody"/>
              <w:rPr>
                <w:b/>
                <w:bCs/>
              </w:rPr>
            </w:pPr>
            <w:r>
              <w:rPr>
                <w:b/>
                <w:bCs/>
              </w:rPr>
              <w:t>How effectively do current policies balance competing demands in the uplands, including food production, nature recovery, climate mitigation, water management, and public access, and where do the key tensions remain?</w:t>
            </w:r>
          </w:p>
        </w:tc>
      </w:tr>
    </w:tbl>
    <w:p w:rsidR="00243414">
      <w:pPr>
        <w:pStyle w:val="Textbody"/>
      </w:pPr>
    </w:p>
    <w:p w:rsidR="00243414">
      <w:pPr>
        <w:pStyle w:val="Textbody"/>
        <w:rPr>
          <w:b/>
          <w:bCs/>
        </w:rPr>
      </w:pPr>
      <w:r>
        <w:t>8.</w:t>
      </w:r>
      <w:r>
        <w:tab/>
      </w:r>
      <w:r>
        <w:rPr>
          <w:b/>
          <w:bCs/>
        </w:rPr>
        <w:t>C</w:t>
      </w:r>
      <w:r>
        <w:rPr>
          <w:b/>
          <w:bCs/>
        </w:rPr>
        <w:t xml:space="preserve">urrent policies do not balance competing demands in the uplands.  Clear ministerial leadership to direct all government agencies towards shared goals is necessary.   </w:t>
      </w:r>
    </w:p>
    <w:p w:rsidR="00243414">
      <w:pPr>
        <w:pStyle w:val="Textbody"/>
      </w:pPr>
      <w:r>
        <w:t>9.</w:t>
      </w:r>
      <w:r>
        <w:tab/>
        <w:t xml:space="preserve">The National Land Use Framework sets the high level policy for Dartmoor’s moorland to be a multifunctional landscape with 5 specific priorities.  </w:t>
      </w:r>
    </w:p>
    <w:p w:rsidR="00243414">
      <w:pPr>
        <w:pStyle w:val="Textbody"/>
      </w:pPr>
      <w:r>
        <w:t>10.</w:t>
      </w:r>
      <w:r>
        <w:tab/>
        <w:t>In addition there are 3 objectives to be achieved by 2030.</w:t>
      </w:r>
    </w:p>
    <w:p w:rsidR="00243414">
      <w:pPr>
        <w:pStyle w:val="Textbody"/>
      </w:pPr>
      <w:r>
        <w:t>11.</w:t>
      </w:r>
      <w:r>
        <w:tab/>
        <w:t xml:space="preserve">The National Land Use Framework clearly intends that Dartmoor should be actively managed with a shared multifunctional landscape.  </w:t>
      </w:r>
    </w:p>
    <w:p w:rsidR="00243414">
      <w:pPr>
        <w:pStyle w:val="Textbody"/>
      </w:pPr>
      <w:r>
        <w:t>12.</w:t>
      </w:r>
      <w:r>
        <w:tab/>
        <w:t xml:space="preserve">However below that high level policy objectives, tensions arise as to how that is achieved, what risks there are to delivery, what unintended consequences may arise, how risks are mitigated, what information is missing, how plans are to be resourced and how conflicts are resolved.   </w:t>
      </w:r>
    </w:p>
    <w:p w:rsidR="00243414">
      <w:pPr>
        <w:pStyle w:val="Textbody"/>
      </w:pPr>
      <w:r>
        <w:t>13.</w:t>
      </w:r>
      <w:r>
        <w:tab/>
        <w:t>Policy actions are insufficiently planned, and often only take individual organisational objectives into account when implementing actions.  The result is that actions pull in different directions, creating conflict, wasting resources and resulting in failure to achieve policy aims.</w:t>
      </w:r>
    </w:p>
    <w:p w:rsidR="00243414">
      <w:pPr>
        <w:pStyle w:val="Textbody"/>
      </w:pPr>
      <w:r>
        <w:t>14.</w:t>
      </w:r>
      <w:r>
        <w:tab/>
        <w:t>The solution to this should be based on the Dartmoor is the Dartmoor Land Use Management Group.</w:t>
      </w:r>
    </w:p>
    <w:p w:rsidR="00243414">
      <w:pPr>
        <w:pStyle w:val="Textbody"/>
      </w:pPr>
      <w:r>
        <w:t>15.</w:t>
      </w:r>
      <w:r>
        <w:tab/>
        <w:t>However, as has recently been seen in regard to actions on grazing rates:  Actions based on Natural England’s recommendations are likely to have an impact on the viability of semi-wild Dartmoor Ponies.  These are one of Dartmoor’s most iconic cultural icons.  Natural England’s “advice” is solely directed at their own policy of achieving favourable status of the Dartmoor SSSIs.</w:t>
      </w:r>
    </w:p>
    <w:p w:rsidR="00243414">
      <w:pPr>
        <w:pStyle w:val="Textbody"/>
      </w:pPr>
      <w:r>
        <w:t>16.</w:t>
      </w:r>
      <w:r>
        <w:tab/>
        <w:t xml:space="preserve">This is just one example.  There are many more, principally where Natural England are pursuing their own objectives to the exclusion of others or with significant potential unintended consequences.    </w:t>
      </w:r>
    </w:p>
    <w:p w:rsidR="00243414">
      <w:pPr>
        <w:pStyle w:val="Textbody"/>
      </w:pPr>
    </w:p>
    <w:p w:rsidR="00243414">
      <w:pPr>
        <w:pStyle w:val="Textbody"/>
        <w:pageBreakBefore/>
      </w:pPr>
      <w:r>
        <w:t>17.</w:t>
      </w:r>
      <w:r>
        <w:tab/>
        <w:t>The  National Land Use Framework says,</w:t>
      </w:r>
    </w:p>
    <w:p w:rsidR="00243414">
      <w:pPr>
        <w:pStyle w:val="Textbody"/>
        <w:ind w:left="709"/>
        <w:rPr>
          <w:i/>
          <w:iCs/>
        </w:rPr>
      </w:pPr>
      <w:r>
        <w:rPr>
          <w:i/>
          <w:iCs/>
        </w:rPr>
        <w:t>“Some farmers, developers and planners are already demonstrating that it is possible to deliver multifunctional and efficient land use, and we want to encourage more to take up this challenge. Many responses to the Land Use Consultation described the land where they live and work, and often the whole of England, as trapped between competing demands that struggle to be reconciled.”</w:t>
      </w:r>
    </w:p>
    <w:p w:rsidR="00243414">
      <w:pPr>
        <w:pStyle w:val="Textbody"/>
      </w:pPr>
      <w:r>
        <w:t>18.</w:t>
      </w:r>
      <w:r>
        <w:tab/>
        <w:t>On Dartmoor, the situation described above clearly exists:  Everyone is rowing like mad aiming for their own objectives, falling out and seemingly getting no-where.  A building sense of frustration is leading to a loss of trust, retrenchment to factional thinking, resentment of authority and a loss of hope.</w:t>
      </w:r>
    </w:p>
    <w:p w:rsidR="00243414">
      <w:pPr>
        <w:pStyle w:val="Textbody"/>
      </w:pPr>
    </w:p>
    <w:p w:rsidR="00243414">
      <w:pPr>
        <w:pStyle w:val="Textbody"/>
      </w:pPr>
    </w:p>
    <w:p w:rsidR="00243414">
      <w:pPr>
        <w:pStyle w:val="Textbody"/>
        <w:pageBreakBefore/>
      </w:pPr>
    </w:p>
    <w:tbl>
      <w:tblPr>
        <w:tblW w:w="9638" w:type="dxa"/>
        <w:tblLayout w:type="fixed"/>
        <w:tblCellMar>
          <w:top w:w="0" w:type="dxa"/>
          <w:left w:w="10" w:type="dxa"/>
          <w:bottom w:w="0" w:type="dxa"/>
          <w:right w:w="10" w:type="dxa"/>
        </w:tblCellMar>
        <w:tblLook w:val="0000"/>
      </w:tblPr>
      <w:tblGrid>
        <w:gridCol w:w="9638"/>
      </w:tblGrid>
      <w:tr>
        <w:tblPrEx>
          <w:tblW w:w="9638" w:type="dxa"/>
          <w:tblLayout w:type="fixed"/>
          <w:tblCellMar>
            <w:top w:w="0" w:type="dxa"/>
            <w:left w:w="10" w:type="dxa"/>
            <w:bottom w:w="0" w:type="dxa"/>
            <w:right w:w="10" w:type="dxa"/>
          </w:tblCellMar>
          <w:tblLook w:val="0000"/>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243414">
            <w:pPr>
              <w:pStyle w:val="Textbody"/>
              <w:spacing w:after="0"/>
              <w:jc w:val="both"/>
              <w:rPr>
                <w:b/>
                <w:bCs/>
              </w:rPr>
            </w:pPr>
            <w:r>
              <w:rPr>
                <w:b/>
                <w:bCs/>
              </w:rPr>
              <w:t>Question 2:</w:t>
            </w:r>
          </w:p>
          <w:p w:rsidR="00243414">
            <w:pPr>
              <w:pStyle w:val="Textbody"/>
              <w:spacing w:after="0"/>
              <w:jc w:val="both"/>
              <w:rPr>
                <w:b/>
                <w:bCs/>
              </w:rPr>
            </w:pPr>
          </w:p>
          <w:p w:rsidR="00243414">
            <w:pPr>
              <w:pStyle w:val="Textbody"/>
              <w:spacing w:after="0"/>
              <w:jc w:val="both"/>
              <w:rPr>
                <w:b/>
                <w:bCs/>
              </w:rPr>
            </w:pPr>
            <w:r>
              <w:rPr>
                <w:b/>
                <w:bCs/>
              </w:rPr>
              <w:t xml:space="preserve">What has been </w:t>
            </w:r>
            <w:r>
              <w:rPr>
                <w:b/>
                <w:bCs/>
              </w:rPr>
              <w:t>the impact of agricultural policy changes (including the transition away from direct payments) on upland farming businesses, and the impact of these changes on farming profitability?</w:t>
            </w:r>
          </w:p>
        </w:tc>
      </w:tr>
    </w:tbl>
    <w:p w:rsidR="00243414">
      <w:pPr>
        <w:pStyle w:val="Textbody"/>
      </w:pPr>
    </w:p>
    <w:p w:rsidR="00243414">
      <w:pPr>
        <w:pStyle w:val="Textbody"/>
        <w:rPr>
          <w:b/>
          <w:bCs/>
        </w:rPr>
      </w:pPr>
      <w:r>
        <w:t>20.</w:t>
      </w:r>
      <w:r>
        <w:tab/>
      </w:r>
      <w:r>
        <w:rPr>
          <w:b/>
          <w:bCs/>
        </w:rPr>
        <w:t>For us, the move towards conversations about more sustainable farming is a very positive thing.  However policy changes in this respect should go a lot further to ensure sustainable farming becomes the norm.  Factory farming, farming emissions, use of agrochemicals and the impact on air and water continue unabated.</w:t>
      </w:r>
    </w:p>
    <w:p w:rsidR="00243414">
      <w:pPr>
        <w:pStyle w:val="Textbody"/>
      </w:pPr>
      <w:r>
        <w:t>21.</w:t>
      </w:r>
      <w:r>
        <w:tab/>
        <w:t>There has been a missed opportunity of BREXIT to develop a Dartmoor focussed holistic policy.</w:t>
      </w:r>
    </w:p>
    <w:p w:rsidR="00243414">
      <w:pPr>
        <w:pStyle w:val="Textbody"/>
      </w:pPr>
      <w:r>
        <w:t>22.</w:t>
      </w:r>
      <w:r>
        <w:tab/>
        <w:t>Dartmoor farming businesses have seen a reduction in Basic Payments and real terms reductions in payments under HLS agreements.   </w:t>
      </w:r>
    </w:p>
    <w:p w:rsidR="00243414">
      <w:pPr>
        <w:pStyle w:val="Textbody"/>
      </w:pPr>
      <w:r>
        <w:t>23.</w:t>
      </w:r>
      <w:r>
        <w:tab/>
        <w:t xml:space="preserve">While ponies have received a lot of attention, what has not been widely reported is that the Natural England recommended grazing policies will result in a significant fall in farm incomes.  Fewer livestock means less income which means less profitability.   </w:t>
      </w:r>
    </w:p>
    <w:p w:rsidR="00243414">
      <w:pPr>
        <w:pStyle w:val="Textbody"/>
      </w:pPr>
      <w:r>
        <w:t>24.</w:t>
      </w:r>
      <w:r>
        <w:tab/>
        <w:t>For mainstream Dartmoor farming businesses, the worst of the financial changes are yet to come.</w:t>
      </w:r>
    </w:p>
    <w:p w:rsidR="00243414">
      <w:pPr>
        <w:pStyle w:val="Textbody"/>
        <w:pageBreakBefore/>
      </w:pPr>
    </w:p>
    <w:p w:rsidR="00243414">
      <w:pPr>
        <w:pStyle w:val="Textbody"/>
        <w:spacing w:after="0"/>
        <w:rPr>
          <w:color w:val="FF0000"/>
        </w:rPr>
      </w:pPr>
    </w:p>
    <w:tbl>
      <w:tblPr>
        <w:tblW w:w="9638" w:type="dxa"/>
        <w:tblLayout w:type="fixed"/>
        <w:tblCellMar>
          <w:top w:w="0" w:type="dxa"/>
          <w:left w:w="10" w:type="dxa"/>
          <w:bottom w:w="0" w:type="dxa"/>
          <w:right w:w="10" w:type="dxa"/>
        </w:tblCellMar>
        <w:tblLook w:val="0000"/>
      </w:tblPr>
      <w:tblGrid>
        <w:gridCol w:w="9638"/>
      </w:tblGrid>
      <w:tr>
        <w:tblPrEx>
          <w:tblW w:w="9638" w:type="dxa"/>
          <w:tblLayout w:type="fixed"/>
          <w:tblCellMar>
            <w:top w:w="0" w:type="dxa"/>
            <w:left w:w="10" w:type="dxa"/>
            <w:bottom w:w="0" w:type="dxa"/>
            <w:right w:w="10" w:type="dxa"/>
          </w:tblCellMar>
          <w:tblLook w:val="0000"/>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243414">
            <w:pPr>
              <w:pStyle w:val="TableContents"/>
              <w:jc w:val="both"/>
              <w:rPr>
                <w:b/>
                <w:bCs/>
              </w:rPr>
            </w:pPr>
            <w:r>
              <w:rPr>
                <w:b/>
                <w:bCs/>
              </w:rPr>
              <w:t>Question 3</w:t>
            </w:r>
          </w:p>
          <w:p w:rsidR="00243414">
            <w:pPr>
              <w:pStyle w:val="TableContents"/>
              <w:jc w:val="both"/>
              <w:rPr>
                <w:b/>
                <w:bCs/>
              </w:rPr>
            </w:pPr>
          </w:p>
          <w:p w:rsidR="00243414">
            <w:pPr>
              <w:pStyle w:val="TableContents"/>
              <w:jc w:val="both"/>
              <w:rPr>
                <w:b/>
                <w:bCs/>
              </w:rPr>
            </w:pPr>
            <w:r>
              <w:rPr>
                <w:b/>
                <w:bCs/>
              </w:rPr>
              <w:t xml:space="preserve">To what extent do the current Environmental Land Management (ELM) schemes and other support like the Farming in Protected Landscapes (FiPL) schemes </w:t>
            </w:r>
            <w:r>
              <w:rPr>
                <w:b/>
                <w:bCs/>
              </w:rPr>
              <w:t>support financially and environmentally sustainable land management in the uplands?</w:t>
            </w:r>
          </w:p>
        </w:tc>
      </w:tr>
    </w:tbl>
    <w:p w:rsidR="00243414">
      <w:pPr>
        <w:pStyle w:val="Textbody"/>
        <w:spacing w:after="0"/>
        <w:rPr>
          <w:color w:val="FF0000"/>
        </w:rPr>
      </w:pPr>
    </w:p>
    <w:p w:rsidR="00243414">
      <w:pPr>
        <w:pStyle w:val="Textbody"/>
        <w:spacing w:after="0"/>
        <w:rPr>
          <w:b/>
          <w:bCs/>
        </w:rPr>
      </w:pPr>
      <w:r>
        <w:t>25.</w:t>
      </w:r>
      <w:r>
        <w:rPr>
          <w:b/>
          <w:bCs/>
        </w:rPr>
        <w:tab/>
        <w:t xml:space="preserve">They are a little help, but not a lot.  In some cases, we believe they will actively contribute to further harm to the environment and are not sustainable.  </w:t>
      </w:r>
    </w:p>
    <w:p w:rsidR="00243414">
      <w:pPr>
        <w:pStyle w:val="Textbody"/>
        <w:spacing w:after="0"/>
      </w:pPr>
    </w:p>
    <w:p w:rsidR="00243414">
      <w:pPr>
        <w:pStyle w:val="Textbody"/>
        <w:spacing w:after="0"/>
      </w:pPr>
      <w:r>
        <w:t>26.</w:t>
      </w:r>
      <w:r>
        <w:tab/>
        <w:t>Our experience has been that we get a small level of support from Countryside Stewardship Mid Tier for two parcels of land on our farm that are primarily managed for nature.</w:t>
      </w:r>
    </w:p>
    <w:p w:rsidR="00243414">
      <w:pPr>
        <w:pStyle w:val="Textbody"/>
        <w:spacing w:after="0"/>
      </w:pPr>
    </w:p>
    <w:p w:rsidR="00243414">
      <w:pPr>
        <w:pStyle w:val="Textbody"/>
        <w:spacing w:after="0"/>
      </w:pPr>
      <w:r>
        <w:t>27.</w:t>
      </w:r>
      <w:r>
        <w:tab/>
        <w:t xml:space="preserve">Due to the complexity of support for agro-forestry we are unable to </w:t>
      </w:r>
      <w:r>
        <w:t>access that under any scheme.</w:t>
      </w:r>
    </w:p>
    <w:p w:rsidR="00243414">
      <w:pPr>
        <w:pStyle w:val="Textbody"/>
        <w:spacing w:after="0"/>
      </w:pPr>
    </w:p>
    <w:p w:rsidR="00243414">
      <w:pPr>
        <w:pStyle w:val="Textbody"/>
        <w:spacing w:after="0"/>
      </w:pPr>
      <w:r>
        <w:t>28.</w:t>
      </w:r>
      <w:r>
        <w:tab/>
        <w:t>We have not seen any details of proposals submitted to DEFRA in regard to the Central Dartmoor Landscape Recovery Project yet.</w:t>
      </w:r>
    </w:p>
    <w:p w:rsidR="00243414">
      <w:pPr>
        <w:pStyle w:val="Textbody"/>
        <w:spacing w:after="0"/>
      </w:pPr>
    </w:p>
    <w:p w:rsidR="00243414">
      <w:pPr>
        <w:pStyle w:val="Textbody"/>
        <w:spacing w:after="0"/>
      </w:pPr>
      <w:r>
        <w:t>29.</w:t>
      </w:r>
      <w:r>
        <w:tab/>
        <w:t>We spent a considerable amount of time looking at agro-forestry options under SFI.  We were approved for a grant to create an agro-forestry management plan, which was a pre-requisite for SFI payments.  We decided not proceed with that because we were subsequently advised our field parcels were too small.</w:t>
      </w:r>
    </w:p>
    <w:p w:rsidR="00243414">
      <w:pPr>
        <w:pStyle w:val="Textbody"/>
        <w:spacing w:after="0"/>
      </w:pPr>
    </w:p>
    <w:p w:rsidR="00243414">
      <w:pPr>
        <w:pStyle w:val="Textbody"/>
        <w:spacing w:after="0"/>
      </w:pPr>
      <w:r>
        <w:t>30.</w:t>
      </w:r>
      <w:r>
        <w:tab/>
        <w:t>Due to the delays in clarity over the agro-forestry options were were unable to join SFI prior to its closure without notice.</w:t>
      </w:r>
    </w:p>
    <w:p w:rsidR="00243414">
      <w:pPr>
        <w:pStyle w:val="Textbody"/>
        <w:spacing w:after="0"/>
      </w:pPr>
    </w:p>
    <w:p w:rsidR="00243414">
      <w:pPr>
        <w:pStyle w:val="Textbody"/>
        <w:spacing w:after="0"/>
      </w:pPr>
      <w:r>
        <w:t>31.</w:t>
      </w:r>
      <w:r>
        <w:tab/>
        <w:t>The prescriptive options set out by SFI, Mid Tier and Higher Tier are commonly not suitable for our farm as we are rapidly innovating our sustainable farming techniques and these schemes act as a behavioural straight-jacket.</w:t>
      </w:r>
    </w:p>
    <w:p w:rsidR="00243414">
      <w:pPr>
        <w:pStyle w:val="Textbody"/>
        <w:spacing w:after="0"/>
      </w:pPr>
    </w:p>
    <w:p w:rsidR="00243414">
      <w:pPr>
        <w:pStyle w:val="Textbody"/>
        <w:spacing w:after="0"/>
      </w:pPr>
      <w:r>
        <w:t>32.</w:t>
      </w:r>
      <w:r>
        <w:tab/>
        <w:t xml:space="preserve">An example of that of the SFI low input grazing option.  This prohibits supplementary feeding or over-seeding both of which are important parts of our Herbally Augmented Permanent Pasture (HAPP) technique, but are prohibited by the SFI option prescriptions.   </w:t>
      </w:r>
    </w:p>
    <w:p w:rsidR="00243414">
      <w:pPr>
        <w:pStyle w:val="Textbody"/>
        <w:spacing w:after="0"/>
      </w:pPr>
      <w:r>
        <w:t xml:space="preserve">     </w:t>
      </w:r>
    </w:p>
    <w:p w:rsidR="00243414">
      <w:pPr>
        <w:pStyle w:val="Textbody"/>
        <w:spacing w:after="0"/>
      </w:pPr>
      <w:r>
        <w:t>33.</w:t>
      </w:r>
      <w:r>
        <w:tab/>
        <w:t>We received support from FiPL when it was first introduced.  This was helpful.  Our second application was rejected on the basis that we had applied for it before and other farms who had not received funding previously were being prioritised.</w:t>
      </w:r>
    </w:p>
    <w:p w:rsidR="00243414">
      <w:pPr>
        <w:pStyle w:val="Textbody"/>
        <w:spacing w:after="0"/>
      </w:pPr>
    </w:p>
    <w:p w:rsidR="00243414">
      <w:pPr>
        <w:pStyle w:val="Textbody"/>
        <w:spacing w:after="0"/>
      </w:pPr>
      <w:r>
        <w:t>34.</w:t>
      </w:r>
      <w:r>
        <w:tab/>
        <w:t xml:space="preserve">We have made an expression of interest under the current FIPL round and are waiting for a response.  This will include soil DNA testing undertaken with Exeter University.  </w:t>
      </w:r>
    </w:p>
    <w:p w:rsidR="00243414">
      <w:pPr>
        <w:pStyle w:val="Textbody"/>
        <w:spacing w:after="0"/>
      </w:pPr>
    </w:p>
    <w:p w:rsidR="00243414">
      <w:pPr>
        <w:pStyle w:val="Textbody"/>
        <w:spacing w:after="0"/>
      </w:pPr>
      <w:r>
        <w:t>35.</w:t>
      </w:r>
      <w:r>
        <w:tab/>
        <w:t>Many actions that we take which are innovative are ineligible for SFI support and even actions that are common and widely acknowledged to be more sustainable (e.g. adaptive multi-paddock grazing) do not attract any financial support.</w:t>
      </w:r>
    </w:p>
    <w:p w:rsidR="00243414">
      <w:pPr>
        <w:pStyle w:val="Textbody"/>
        <w:spacing w:after="0"/>
      </w:pPr>
    </w:p>
    <w:p w:rsidR="00243414">
      <w:pPr>
        <w:pStyle w:val="Textbody"/>
        <w:spacing w:after="0"/>
      </w:pPr>
      <w:r>
        <w:t>36.</w:t>
      </w:r>
      <w:r>
        <w:tab/>
        <w:t>We were able to get some useful and quite flexible financial support from Devon County Council in 2025 and again in 2026.</w:t>
      </w:r>
    </w:p>
    <w:p w:rsidR="00243414">
      <w:pPr>
        <w:pStyle w:val="Textbody"/>
        <w:pageBreakBefore/>
        <w:spacing w:after="0"/>
      </w:pPr>
    </w:p>
    <w:p w:rsidR="00243414">
      <w:pPr>
        <w:pStyle w:val="Textbody"/>
        <w:spacing w:after="0"/>
      </w:pPr>
    </w:p>
    <w:tbl>
      <w:tblPr>
        <w:tblW w:w="9638" w:type="dxa"/>
        <w:tblLayout w:type="fixed"/>
        <w:tblCellMar>
          <w:top w:w="0" w:type="dxa"/>
          <w:left w:w="10" w:type="dxa"/>
          <w:bottom w:w="0" w:type="dxa"/>
          <w:right w:w="10" w:type="dxa"/>
        </w:tblCellMar>
        <w:tblLook w:val="0000"/>
      </w:tblPr>
      <w:tblGrid>
        <w:gridCol w:w="9638"/>
      </w:tblGrid>
      <w:tr>
        <w:tblPrEx>
          <w:tblW w:w="9638" w:type="dxa"/>
          <w:tblLayout w:type="fixed"/>
          <w:tblCellMar>
            <w:top w:w="0" w:type="dxa"/>
            <w:left w:w="10" w:type="dxa"/>
            <w:bottom w:w="0" w:type="dxa"/>
            <w:right w:w="10" w:type="dxa"/>
          </w:tblCellMar>
          <w:tblLook w:val="0000"/>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243414">
            <w:pPr>
              <w:pStyle w:val="TableContents"/>
              <w:rPr>
                <w:b/>
                <w:bCs/>
              </w:rPr>
            </w:pPr>
            <w:r>
              <w:rPr>
                <w:b/>
                <w:bCs/>
              </w:rPr>
              <w:t>Question 4</w:t>
            </w:r>
          </w:p>
          <w:p w:rsidR="00243414">
            <w:pPr>
              <w:pStyle w:val="TableContents"/>
              <w:rPr>
                <w:b/>
                <w:bCs/>
              </w:rPr>
            </w:pPr>
          </w:p>
          <w:p w:rsidR="00243414">
            <w:pPr>
              <w:pStyle w:val="Textbody"/>
              <w:spacing w:after="0"/>
              <w:rPr>
                <w:b/>
                <w:bCs/>
              </w:rPr>
            </w:pPr>
            <w:r>
              <w:rPr>
                <w:b/>
                <w:bCs/>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tc>
      </w:tr>
    </w:tbl>
    <w:p w:rsidR="00243414">
      <w:pPr>
        <w:pStyle w:val="Textbody"/>
        <w:spacing w:after="0"/>
      </w:pPr>
    </w:p>
    <w:p w:rsidR="00243414">
      <w:pPr>
        <w:pStyle w:val="Textbody"/>
        <w:spacing w:after="0"/>
        <w:rPr>
          <w:b/>
          <w:bCs/>
        </w:rPr>
      </w:pPr>
      <w:r>
        <w:t>37.</w:t>
      </w:r>
      <w:r>
        <w:rPr>
          <w:b/>
          <w:bCs/>
        </w:rPr>
        <w:tab/>
        <w:t xml:space="preserve">This is a real problem area and needs significant reform.  There are </w:t>
      </w:r>
      <w:r>
        <w:rPr>
          <w:b/>
          <w:bCs/>
        </w:rPr>
        <w:t>significant risks that intended outcomes will not be achieved.</w:t>
      </w:r>
    </w:p>
    <w:p w:rsidR="00243414">
      <w:pPr>
        <w:pStyle w:val="Textbody"/>
        <w:spacing w:after="0"/>
      </w:pPr>
    </w:p>
    <w:p w:rsidR="00243414">
      <w:pPr>
        <w:pStyle w:val="Textbody"/>
        <w:spacing w:after="0"/>
      </w:pPr>
      <w:r>
        <w:t>38.1.</w:t>
      </w:r>
      <w:r>
        <w:tab/>
        <w:t xml:space="preserve">Risk modelling appears to be non existent, with a real danger of unforeseen circumstances resulting from large scale land use changes.  Wildfire, tick borne diseases and deer are significant threats.  Actions on Dartmoor commons could behaviour and affect potentially very diverse “in-bye” land and “new takes” similar to our farm land.   </w:t>
      </w:r>
    </w:p>
    <w:p w:rsidR="00243414">
      <w:pPr>
        <w:pStyle w:val="Textbody"/>
        <w:spacing w:after="0"/>
      </w:pPr>
    </w:p>
    <w:p w:rsidR="00243414">
      <w:pPr>
        <w:pStyle w:val="Textbody"/>
        <w:spacing w:after="0"/>
      </w:pPr>
      <w:r>
        <w:t>38.2</w:t>
      </w:r>
      <w:r>
        <w:tab/>
        <w:t>To cite Natural England’s own research (</w:t>
      </w:r>
      <w:r>
        <w:rPr>
          <w:color w:val="000000"/>
        </w:rPr>
        <w:t>NEER006 The impact of moorland grazing and stocking rates (May 2013))</w:t>
      </w:r>
    </w:p>
    <w:p w:rsidR="00243414">
      <w:pPr>
        <w:pStyle w:val="Textbody"/>
        <w:spacing w:after="0"/>
        <w:rPr>
          <w:color w:val="000000"/>
        </w:rPr>
      </w:pPr>
    </w:p>
    <w:p w:rsidR="00243414">
      <w:pPr>
        <w:pStyle w:val="Textbody"/>
        <w:spacing w:after="0"/>
        <w:ind w:left="709"/>
        <w:rPr>
          <w:i/>
          <w:iCs/>
        </w:rPr>
      </w:pPr>
      <w:r>
        <w:rPr>
          <w:i/>
          <w:iCs/>
        </w:rPr>
        <w:t>“The quality of evidence was however found to be variable, with only 21% of the individual</w:t>
      </w:r>
    </w:p>
    <w:p w:rsidR="00243414">
      <w:pPr>
        <w:pStyle w:val="Textbody"/>
        <w:spacing w:after="0"/>
        <w:ind w:left="709"/>
        <w:rPr>
          <w:i/>
          <w:iCs/>
        </w:rPr>
      </w:pPr>
      <w:r>
        <w:rPr>
          <w:i/>
          <w:iCs/>
        </w:rPr>
        <w:t>conclusions that underpin the above points based on evidence judged as “strong‟. There is a relative lack of good quality studies on which to base management decisions.”</w:t>
      </w:r>
    </w:p>
    <w:p w:rsidR="00243414">
      <w:pPr>
        <w:pStyle w:val="Textbody"/>
        <w:spacing w:after="0"/>
      </w:pPr>
    </w:p>
    <w:p w:rsidR="00243414">
      <w:pPr>
        <w:pStyle w:val="Textbody"/>
        <w:spacing w:after="0"/>
      </w:pPr>
      <w:r>
        <w:t>38.3</w:t>
      </w:r>
      <w:r>
        <w:tab/>
        <w:t>As a consequence of this uncertainty there is a clear need to carefully assess “advice” given by Natural England, particularly where it falls outside their area of expertise.  This leads on to our next point:</w:t>
      </w:r>
    </w:p>
    <w:p w:rsidR="00243414">
      <w:pPr>
        <w:pStyle w:val="Textbody"/>
        <w:spacing w:after="0"/>
      </w:pPr>
    </w:p>
    <w:p w:rsidR="00243414">
      <w:pPr>
        <w:pStyle w:val="Textbody"/>
        <w:spacing w:after="0"/>
      </w:pPr>
      <w:r>
        <w:t>39.1</w:t>
      </w:r>
      <w:r>
        <w:tab/>
        <w:t>Natural England are both a policy designer and regulator.  This is the opposite of the normal land development system where designs are scrutinised by an independent planning authority.</w:t>
      </w:r>
    </w:p>
    <w:p w:rsidR="00243414">
      <w:pPr>
        <w:pStyle w:val="Textbody"/>
        <w:spacing w:after="0"/>
      </w:pPr>
    </w:p>
    <w:p w:rsidR="00243414">
      <w:pPr>
        <w:pStyle w:val="Textbody"/>
        <w:spacing w:after="0"/>
      </w:pPr>
      <w:r>
        <w:t>39.2</w:t>
      </w:r>
      <w:r>
        <w:tab/>
        <w:t>The current system is at inherent risk of policies having unintended consequences due to insufficient scrutiny.</w:t>
      </w:r>
    </w:p>
    <w:p w:rsidR="00243414">
      <w:pPr>
        <w:pStyle w:val="Textbody"/>
        <w:spacing w:after="0"/>
      </w:pPr>
    </w:p>
    <w:p w:rsidR="00243414">
      <w:pPr>
        <w:pStyle w:val="Textbody"/>
        <w:spacing w:after="0"/>
      </w:pPr>
      <w:r>
        <w:t>39.3</w:t>
      </w:r>
      <w:r>
        <w:tab/>
        <w:t>Natural England like to present themselves as “advisors only”.  That is factually incorrect.  They are a decision making authority in regard to licences for works on protected sites.</w:t>
      </w:r>
      <w:r>
        <w:rPr>
          <w:color w:val="000000"/>
        </w:rPr>
        <w:t xml:space="preserve">  Furthermore, because in practice they are sole advisers to DEFRA this creates an inherent risk that this “advice” is actually policy making (with DEFRA only having the role of policy approval).</w:t>
      </w:r>
    </w:p>
    <w:p w:rsidR="00243414">
      <w:pPr>
        <w:pStyle w:val="Textbody"/>
        <w:spacing w:after="0"/>
      </w:pPr>
    </w:p>
    <w:p w:rsidR="00243414">
      <w:pPr>
        <w:pStyle w:val="Textbody"/>
        <w:spacing w:after="0"/>
        <w:ind w:left="709"/>
        <w:rPr>
          <w:i/>
          <w:iCs/>
        </w:rPr>
      </w:pPr>
      <w:r>
        <w:rPr>
          <w:i/>
          <w:iCs/>
        </w:rPr>
        <w:t xml:space="preserve">“Management of the English uplands is complex and achieving good environmental outcomes, while taking into account the needs of owners, stakeholders and other interests is a balancing act.”  - </w:t>
      </w:r>
      <w:r>
        <w:rPr>
          <w:i/>
          <w:iCs/>
          <w:color w:val="000000"/>
        </w:rPr>
        <w:t>NEER006 The impact of moorland grazing and stocking rates (May 2013)</w:t>
      </w:r>
    </w:p>
    <w:p w:rsidR="00243414">
      <w:pPr>
        <w:pStyle w:val="Textbody"/>
        <w:spacing w:after="0"/>
      </w:pPr>
    </w:p>
    <w:p w:rsidR="00243414">
      <w:pPr>
        <w:pStyle w:val="Textbody"/>
        <w:spacing w:after="0"/>
      </w:pPr>
    </w:p>
    <w:p w:rsidR="00243414">
      <w:pPr>
        <w:pStyle w:val="Textbody"/>
        <w:pageBreakBefore/>
        <w:spacing w:after="0"/>
      </w:pPr>
      <w:r>
        <w:t>39.4</w:t>
      </w:r>
      <w:r>
        <w:tab/>
        <w:t>Our suggestion is that either:</w:t>
      </w:r>
    </w:p>
    <w:p w:rsidR="00243414">
      <w:pPr>
        <w:pStyle w:val="Textbody"/>
        <w:spacing w:after="0"/>
      </w:pPr>
    </w:p>
    <w:p w:rsidR="00243414">
      <w:pPr>
        <w:pStyle w:val="Textbody"/>
        <w:spacing w:after="0"/>
      </w:pPr>
      <w:r>
        <w:t xml:space="preserve">(a) Natural England retain its </w:t>
      </w:r>
      <w:r>
        <w:t>regulatory powers to determine licence applications and be stripped of its advisory role to DEFRA (With that advisory role contracted to other entities including commercial providers of ecology advice).</w:t>
      </w:r>
    </w:p>
    <w:p w:rsidR="00243414">
      <w:pPr>
        <w:pStyle w:val="Textbody"/>
        <w:spacing w:after="0"/>
      </w:pPr>
    </w:p>
    <w:p w:rsidR="00243414">
      <w:pPr>
        <w:pStyle w:val="Textbody"/>
        <w:spacing w:after="0"/>
      </w:pPr>
      <w:r>
        <w:t>or</w:t>
      </w:r>
    </w:p>
    <w:p w:rsidR="00243414">
      <w:pPr>
        <w:pStyle w:val="Textbody"/>
        <w:spacing w:after="0"/>
      </w:pPr>
    </w:p>
    <w:p w:rsidR="00243414">
      <w:pPr>
        <w:pStyle w:val="Textbody"/>
        <w:spacing w:after="0"/>
      </w:pPr>
      <w:r>
        <w:t>(b) Natural England’s role as a regulator for licenses within National Parks be removed from them and placed under the control of the National Park Authorities.  This would place the licensing of actions pursuant to agri-environmental on the same basis as seeking planning consents in National Parks. This would allow the National Park Authorities to take into account a wide range of consultees prior to making decisions and achieve a better balance in decision making.</w:t>
      </w:r>
    </w:p>
    <w:p w:rsidR="00243414">
      <w:pPr>
        <w:pStyle w:val="Textbody"/>
        <w:spacing w:after="0"/>
      </w:pPr>
    </w:p>
    <w:p w:rsidR="00243414">
      <w:pPr>
        <w:pStyle w:val="Textbody"/>
        <w:spacing w:after="0"/>
      </w:pPr>
      <w:r>
        <w:t>39.5</w:t>
      </w:r>
      <w:r>
        <w:tab/>
        <w:t>The main objective of this would be enable the National Park Authority to properly consult and take into account the views of the Fire Services, Historic England, Water Authorities, The Environment Agency, members of the public and others prior to issuing licences.</w:t>
      </w:r>
    </w:p>
    <w:p w:rsidR="00243414">
      <w:pPr>
        <w:pStyle w:val="Textbody"/>
        <w:spacing w:after="0"/>
      </w:pPr>
    </w:p>
    <w:p w:rsidR="00243414">
      <w:pPr>
        <w:pStyle w:val="Textbody"/>
        <w:spacing w:after="0"/>
      </w:pPr>
      <w:r>
        <w:t>We prefer Option (b) but other variations may be available.</w:t>
      </w:r>
    </w:p>
    <w:p w:rsidR="00243414">
      <w:pPr>
        <w:pStyle w:val="Textbody"/>
        <w:spacing w:after="0"/>
      </w:pPr>
    </w:p>
    <w:p w:rsidR="00243414">
      <w:pPr>
        <w:pStyle w:val="Textbody"/>
        <w:spacing w:after="0"/>
      </w:pPr>
      <w:r>
        <w:t>Under either option there would need to be a re-alignment of resources.</w:t>
      </w:r>
    </w:p>
    <w:p w:rsidR="00243414">
      <w:pPr>
        <w:pStyle w:val="Textbody"/>
        <w:spacing w:after="0"/>
      </w:pPr>
    </w:p>
    <w:p w:rsidR="00243414">
      <w:pPr>
        <w:pStyle w:val="Textbody"/>
        <w:spacing w:after="0"/>
      </w:pPr>
      <w:r>
        <w:t>There is also a third option:</w:t>
      </w:r>
    </w:p>
    <w:p w:rsidR="00243414">
      <w:pPr>
        <w:pStyle w:val="Textbody"/>
        <w:spacing w:after="0"/>
      </w:pPr>
    </w:p>
    <w:p w:rsidR="00243414">
      <w:pPr>
        <w:pStyle w:val="Textbody"/>
        <w:spacing w:after="0"/>
      </w:pPr>
      <w:r>
        <w:t xml:space="preserve">(c) Which would be a combination of options (a) and (b).  </w:t>
      </w:r>
    </w:p>
    <w:p w:rsidR="00243414">
      <w:pPr>
        <w:pStyle w:val="Textbody"/>
        <w:spacing w:after="0"/>
        <w:ind w:left="709"/>
        <w:rPr>
          <w:i/>
          <w:iCs/>
        </w:rPr>
      </w:pPr>
    </w:p>
    <w:p w:rsidR="00243414">
      <w:pPr>
        <w:pStyle w:val="Textbody"/>
        <w:spacing w:after="0"/>
      </w:pPr>
      <w:r>
        <w:t>40.1</w:t>
      </w:r>
      <w:r>
        <w:tab/>
        <w:t>Is there really a need for further restrictions on grazing ?</w:t>
      </w:r>
    </w:p>
    <w:p w:rsidR="00243414">
      <w:pPr>
        <w:pStyle w:val="Textbody"/>
        <w:spacing w:after="0"/>
        <w:ind w:left="709"/>
      </w:pPr>
    </w:p>
    <w:p w:rsidR="00243414">
      <w:pPr>
        <w:pStyle w:val="Textbody"/>
        <w:spacing w:after="0"/>
        <w:ind w:left="709"/>
        <w:rPr>
          <w:i/>
          <w:iCs/>
        </w:rPr>
      </w:pPr>
      <w:r>
        <w:rPr>
          <w:i/>
          <w:iCs/>
        </w:rPr>
        <w:t xml:space="preserve">“Through such schemes the area of </w:t>
      </w:r>
      <w:r>
        <w:rPr>
          <w:i/>
          <w:iCs/>
        </w:rPr>
        <w:t>SSSI on which overgrazing was a key reason for</w:t>
      </w:r>
    </w:p>
    <w:p w:rsidR="00243414">
      <w:pPr>
        <w:pStyle w:val="Textbody"/>
        <w:spacing w:after="0"/>
      </w:pPr>
      <w:r>
        <w:rPr>
          <w:i/>
          <w:iCs/>
        </w:rPr>
        <w:t>unfavourable condition has been reduced from 230,000 ha in 2003 to less than 2,500 ha at present.”</w:t>
      </w:r>
      <w:r>
        <w:t xml:space="preserve"> </w:t>
      </w:r>
      <w:r>
        <w:rPr>
          <w:i/>
          <w:iCs/>
        </w:rPr>
        <w:t xml:space="preserve">- </w:t>
      </w:r>
      <w:r>
        <w:rPr>
          <w:i/>
          <w:iCs/>
          <w:color w:val="000000"/>
        </w:rPr>
        <w:t>NEER006 The impact of moorland grazing and stocking rates (May 2013)</w:t>
      </w:r>
    </w:p>
    <w:p w:rsidR="00243414">
      <w:pPr>
        <w:pStyle w:val="Textbody"/>
        <w:spacing w:after="0"/>
      </w:pPr>
    </w:p>
    <w:p w:rsidR="00243414">
      <w:pPr>
        <w:pStyle w:val="Textbody"/>
        <w:spacing w:after="0"/>
      </w:pPr>
      <w:r>
        <w:t>40.2</w:t>
      </w:r>
      <w:r>
        <w:tab/>
        <w:t>While Natural England present over-grazing as a problem, are we now chasing a diminishing return and is that wise considering under grazing could  result in catastrophes like uncontrolled wildfires ?</w:t>
      </w:r>
    </w:p>
    <w:p w:rsidR="00243414">
      <w:pPr>
        <w:pStyle w:val="Textbody"/>
        <w:spacing w:after="0"/>
      </w:pPr>
    </w:p>
    <w:p w:rsidR="00243414">
      <w:pPr>
        <w:pStyle w:val="Textbody"/>
        <w:spacing w:after="0"/>
      </w:pPr>
      <w:r>
        <w:t>40.3</w:t>
      </w:r>
      <w:r>
        <w:tab/>
        <w:t>This question needs to be put in the context of a holistic plan for uplands and not just in pursuit of Natural England’s own objectives.</w:t>
      </w:r>
    </w:p>
    <w:p w:rsidR="00243414">
      <w:pPr>
        <w:pStyle w:val="Textbody"/>
        <w:pageBreakBefore/>
        <w:spacing w:after="0"/>
      </w:pPr>
    </w:p>
    <w:p w:rsidR="00243414">
      <w:pPr>
        <w:pStyle w:val="Textbody"/>
        <w:spacing w:after="0"/>
      </w:pPr>
    </w:p>
    <w:tbl>
      <w:tblPr>
        <w:tblW w:w="9638" w:type="dxa"/>
        <w:tblLayout w:type="fixed"/>
        <w:tblCellMar>
          <w:top w:w="0" w:type="dxa"/>
          <w:left w:w="10" w:type="dxa"/>
          <w:bottom w:w="0" w:type="dxa"/>
          <w:right w:w="10" w:type="dxa"/>
        </w:tblCellMar>
        <w:tblLook w:val="0000"/>
      </w:tblPr>
      <w:tblGrid>
        <w:gridCol w:w="9638"/>
      </w:tblGrid>
      <w:tr>
        <w:tblPrEx>
          <w:tblW w:w="9638" w:type="dxa"/>
          <w:tblLayout w:type="fixed"/>
          <w:tblCellMar>
            <w:top w:w="0" w:type="dxa"/>
            <w:left w:w="10" w:type="dxa"/>
            <w:bottom w:w="0" w:type="dxa"/>
            <w:right w:w="10" w:type="dxa"/>
          </w:tblCellMar>
          <w:tblLook w:val="0000"/>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243414">
            <w:pPr>
              <w:pStyle w:val="TableContents"/>
              <w:rPr>
                <w:b/>
                <w:bCs/>
              </w:rPr>
            </w:pPr>
            <w:r>
              <w:rPr>
                <w:b/>
                <w:bCs/>
              </w:rPr>
              <w:t>Question 5</w:t>
            </w:r>
          </w:p>
          <w:p w:rsidR="00243414">
            <w:pPr>
              <w:pStyle w:val="TableContents"/>
              <w:rPr>
                <w:b/>
                <w:bCs/>
              </w:rPr>
            </w:pPr>
          </w:p>
          <w:p w:rsidR="00243414">
            <w:pPr>
              <w:pStyle w:val="Textbody"/>
              <w:spacing w:after="0"/>
              <w:jc w:val="both"/>
              <w:rPr>
                <w:b/>
                <w:bCs/>
              </w:rPr>
            </w:pPr>
            <w:r>
              <w:rPr>
                <w:b/>
                <w:bCs/>
              </w:rPr>
              <w:t xml:space="preserve">What improvements are needed in land use data, mapping, and modelling to support effective decision-making in the uplands? What training or other skill development options are needed to </w:t>
            </w:r>
            <w:r>
              <w:rPr>
                <w:b/>
                <w:bCs/>
              </w:rPr>
              <w:t>support this?</w:t>
            </w:r>
          </w:p>
        </w:tc>
      </w:tr>
    </w:tbl>
    <w:p w:rsidR="00243414">
      <w:pPr>
        <w:pStyle w:val="Textbody"/>
        <w:spacing w:after="0"/>
      </w:pPr>
    </w:p>
    <w:p w:rsidR="00243414">
      <w:pPr>
        <w:pStyle w:val="Textbody"/>
        <w:spacing w:after="0"/>
        <w:jc w:val="both"/>
        <w:rPr>
          <w:b/>
          <w:bCs/>
        </w:rPr>
      </w:pPr>
      <w:r>
        <w:t>41</w:t>
      </w:r>
      <w:r>
        <w:rPr>
          <w:b/>
          <w:bCs/>
        </w:rPr>
        <w:t>.</w:t>
      </w:r>
      <w:r>
        <w:rPr>
          <w:b/>
          <w:bCs/>
        </w:rPr>
        <w:tab/>
        <w:t xml:space="preserve">There is currently insufficient data and modelling to make any reasonable decisions.  Skills need to be developed locally to facilitate the evolution of practical, deliverable and risk appropriate nature recovery plans.  </w:t>
      </w:r>
    </w:p>
    <w:p w:rsidR="00243414">
      <w:pPr>
        <w:pStyle w:val="Textbody"/>
        <w:spacing w:after="0"/>
        <w:jc w:val="both"/>
        <w:rPr>
          <w:b/>
          <w:bCs/>
        </w:rPr>
      </w:pPr>
    </w:p>
    <w:p w:rsidR="00243414">
      <w:pPr>
        <w:pStyle w:val="Textbody"/>
        <w:spacing w:after="0"/>
        <w:jc w:val="both"/>
      </w:pPr>
      <w:r>
        <w:t>42.1</w:t>
      </w:r>
      <w:r>
        <w:tab/>
        <w:t>A significant weakness of uplands agri-environment schemes that they have never included any actions which facilitate commoners’ land management skills training or training for the staff of public sector agencies.  Instead of the current system where Dartmoor communities are told what to do under prescriptive actions, it would be more beneficial to increase local capacity and skills to develop their own action plans.</w:t>
      </w:r>
    </w:p>
    <w:p w:rsidR="00243414">
      <w:pPr>
        <w:pStyle w:val="Textbody"/>
        <w:spacing w:after="0"/>
        <w:jc w:val="both"/>
      </w:pPr>
    </w:p>
    <w:p w:rsidR="00243414">
      <w:pPr>
        <w:pStyle w:val="Textbody"/>
        <w:spacing w:after="0"/>
      </w:pPr>
      <w:r>
        <w:t>42.2</w:t>
      </w:r>
      <w:r>
        <w:tab/>
        <w:t xml:space="preserve">To that end we think a really useful step would be to set up some mandatory joint training between commons agreement holders, Natural England, DEFRA, National Park and NGO staff.  Policy makers not understanding that taking a sheep off the common for 7 months is likely condemning 25% of them to death the following season from Louping Ill and the impact that has on farm profitability is just as dangerous as a commoner who cannot recognise a curlew.  We suggest making this training immersive and inspiring.  </w:t>
      </w:r>
      <w:r>
        <w:t xml:space="preserve">There is the capacity to do this sort of thing on Dartmoor because the Rotary Youth Leaders Awards scheme does it every year for a different group of people at Brimpts Farm. </w:t>
      </w:r>
      <w:r>
        <w:br/>
      </w:r>
      <w:r>
        <w:br/>
      </w:r>
      <w:r>
        <w:t>42.3</w:t>
      </w:r>
      <w:r>
        <w:tab/>
        <w:t xml:space="preserve">Perhaps the RYLA model could also be adapted to develop Dartmoor's youth leaders ? </w:t>
      </w:r>
      <w:r>
        <w:br/>
      </w:r>
      <w:r>
        <w:br/>
      </w:r>
      <w:r>
        <w:t>42.4</w:t>
      </w:r>
      <w:r>
        <w:tab/>
        <w:t>If we are to develop workable agri-environment schemes they need to be bottom up as well as top down and currently the necessary skills are all there, they are just not shared adequately.  Joint training could enable that.</w:t>
      </w:r>
    </w:p>
    <w:p w:rsidR="00243414">
      <w:pPr>
        <w:pStyle w:val="Textbody"/>
        <w:spacing w:after="0"/>
        <w:jc w:val="both"/>
      </w:pPr>
    </w:p>
    <w:p w:rsidR="00243414">
      <w:pPr>
        <w:pStyle w:val="Textbody"/>
        <w:spacing w:after="0"/>
        <w:jc w:val="both"/>
      </w:pPr>
      <w:r>
        <w:t>43.1</w:t>
      </w:r>
      <w:r>
        <w:tab/>
        <w:t>Claims have been made by Natural England that their proposals for grazing limitations on Dartmoor are justified by their condition surveys on the Dartmoor SSSIs which imply unfavourable condition.</w:t>
      </w:r>
    </w:p>
    <w:p w:rsidR="00243414">
      <w:pPr>
        <w:pStyle w:val="Textbody"/>
        <w:spacing w:after="0"/>
        <w:jc w:val="both"/>
      </w:pPr>
    </w:p>
    <w:p w:rsidR="00243414">
      <w:pPr>
        <w:pStyle w:val="Textbody"/>
        <w:spacing w:after="0"/>
        <w:jc w:val="both"/>
      </w:pPr>
      <w:r>
        <w:t>43.2</w:t>
      </w:r>
      <w:r>
        <w:tab/>
        <w:t>However this survey is not a reliable measure of the condition in a holistic sense.</w:t>
      </w:r>
    </w:p>
    <w:p w:rsidR="00243414">
      <w:pPr>
        <w:pStyle w:val="Textbody"/>
        <w:spacing w:after="0"/>
        <w:jc w:val="both"/>
      </w:pPr>
    </w:p>
    <w:p w:rsidR="00243414">
      <w:pPr>
        <w:pStyle w:val="Textbody"/>
        <w:numPr>
          <w:ilvl w:val="0"/>
          <w:numId w:val="1"/>
        </w:numPr>
        <w:spacing w:after="0"/>
        <w:jc w:val="both"/>
      </w:pPr>
      <w:r>
        <w:t xml:space="preserve">It focusses too narrowly on surface measurements of plant species alone.  </w:t>
      </w:r>
    </w:p>
    <w:p w:rsidR="00243414">
      <w:pPr>
        <w:pStyle w:val="Textbody"/>
        <w:numPr>
          <w:ilvl w:val="0"/>
          <w:numId w:val="1"/>
        </w:numPr>
        <w:spacing w:after="0"/>
        <w:jc w:val="both"/>
      </w:pPr>
      <w:r>
        <w:t>It does not record soil health or other important measures such as wildfire risk.</w:t>
      </w:r>
    </w:p>
    <w:p w:rsidR="00243414">
      <w:pPr>
        <w:pStyle w:val="Textbody"/>
        <w:numPr>
          <w:ilvl w:val="0"/>
          <w:numId w:val="1"/>
        </w:numPr>
        <w:spacing w:after="0"/>
        <w:jc w:val="both"/>
      </w:pPr>
      <w:r>
        <w:t>It is almost useless for measuring whether the physical extents of habitats are changing over time.</w:t>
      </w:r>
    </w:p>
    <w:p w:rsidR="00243414">
      <w:pPr>
        <w:pStyle w:val="Textbody"/>
        <w:numPr>
          <w:ilvl w:val="0"/>
          <w:numId w:val="1"/>
        </w:numPr>
        <w:spacing w:after="0"/>
        <w:jc w:val="both"/>
      </w:pPr>
      <w:r>
        <w:t>The data is not sufficiently granular.</w:t>
      </w:r>
    </w:p>
    <w:p w:rsidR="00243414">
      <w:pPr>
        <w:pStyle w:val="Textbody"/>
        <w:numPr>
          <w:ilvl w:val="0"/>
          <w:numId w:val="1"/>
        </w:numPr>
        <w:spacing w:after="0"/>
        <w:jc w:val="both"/>
      </w:pPr>
      <w:r>
        <w:t xml:space="preserve">The means of </w:t>
      </w:r>
      <w:r>
        <w:t>calculation of the condition score is complex</w:t>
      </w:r>
    </w:p>
    <w:p w:rsidR="00243414">
      <w:pPr>
        <w:pStyle w:val="Textbody"/>
        <w:numPr>
          <w:ilvl w:val="0"/>
          <w:numId w:val="1"/>
        </w:numPr>
        <w:spacing w:after="0"/>
        <w:jc w:val="both"/>
      </w:pPr>
      <w:r>
        <w:t>The survey data was not externally verified to establish data quality.</w:t>
      </w:r>
    </w:p>
    <w:p w:rsidR="00243414">
      <w:pPr>
        <w:pStyle w:val="Textbody"/>
        <w:spacing w:after="0"/>
        <w:jc w:val="both"/>
      </w:pPr>
    </w:p>
    <w:p w:rsidR="00243414">
      <w:pPr>
        <w:pStyle w:val="Textbody"/>
        <w:spacing w:after="0"/>
        <w:jc w:val="both"/>
      </w:pPr>
      <w:r>
        <w:t>44.1</w:t>
      </w:r>
      <w:r>
        <w:tab/>
        <w:t>The modelling of the process by which areas of Dartmoor have become “under-grazed” has not (to my knowledge) been undertaken.</w:t>
      </w:r>
    </w:p>
    <w:p w:rsidR="00243414">
      <w:pPr>
        <w:pStyle w:val="Textbody"/>
        <w:spacing w:after="0"/>
        <w:jc w:val="both"/>
      </w:pPr>
    </w:p>
    <w:p w:rsidR="00243414">
      <w:pPr>
        <w:pStyle w:val="Textbody"/>
        <w:spacing w:after="0"/>
        <w:jc w:val="both"/>
      </w:pPr>
      <w:r>
        <w:t>44.2</w:t>
      </w:r>
      <w:r>
        <w:tab/>
        <w:t>Contrary to Natural Engalnd’s assertions, we believe that over-grazing may be a consequence of under-grazing, not stock numbers being too high.  Under-grazing results in areas becoming impenetrable to both livestock and palatable forage species.  As a result, an area which started as “right-grazed” with a balanced overall stock density bifurcates into an under-grazed area and an over-grazed area.   Unless corrected by intervention to control the over-grazed area, this leads to a positive feedback loop.  At</w:t>
      </w:r>
      <w:r>
        <w:t>tempts to remedy the under-grazed area by reductions in grazing livestock instead lead, counter intuitively, to a larger area of under-grazing which increases grazing pressure on the over-grazed area.  If this continues to be responded to by further stock reductions, the cycle repeats.</w:t>
      </w:r>
    </w:p>
    <w:p w:rsidR="00243414">
      <w:pPr>
        <w:pStyle w:val="Textbody"/>
        <w:spacing w:after="0"/>
        <w:jc w:val="both"/>
      </w:pPr>
    </w:p>
    <w:p w:rsidR="00243414">
      <w:pPr>
        <w:pStyle w:val="Textbody"/>
        <w:spacing w:after="0"/>
        <w:jc w:val="both"/>
      </w:pPr>
      <w:r>
        <w:t>44.3</w:t>
      </w:r>
      <w:r>
        <w:tab/>
        <w:t>The initial under-grazing problem could be caused by a period of good weather or other factors adding to vegetation growth in excess of grazing capacity.  Correcting it needs dynamic intervention to correct the unstable system.</w:t>
      </w:r>
    </w:p>
    <w:p w:rsidR="00243414">
      <w:pPr>
        <w:pStyle w:val="Textbody"/>
        <w:spacing w:after="0"/>
        <w:jc w:val="both"/>
      </w:pPr>
    </w:p>
    <w:p w:rsidR="00243414">
      <w:pPr>
        <w:pStyle w:val="Textbody"/>
        <w:spacing w:after="0"/>
        <w:jc w:val="both"/>
      </w:pPr>
      <w:r>
        <w:t>44.4</w:t>
      </w:r>
      <w:r>
        <w:tab/>
        <w:t>This effect of an under-grazing-under-stocking feedback loop could explain why previous attempts to manage overgrazing by reducing stock numbers on Dartmoor have failed.</w:t>
      </w:r>
    </w:p>
    <w:p w:rsidR="00243414">
      <w:pPr>
        <w:pStyle w:val="Textbody"/>
        <w:spacing w:after="0"/>
        <w:jc w:val="both"/>
      </w:pPr>
    </w:p>
    <w:p w:rsidR="00243414">
      <w:pPr>
        <w:pStyle w:val="Textbody"/>
        <w:spacing w:after="0"/>
        <w:jc w:val="both"/>
      </w:pPr>
      <w:r>
        <w:t>44.5</w:t>
      </w:r>
      <w:r>
        <w:tab/>
        <w:t>To our knowledge, no studies of this effect have been undertaken.  Data and modelling is needed.</w:t>
      </w:r>
    </w:p>
    <w:p w:rsidR="00243414">
      <w:pPr>
        <w:pStyle w:val="Textbody"/>
        <w:spacing w:after="0"/>
        <w:jc w:val="both"/>
      </w:pPr>
    </w:p>
    <w:p w:rsidR="00243414">
      <w:pPr>
        <w:pStyle w:val="Textbody"/>
        <w:spacing w:after="0"/>
        <w:jc w:val="both"/>
      </w:pPr>
      <w:r>
        <w:t>44.6</w:t>
      </w:r>
      <w:r>
        <w:tab/>
        <w:t>Dartmoor “in-bye” land is gets very little attention compared to the commons.  It is a large area and should play a role in achieving targets for nature recovery.  Actions on the commons are not limited to the commons.  By forcing stock from the commons, this could result in the more intensive use of “in-bye” land which paradoxically ought to be easier to achieve nature recovery on compared to the commons because it is much easier for a land manager to regulate grazing through the use of adaptive multi-pad</w:t>
      </w:r>
      <w:r>
        <w:t>dock grazing systems.</w:t>
      </w:r>
    </w:p>
    <w:p w:rsidR="00243414">
      <w:pPr>
        <w:pStyle w:val="Textbody"/>
        <w:spacing w:after="0"/>
        <w:jc w:val="both"/>
      </w:pPr>
    </w:p>
    <w:p w:rsidR="00243414">
      <w:pPr>
        <w:pStyle w:val="Textbody"/>
        <w:spacing w:after="0"/>
        <w:jc w:val="both"/>
      </w:pPr>
      <w:r>
        <w:t>44.7</w:t>
      </w:r>
      <w:r>
        <w:tab/>
        <w:t xml:space="preserve">This an unintended consequence of grazing policy on the commons may reverse or miss gains that could have been made off of the commons.  As with the pony incentives, this seems to be a risk that Natural England have not considered or modelled in effect.    </w:t>
      </w:r>
    </w:p>
    <w:p w:rsidR="00243414">
      <w:pPr>
        <w:pStyle w:val="Textbody"/>
        <w:pageBreakBefore/>
        <w:spacing w:after="0"/>
        <w:jc w:val="both"/>
      </w:pPr>
    </w:p>
    <w:p w:rsidR="00243414">
      <w:pPr>
        <w:pStyle w:val="Textbody"/>
        <w:spacing w:after="0"/>
      </w:pPr>
    </w:p>
    <w:tbl>
      <w:tblPr>
        <w:tblW w:w="9638" w:type="dxa"/>
        <w:tblLayout w:type="fixed"/>
        <w:tblCellMar>
          <w:top w:w="0" w:type="dxa"/>
          <w:left w:w="10" w:type="dxa"/>
          <w:bottom w:w="0" w:type="dxa"/>
          <w:right w:w="10" w:type="dxa"/>
        </w:tblCellMar>
        <w:tblLook w:val="0000"/>
      </w:tblPr>
      <w:tblGrid>
        <w:gridCol w:w="9638"/>
      </w:tblGrid>
      <w:tr>
        <w:tblPrEx>
          <w:tblW w:w="9638" w:type="dxa"/>
          <w:tblLayout w:type="fixed"/>
          <w:tblCellMar>
            <w:top w:w="0" w:type="dxa"/>
            <w:left w:w="10" w:type="dxa"/>
            <w:bottom w:w="0" w:type="dxa"/>
            <w:right w:w="10" w:type="dxa"/>
          </w:tblCellMar>
          <w:tblLook w:val="0000"/>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243414">
            <w:pPr>
              <w:pStyle w:val="Textbody"/>
              <w:spacing w:after="0"/>
              <w:rPr>
                <w:b/>
                <w:bCs/>
              </w:rPr>
            </w:pPr>
            <w:r>
              <w:rPr>
                <w:b/>
                <w:bCs/>
              </w:rPr>
              <w:t>Question 6</w:t>
            </w:r>
          </w:p>
          <w:p w:rsidR="00243414">
            <w:pPr>
              <w:pStyle w:val="Textbody"/>
              <w:spacing w:after="0"/>
              <w:rPr>
                <w:b/>
                <w:bCs/>
              </w:rPr>
            </w:pPr>
          </w:p>
          <w:p w:rsidR="00243414">
            <w:pPr>
              <w:pStyle w:val="Textbody"/>
              <w:spacing w:after="0"/>
              <w:rPr>
                <w:b/>
                <w:bCs/>
              </w:rPr>
            </w:pPr>
            <w:r>
              <w:rPr>
                <w:b/>
                <w:bCs/>
              </w:rPr>
              <w:t>How might land use and business changes in the uplands impact rural communities ?</w:t>
            </w:r>
          </w:p>
        </w:tc>
      </w:tr>
    </w:tbl>
    <w:p w:rsidR="00243414">
      <w:pPr>
        <w:pStyle w:val="Textbody"/>
        <w:spacing w:after="0"/>
      </w:pPr>
    </w:p>
    <w:p w:rsidR="00243414">
      <w:pPr>
        <w:pStyle w:val="Textbody"/>
        <w:spacing w:after="0"/>
        <w:rPr>
          <w:b/>
          <w:bCs/>
        </w:rPr>
      </w:pPr>
      <w:r>
        <w:t>45</w:t>
      </w:r>
      <w:r>
        <w:rPr>
          <w:b/>
          <w:bCs/>
        </w:rPr>
        <w:tab/>
        <w:t xml:space="preserve">Our principle concerns here are possible unintended consequences of policies which are </w:t>
      </w:r>
      <w:r>
        <w:rPr>
          <w:b/>
          <w:bCs/>
        </w:rPr>
        <w:t>directed at making room for nature and climate action that have the opposite effect because they have not been adequately risk assessed and risk mitigations put in place.</w:t>
      </w:r>
    </w:p>
    <w:p w:rsidR="00243414">
      <w:pPr>
        <w:pStyle w:val="Textbody"/>
        <w:spacing w:after="0"/>
      </w:pPr>
    </w:p>
    <w:p w:rsidR="00243414">
      <w:pPr>
        <w:pStyle w:val="Textbody"/>
        <w:spacing w:after="0"/>
      </w:pPr>
      <w:r>
        <w:t>46</w:t>
      </w:r>
      <w:r>
        <w:tab/>
        <w:t>For example, we have significant concerns that wild fires could result in the complete reversal of any achievements made.  This risk appears not to be a concern of Natural England.  We do not know why they have this confident position and have seen no evidence to support their optimistic outcome expectations.</w:t>
      </w:r>
    </w:p>
    <w:p w:rsidR="00243414">
      <w:pPr>
        <w:pStyle w:val="Textbody"/>
        <w:spacing w:after="0"/>
      </w:pPr>
    </w:p>
    <w:p w:rsidR="00243414">
      <w:pPr>
        <w:pStyle w:val="Textbody"/>
        <w:spacing w:after="0"/>
      </w:pPr>
      <w:r>
        <w:t>47</w:t>
      </w:r>
      <w:r>
        <w:tab/>
        <w:t>Our second concern, and also another threat to life is tick borne diseases.  The response to a recent call for blood samples to study this shows the extent of local concerns.</w:t>
      </w:r>
    </w:p>
    <w:p w:rsidR="00243414">
      <w:pPr>
        <w:pStyle w:val="Textbody"/>
        <w:spacing w:after="0"/>
      </w:pPr>
    </w:p>
    <w:p w:rsidR="00243414">
      <w:pPr>
        <w:pStyle w:val="Textbody"/>
        <w:spacing w:after="0"/>
      </w:pPr>
      <w:r>
        <w:t>48</w:t>
      </w:r>
      <w:r>
        <w:tab/>
        <w:t xml:space="preserve">The third main concern is that of deer management.  Deer numbers are growing and understudied on Dartmoor.  They graze both natural and farmed vegetation.  </w:t>
      </w:r>
    </w:p>
    <w:p w:rsidR="00243414">
      <w:pPr>
        <w:pStyle w:val="Textbody"/>
        <w:spacing w:after="0"/>
      </w:pPr>
    </w:p>
    <w:p w:rsidR="00243414">
      <w:pPr>
        <w:pStyle w:val="Textbody"/>
        <w:spacing w:after="0"/>
      </w:pPr>
      <w:r>
        <w:t>49</w:t>
      </w:r>
      <w:r>
        <w:tab/>
        <w:t>Deer management has to be done on a landscape scale as they move around.  We are very concerned that our carefully managed grazing scheme on our farm could be entirely undermined by invading deer.  Red Deer have recently been seen close to our farm for the first time and this is very concerning.</w:t>
      </w:r>
    </w:p>
    <w:p w:rsidR="00243414">
      <w:pPr>
        <w:pStyle w:val="Textbody"/>
        <w:spacing w:after="0"/>
      </w:pPr>
    </w:p>
    <w:p w:rsidR="00243414">
      <w:pPr>
        <w:pStyle w:val="Textbody"/>
        <w:spacing w:after="0"/>
      </w:pPr>
      <w:r>
        <w:t>50</w:t>
      </w:r>
      <w:r>
        <w:tab/>
        <w:t>Our fourth concern  is an increasingly under-grazed Dartmoor will result in further limitations to public access due to overgrowth.</w:t>
      </w:r>
    </w:p>
    <w:p w:rsidR="00243414">
      <w:pPr>
        <w:pStyle w:val="Textbody"/>
        <w:spacing w:after="0"/>
      </w:pPr>
    </w:p>
    <w:p w:rsidR="00243414">
      <w:pPr>
        <w:pStyle w:val="Textbody"/>
        <w:spacing w:after="0"/>
      </w:pPr>
      <w:r>
        <w:t>51</w:t>
      </w:r>
      <w:r>
        <w:tab/>
        <w:t xml:space="preserve">Our fifth concern for communities is the potential effects of intensification of farming on “in-bye” land, which is much closer to communities.  Extra unregulated stock on that land and development pressure to build more intensive livestock units on the fringes of the moor could lead to conflict and local environmental impacts.   </w:t>
      </w:r>
    </w:p>
    <w:p w:rsidR="00243414">
      <w:pPr>
        <w:pStyle w:val="Textbody"/>
        <w:pageBreakBefore/>
        <w:spacing w:after="0"/>
      </w:pPr>
    </w:p>
    <w:p w:rsidR="00243414">
      <w:pPr>
        <w:pStyle w:val="Textbody"/>
        <w:spacing w:after="0"/>
      </w:pPr>
    </w:p>
    <w:tbl>
      <w:tblPr>
        <w:tblW w:w="9638" w:type="dxa"/>
        <w:tblLayout w:type="fixed"/>
        <w:tblCellMar>
          <w:top w:w="0" w:type="dxa"/>
          <w:left w:w="10" w:type="dxa"/>
          <w:bottom w:w="0" w:type="dxa"/>
          <w:right w:w="10" w:type="dxa"/>
        </w:tblCellMar>
        <w:tblLook w:val="0000"/>
      </w:tblPr>
      <w:tblGrid>
        <w:gridCol w:w="9638"/>
      </w:tblGrid>
      <w:tr>
        <w:tblPrEx>
          <w:tblW w:w="9638" w:type="dxa"/>
          <w:tblLayout w:type="fixed"/>
          <w:tblCellMar>
            <w:top w:w="0" w:type="dxa"/>
            <w:left w:w="10" w:type="dxa"/>
            <w:bottom w:w="0" w:type="dxa"/>
            <w:right w:w="10" w:type="dxa"/>
          </w:tblCellMar>
          <w:tblLook w:val="0000"/>
        </w:tblPrEx>
        <w:tc>
          <w:tcPr>
            <w:tcW w:w="963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243414">
            <w:pPr>
              <w:pStyle w:val="Textbody"/>
              <w:rPr>
                <w:b/>
                <w:bCs/>
              </w:rPr>
            </w:pPr>
            <w:r>
              <w:rPr>
                <w:b/>
                <w:bCs/>
              </w:rPr>
              <w:t>Question 7</w:t>
            </w:r>
          </w:p>
          <w:p w:rsidR="00243414">
            <w:pPr>
              <w:pStyle w:val="Textbody"/>
              <w:rPr>
                <w:b/>
                <w:bCs/>
              </w:rPr>
            </w:pPr>
            <w:r>
              <w:rPr>
                <w:b/>
                <w:bCs/>
              </w:rPr>
              <w:t>How can government policy ensure that rural communities in upland areas benefit from changes?</w:t>
            </w:r>
          </w:p>
        </w:tc>
      </w:tr>
    </w:tbl>
    <w:p w:rsidR="00243414">
      <w:pPr>
        <w:pStyle w:val="Textbody"/>
        <w:spacing w:after="0"/>
      </w:pPr>
    </w:p>
    <w:p w:rsidR="00243414">
      <w:pPr>
        <w:pStyle w:val="Textbody"/>
        <w:spacing w:after="0"/>
      </w:pPr>
      <w:r>
        <w:t>52</w:t>
      </w:r>
      <w:r>
        <w:tab/>
        <w:t>As stated in the National Land Use Framework:</w:t>
      </w:r>
    </w:p>
    <w:p w:rsidR="00243414">
      <w:pPr>
        <w:pStyle w:val="Textbody"/>
        <w:spacing w:after="0"/>
      </w:pPr>
    </w:p>
    <w:p w:rsidR="00243414">
      <w:pPr>
        <w:pStyle w:val="Textbody"/>
        <w:spacing w:after="0"/>
        <w:ind w:left="709"/>
      </w:pPr>
      <w:r>
        <w:t xml:space="preserve">“Addressing the </w:t>
      </w:r>
      <w:r>
        <w:t>challenges of land use change will take time and experimentation.”</w:t>
      </w:r>
    </w:p>
    <w:p w:rsidR="00243414">
      <w:pPr>
        <w:pStyle w:val="Textbody"/>
        <w:spacing w:after="0"/>
        <w:ind w:left="709"/>
      </w:pPr>
    </w:p>
    <w:p w:rsidR="00243414">
      <w:pPr>
        <w:pStyle w:val="Standard"/>
      </w:pPr>
      <w:r>
        <w:t>We agree strongly.</w:t>
      </w:r>
    </w:p>
    <w:p w:rsidR="00243414">
      <w:pPr>
        <w:pStyle w:val="Standard"/>
      </w:pPr>
    </w:p>
    <w:p w:rsidR="00243414">
      <w:pPr>
        <w:pStyle w:val="Standard"/>
      </w:pPr>
      <w:r>
        <w:t>53</w:t>
      </w:r>
      <w:r>
        <w:tab/>
        <w:t>The Dartmoor Land Use Management Group should be given the time, and resources necessary to undertake its job.</w:t>
      </w:r>
    </w:p>
    <w:p w:rsidR="00243414">
      <w:pPr>
        <w:pStyle w:val="Standard"/>
      </w:pPr>
    </w:p>
    <w:p w:rsidR="00243414">
      <w:pPr>
        <w:pStyle w:val="Standard"/>
      </w:pPr>
      <w:r>
        <w:t>54</w:t>
      </w:r>
      <w:r>
        <w:tab/>
        <w:t>Partner organisations on the Dartmoor Land Use Management Group, such as natural England, need to fully commit to partnership working through that body and not pursue its own narrow objectives on Dartmoor.</w:t>
      </w:r>
    </w:p>
    <w:p w:rsidR="00243414">
      <w:pPr>
        <w:pStyle w:val="Standard"/>
      </w:pPr>
    </w:p>
    <w:p w:rsidR="00243414">
      <w:pPr>
        <w:pStyle w:val="Standard"/>
      </w:pPr>
      <w:r>
        <w:t>55</w:t>
      </w:r>
      <w:r>
        <w:tab/>
        <w:t>Dartmoor National Park Authority needs to be properly funded to deliver its partnership plan</w:t>
      </w:r>
    </w:p>
    <w:p w:rsidR="00243414">
      <w:pPr>
        <w:pStyle w:val="Standard"/>
      </w:pPr>
    </w:p>
    <w:p w:rsidR="00243414">
      <w:pPr>
        <w:pStyle w:val="Standard"/>
      </w:pPr>
      <w:r>
        <w:t>56</w:t>
      </w:r>
      <w:r>
        <w:tab/>
        <w:t>A means of resolving disputes needs to be established to de-conflict overlapping objectives.</w:t>
      </w:r>
    </w:p>
    <w:p w:rsidR="00243414">
      <w:pPr>
        <w:pStyle w:val="Standard"/>
      </w:pPr>
    </w:p>
    <w:p w:rsidR="00243414">
      <w:pPr>
        <w:pStyle w:val="Standard"/>
      </w:pPr>
      <w:r>
        <w:t>57</w:t>
      </w:r>
      <w:r>
        <w:tab/>
        <w:t xml:space="preserve">The Upland Project needs to be given the time, authority and resources it needs to assist in the transitions necessary.  </w:t>
      </w:r>
    </w:p>
    <w:p w:rsidR="00243414">
      <w:pPr>
        <w:pStyle w:val="Standard"/>
      </w:pPr>
    </w:p>
    <w:p w:rsidR="00243414">
      <w:pPr>
        <w:pStyle w:val="Textbody"/>
      </w:pPr>
      <w:r>
        <w:t>58</w:t>
      </w:r>
      <w:r>
        <w:tab/>
        <w:t>We need to let the Uplands Project and the Dartmoor Land Use Management Group do their jobs first before anything different happens to agri-environment schemes on Dartmoor.  Build hope, trust and local skills first.</w:t>
      </w:r>
    </w:p>
    <w:p w:rsidR="00243414">
      <w:pPr>
        <w:pStyle w:val="Standard"/>
      </w:pPr>
      <w:r>
        <w:t>59</w:t>
      </w:r>
      <w:r>
        <w:tab/>
        <w:t xml:space="preserve">That would mean keeping the current HLS agreements in place for a few more years and seriously subordinating Natural England's influence.  That will need a ministerial level of leadership but in our view it is essential.  DEFRA have committed considerable resources to both these projects but right now Natural England are pulling in completely the opposite direction and this needs to be arrested.  </w:t>
      </w:r>
    </w:p>
    <w:p w:rsidR="00243414">
      <w:pPr>
        <w:pStyle w:val="Standard"/>
      </w:pPr>
      <w:r>
        <w:t xml:space="preserve"> </w:t>
      </w:r>
    </w:p>
    <w:p w:rsidR="00243414">
      <w:pPr>
        <w:pStyle w:val="Standard"/>
      </w:pPr>
      <w:r>
        <w:t>60</w:t>
      </w:r>
      <w:r>
        <w:tab/>
        <w:t>Links to References:</w:t>
      </w:r>
    </w:p>
    <w:p w:rsidR="00243414">
      <w:pPr>
        <w:pStyle w:val="Standard"/>
      </w:pPr>
    </w:p>
    <w:p w:rsidR="00243414">
      <w:pPr>
        <w:pStyle w:val="Standard"/>
      </w:pPr>
      <w:r>
        <w:t>National Land Use Framework</w:t>
      </w:r>
    </w:p>
    <w:p w:rsidR="00243414">
      <w:pPr>
        <w:pStyle w:val="Standard"/>
      </w:pPr>
    </w:p>
    <w:p w:rsidR="00243414">
      <w:pPr>
        <w:pStyle w:val="Standard"/>
      </w:pPr>
      <w:r>
        <w:fldChar w:fldCharType="begin"/>
      </w:r>
      <w:r>
        <w:instrText xml:space="preserve"> HYPERLINK "https://assets.publishing.service.gov.uk/media/69c69033471d520038d0f7a6/Land_Use_Framework_Accessible.pdf" </w:instrText>
      </w:r>
      <w:r>
        <w:fldChar w:fldCharType="separate"/>
      </w:r>
      <w:r>
        <w:t>https://assets.publishing.service.gov.uk/media/69c69033471d520038d0f7a6/Land_Use_Framework_Accessible.pdf</w:t>
      </w:r>
      <w:r>
        <w:fldChar w:fldCharType="end"/>
      </w:r>
    </w:p>
    <w:p w:rsidR="00243414">
      <w:pPr>
        <w:pStyle w:val="Standard"/>
      </w:pPr>
    </w:p>
    <w:p w:rsidR="00243414">
      <w:pPr>
        <w:pStyle w:val="Textbody"/>
        <w:spacing w:after="0"/>
        <w:rPr>
          <w:color w:val="000000"/>
        </w:rPr>
      </w:pPr>
      <w:r>
        <w:rPr>
          <w:color w:val="000000"/>
        </w:rPr>
        <w:t>NEER006 The impact of moorland grazing and stocking rates (May 2013)</w:t>
      </w:r>
    </w:p>
    <w:p w:rsidR="00243414">
      <w:pPr>
        <w:pStyle w:val="Standard"/>
      </w:pPr>
    </w:p>
    <w:p w:rsidR="00243414">
      <w:pPr>
        <w:pStyle w:val="Standard"/>
      </w:pPr>
      <w:r>
        <w:fldChar w:fldCharType="begin"/>
      </w:r>
      <w:r>
        <w:instrText xml:space="preserve"> HYPERLINK "https://publications.naturalengland.org.uk/file/5142768607297536" </w:instrText>
      </w:r>
      <w:r>
        <w:fldChar w:fldCharType="separate"/>
      </w:r>
      <w:r>
        <w:t>https://publications.naturalengland.org.uk/file/5142768607297536</w:t>
      </w:r>
      <w:r>
        <w:fldChar w:fldCharType="end"/>
      </w:r>
    </w:p>
    <w:sectPr>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Segoe UI Symbol"/>
    <w:charset w:val="02"/>
    <w:family w:val="auto"/>
    <w:pitch w:val="default"/>
  </w:font>
  <w:font w:name="Liberation Serif">
    <w:altName w:val="Times New Roman"/>
    <w:charset w:val="00"/>
    <w:family w:val="roman"/>
    <w:pitch w:val="variable"/>
  </w:font>
  <w:font w:name="Noto Serif CJK SC">
    <w:charset w:val="00"/>
    <w:family w:val="auto"/>
    <w:pitch w:val="variable"/>
  </w:font>
  <w:font w:name="Lohit Devanagari">
    <w:charset w:val="00"/>
    <w:family w:val="auto"/>
    <w:pitch w:val="variable"/>
  </w:font>
  <w:font w:name="Liberation Sans">
    <w:charset w:val="00"/>
    <w:family w:val="swiss"/>
    <w:pitch w:val="variable"/>
  </w:font>
  <w:font w:name="Noto Sans CJK SC">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F7A3414"/>
    <w:multiLevelType w:val="multilevel"/>
    <w:tmpl w:val="32E859E4"/>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9"/>
  <w:autoHyphenation/>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kern w:val="3"/>
        <w:sz w:val="24"/>
        <w:szCs w:val="24"/>
        <w:lang w:val="en-GB"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2">
    <w:name w:val="heading 2"/>
    <w:basedOn w:val="Heading"/>
    <w:next w:val="Textbody"/>
    <w:uiPriority w:val="9"/>
    <w:semiHidden/>
    <w:unhideWhenUsed/>
    <w:qFormat/>
    <w:p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Noto Sans CJK SC"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widowControl w:val="0"/>
      <w:suppressLineNumbers/>
    </w:p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LUN0091</dc:title>
  <cp:revision>0</cp:revision>
</cp:coreProperties>
</file>