
<file path=[Content_Types].xml><?xml version="1.0" encoding="utf-8"?>
<Types xmlns="http://schemas.openxmlformats.org/package/2006/content-types">
  <Default Extension="rels" ContentType="application/vnd.openxmlformats-package.relationships+xml"/>
  <Default Extension="xml" ContentType="application/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562DA2" w:rsidP="00562DA2">
      <w:pPr>
        <w:spacing w:line="360" w:lineRule="auto"/>
        <w:jc w:val="center"/>
        <w:rPr>
          <w:b/>
          <w:bCs/>
          <w:sz w:val="24"/>
          <w:szCs w:val="24"/>
        </w:rPr>
      </w:pPr>
      <w:r>
        <w:rPr>
          <w:b/>
          <w:bCs/>
          <w:sz w:val="24"/>
          <w:szCs w:val="24"/>
        </w:rPr>
        <w:t xml:space="preserve">Written evidence submitted by </w:t>
      </w:r>
      <w:r w:rsidRPr="00562DA2">
        <w:rPr>
          <w:b/>
          <w:bCs/>
          <w:sz w:val="24"/>
          <w:szCs w:val="24"/>
        </w:rPr>
        <w:t>Dr. Alexander Waller</w:t>
      </w:r>
      <w:r>
        <w:rPr>
          <w:b/>
          <w:bCs/>
          <w:sz w:val="24"/>
          <w:szCs w:val="24"/>
        </w:rPr>
        <w:t xml:space="preserve"> (LUN0069)</w:t>
      </w:r>
    </w:p>
    <w:p w:rsidR="00000000" w:rsidRPr="00353E55" w:rsidP="001F1A8D">
      <w:pPr>
        <w:spacing w:line="360" w:lineRule="auto"/>
        <w:jc w:val="both"/>
        <w:rPr>
          <w:b/>
          <w:bCs/>
          <w:sz w:val="24"/>
          <w:szCs w:val="24"/>
        </w:rPr>
      </w:pPr>
      <w:r w:rsidRPr="00353E55">
        <w:rPr>
          <w:b/>
          <w:bCs/>
          <w:sz w:val="24"/>
          <w:szCs w:val="24"/>
        </w:rPr>
        <w:t xml:space="preserve">Environment, Food and Rural Affairs Committee </w:t>
      </w:r>
      <w:r w:rsidRPr="00353E55">
        <w:rPr>
          <w:b/>
          <w:bCs/>
          <w:i/>
          <w:iCs/>
          <w:sz w:val="24"/>
          <w:szCs w:val="24"/>
        </w:rPr>
        <w:t>Land use and nature</w:t>
      </w:r>
      <w:r w:rsidRPr="00353E55">
        <w:rPr>
          <w:b/>
          <w:bCs/>
          <w:sz w:val="24"/>
          <w:szCs w:val="24"/>
        </w:rPr>
        <w:t xml:space="preserve"> inquiry </w:t>
      </w:r>
    </w:p>
    <w:p w:rsidR="00000000" w:rsidRPr="00353E55" w:rsidP="001F1A8D">
      <w:pPr>
        <w:spacing w:line="360" w:lineRule="auto"/>
        <w:jc w:val="both"/>
        <w:rPr>
          <w:sz w:val="24"/>
          <w:szCs w:val="24"/>
        </w:rPr>
      </w:pPr>
      <w:r w:rsidRPr="00353E55">
        <w:rPr>
          <w:sz w:val="24"/>
          <w:szCs w:val="24"/>
        </w:rPr>
        <w:t>“The future of England's uplands”</w:t>
      </w:r>
      <w:r w:rsidRPr="00353E55">
        <w:rPr>
          <w:sz w:val="24"/>
          <w:szCs w:val="24"/>
        </w:rPr>
        <w:t xml:space="preserve"> </w:t>
      </w:r>
    </w:p>
    <w:p w:rsidR="00000000" w:rsidRPr="00353E55" w:rsidP="001F1A8D">
      <w:pPr>
        <w:spacing w:line="276" w:lineRule="auto"/>
        <w:jc w:val="both"/>
        <w:rPr>
          <w:rFonts w:cstheme="minorHAnsi"/>
          <w:sz w:val="24"/>
          <w:szCs w:val="24"/>
        </w:rPr>
      </w:pPr>
      <w:r w:rsidRPr="00353E55">
        <w:rPr>
          <w:rFonts w:cstheme="minorHAnsi"/>
          <w:sz w:val="24"/>
          <w:szCs w:val="24"/>
        </w:rPr>
        <w:t>Dr</w:t>
      </w:r>
      <w:r w:rsidRPr="00353E55">
        <w:rPr>
          <w:rFonts w:cstheme="minorHAnsi"/>
          <w:sz w:val="24"/>
          <w:szCs w:val="24"/>
          <w:cs/>
        </w:rPr>
        <w:t>.</w:t>
      </w:r>
      <w:r w:rsidRPr="00353E55">
        <w:rPr>
          <w:rFonts w:cstheme="minorHAnsi"/>
          <w:sz w:val="24"/>
          <w:szCs w:val="24"/>
        </w:rPr>
        <w:t xml:space="preserve"> Alexander Waller PhD MSc BSc</w:t>
      </w:r>
      <w:r w:rsidRPr="00353E55">
        <w:rPr>
          <w:rFonts w:cstheme="minorHAnsi"/>
          <w:sz w:val="24"/>
          <w:szCs w:val="24"/>
          <w:cs/>
        </w:rPr>
        <w:t>(</w:t>
      </w:r>
      <w:r w:rsidRPr="00353E55">
        <w:rPr>
          <w:rFonts w:cstheme="minorHAnsi"/>
          <w:sz w:val="24"/>
          <w:szCs w:val="24"/>
        </w:rPr>
        <w:t>Hons</w:t>
      </w:r>
      <w:r w:rsidRPr="00353E55">
        <w:rPr>
          <w:rFonts w:cstheme="minorHAnsi"/>
          <w:sz w:val="24"/>
          <w:szCs w:val="24"/>
          <w:cs/>
        </w:rPr>
        <w:t xml:space="preserve">) </w:t>
      </w:r>
      <w:r w:rsidRPr="00353E55">
        <w:rPr>
          <w:rFonts w:cstheme="minorHAnsi"/>
          <w:sz w:val="24"/>
          <w:szCs w:val="24"/>
        </w:rPr>
        <w:t xml:space="preserve">CBiol FRSB CChem MRSC </w:t>
      </w:r>
    </w:p>
    <w:p w:rsidR="00000000" w:rsidRPr="00353E55" w:rsidP="001F1A8D">
      <w:pPr>
        <w:spacing w:line="276" w:lineRule="auto"/>
        <w:jc w:val="both"/>
        <w:rPr>
          <w:rFonts w:cstheme="minorHAnsi"/>
          <w:sz w:val="24"/>
          <w:szCs w:val="24"/>
        </w:rPr>
      </w:pPr>
      <w:r w:rsidRPr="00353E55">
        <w:rPr>
          <w:rFonts w:cstheme="minorHAnsi"/>
          <w:sz w:val="24"/>
          <w:szCs w:val="24"/>
        </w:rPr>
        <w:t>Visiting Professor of Environmental Ethics Education, American University of Sovereign Nations</w:t>
      </w:r>
      <w:r w:rsidRPr="00353E55">
        <w:rPr>
          <w:rFonts w:cstheme="minorHAnsi"/>
          <w:sz w:val="24"/>
          <w:szCs w:val="24"/>
          <w:cs/>
        </w:rPr>
        <w:t>.</w:t>
      </w:r>
    </w:p>
    <w:p w:rsidR="00000000" w:rsidRPr="00353E55" w:rsidP="001F1A8D">
      <w:pPr>
        <w:spacing w:line="276" w:lineRule="auto"/>
        <w:jc w:val="both"/>
        <w:rPr>
          <w:rFonts w:cstheme="minorHAnsi"/>
          <w:sz w:val="24"/>
          <w:szCs w:val="24"/>
        </w:rPr>
      </w:pPr>
      <w:r w:rsidRPr="00353E55">
        <w:rPr>
          <w:rFonts w:cstheme="minorHAnsi"/>
          <w:sz w:val="24"/>
          <w:szCs w:val="24"/>
        </w:rPr>
        <w:t>Fellow, Global Justice Program</w:t>
      </w:r>
      <w:r w:rsidRPr="00353E55">
        <w:rPr>
          <w:rFonts w:cstheme="minorHAnsi"/>
          <w:sz w:val="24"/>
          <w:szCs w:val="24"/>
          <w:cs/>
        </w:rPr>
        <w:t xml:space="preserve"> </w:t>
      </w:r>
      <w:r w:rsidRPr="00353E55">
        <w:rPr>
          <w:rFonts w:cstheme="minorHAnsi"/>
          <w:sz w:val="24"/>
          <w:szCs w:val="24"/>
        </w:rPr>
        <w:t>Academics Stand Against Poverty, Yale University</w:t>
      </w:r>
      <w:r w:rsidRPr="00353E55">
        <w:rPr>
          <w:rFonts w:cstheme="minorHAnsi"/>
          <w:sz w:val="24"/>
          <w:szCs w:val="24"/>
          <w:cs/>
        </w:rPr>
        <w:t>.</w:t>
      </w:r>
    </w:p>
    <w:p w:rsidR="00000000" w:rsidRPr="00353E55"/>
    <w:p w:rsidR="00000000" w:rsidRPr="00353E55" w:rsidP="009775FF">
      <w:pPr>
        <w:spacing w:line="360" w:lineRule="auto"/>
        <w:jc w:val="both"/>
      </w:pPr>
      <w:r w:rsidRPr="00353E55">
        <w:t>In some countries an approach to environmental protection has been described as “Rights of Nature” where nature is recognized as having intrinsic value and is afforded legal rights as a subject, rather than an object, of law. For example</w:t>
      </w:r>
      <w:r w:rsidRPr="00353E55">
        <w:t>, Peck</w:t>
      </w:r>
      <w:r w:rsidRPr="00353E55">
        <w:t xml:space="preserve"> </w:t>
      </w:r>
      <w:r w:rsidRPr="00353E55">
        <w:rPr>
          <w:i/>
          <w:iCs/>
        </w:rPr>
        <w:t>et al.</w:t>
      </w:r>
      <w:r w:rsidRPr="00353E55">
        <w:t xml:space="preserve"> (202</w:t>
      </w:r>
      <w:r w:rsidRPr="00353E55">
        <w:t xml:space="preserve">4) describe how this approach founded upon the right to </w:t>
      </w:r>
      <w:r w:rsidRPr="00353E55">
        <w:t>prior informed environmental consultation, the precautionary principle and the right to water has been able to successfully provide protection of parts of the Amazon even when there have been conflicting interests with mine operators. They stress the importance of scientific input during the consultation phase. The impact on water quality and quantity on a large number of cities beyond the protected area can become an environmental health issue and a so</w:t>
      </w:r>
      <w:r w:rsidRPr="00353E55">
        <w:t>urce of social unrest. When considering uplands in England, where much of the rain falls making these regions very important for water catchment.</w:t>
      </w:r>
      <w:r w:rsidRPr="00353E55">
        <w:t xml:space="preserve"> </w:t>
      </w:r>
      <w:r w:rsidRPr="00353E55">
        <w:t xml:space="preserve"> This is just one significant reason for maintaining upland ecological health, one of many ecosystem services provided by the uplands. </w:t>
      </w:r>
      <w:r w:rsidRPr="00353E55">
        <w:t>The uplands in England including the moorlands of Yorkshire and the Southwest, The Lake District and</w:t>
      </w:r>
      <w:r w:rsidRPr="00353E55">
        <w:t xml:space="preserve"> Pennines including the</w:t>
      </w:r>
      <w:r w:rsidRPr="00353E55">
        <w:t xml:space="preserve"> Peak District among others contribute to food, timber and fibre production, carbon storage, climate and flo</w:t>
      </w:r>
      <w:r w:rsidRPr="00353E55">
        <w:t xml:space="preserve">od mitigation, biodiversity and nature recovery in addition to recreation and tourism. </w:t>
      </w:r>
      <w:r w:rsidRPr="00353E55">
        <w:t>T</w:t>
      </w:r>
      <w:r w:rsidRPr="00353E55">
        <w:t xml:space="preserve">he Rights of Nature approach has helped to protect some rivers in the UK </w:t>
      </w:r>
      <w:r w:rsidRPr="00353E55">
        <w:t>and the Nature’s Rights Bill</w:t>
      </w:r>
      <w:r w:rsidRPr="00353E55">
        <w:t xml:space="preserve"> has recently passed through the first stage in the House of Lords. However, the idea of affording rights to nature, may not necessarily gain wholehearted support in rural communities if they have to foot the bill through impacts on the agricultural economy. These upland communities are also under pressure demographic changes with aging populations and the migration of young skilled workers away from the area. Many upland areas suffer from </w:t>
      </w:r>
      <w:r w:rsidRPr="00353E55">
        <w:t xml:space="preserve">rising tourism and </w:t>
      </w:r>
      <w:r w:rsidRPr="00353E55">
        <w:t>declining agriculture, un</w:t>
      </w:r>
      <w:r w:rsidRPr="00353E55">
        <w:t>affordable housing and g</w:t>
      </w:r>
      <w:r w:rsidRPr="00353E55">
        <w:t>entrification as wealthy city folk seeking life in rural idylls buy up properties as second homes or commuter belts widen, this has a knock-on effect on local services such as rural school closures.</w:t>
      </w:r>
      <w:r w:rsidRPr="00353E55">
        <w:t xml:space="preserve"> </w:t>
      </w:r>
    </w:p>
    <w:p w:rsidR="00000000" w:rsidRPr="00353E55" w:rsidP="00485D7B">
      <w:pPr>
        <w:spacing w:line="360" w:lineRule="auto"/>
        <w:jc w:val="both"/>
      </w:pPr>
      <w:r w:rsidRPr="00353E55">
        <w:t xml:space="preserve">The </w:t>
      </w:r>
      <w:r w:rsidRPr="00353E55">
        <w:rPr>
          <w:i/>
          <w:iCs/>
        </w:rPr>
        <w:t xml:space="preserve">State of Nature England </w:t>
      </w:r>
      <w:r w:rsidRPr="00353E55">
        <w:t>report by</w:t>
      </w:r>
      <w:r w:rsidRPr="00353E55">
        <w:rPr>
          <w:i/>
          <w:iCs/>
        </w:rPr>
        <w:t xml:space="preserve"> </w:t>
      </w:r>
      <w:r w:rsidRPr="00353E55">
        <w:t xml:space="preserve">Mordue, S., Bunnage, C., Shurmer, M., </w:t>
      </w:r>
      <w:r w:rsidRPr="00353E55">
        <w:rPr>
          <w:i/>
          <w:iCs/>
        </w:rPr>
        <w:t>et al</w:t>
      </w:r>
      <w:r w:rsidRPr="00353E55">
        <w:t xml:space="preserve"> (2023) provides some figures that should be a real wake up call. In England there has been a 32% decline in species abundance, 68% of bryophytes and 64% of flowering plants having decreased distributions since 1970. The global Biodiversity Intactness Index is 77%, whereas for England this measure is only 411%; nearly half the global value. Yet there are signs to give us hope. For example</w:t>
      </w:r>
      <w:r w:rsidRPr="00353E55">
        <w:t xml:space="preserve">, there was a 35% decline in the abundance, of the formerly “Endangered”, Duke of Burgundy butterflies since the beginning of the 1980’s. Now encouragement can be gained from the conservation and habitat management of the North York Moors which has helped to stabilise this insect population so that its conservation status has been recategorized as “Vulnerable”, although this is still within the “Threatened” tier with a high risk of extinction. </w:t>
      </w:r>
    </w:p>
    <w:p w:rsidR="00000000" w:rsidRPr="00353E55" w:rsidP="00485D7B">
      <w:pPr>
        <w:spacing w:line="360" w:lineRule="auto"/>
        <w:jc w:val="both"/>
      </w:pPr>
      <w:r w:rsidRPr="00353E55">
        <w:t xml:space="preserve">Uplands can be ideal sites for carbon offsetting according to Worrall </w:t>
      </w:r>
      <w:r w:rsidRPr="00353E55">
        <w:rPr>
          <w:i/>
          <w:iCs/>
        </w:rPr>
        <w:t xml:space="preserve">et al  </w:t>
      </w:r>
      <w:r w:rsidRPr="00353E55">
        <w:t>(2009)</w:t>
      </w:r>
      <w:r w:rsidRPr="00353E55">
        <w:t xml:space="preserve">, and research from The Netherlands demonstrates that offsetting for biodiversity can improve pollinator richness according to </w:t>
      </w:r>
      <w:r w:rsidRPr="00353E55">
        <w:rPr>
          <w:rFonts w:cstheme="minorHAnsi"/>
        </w:rPr>
        <w:t>Leander Oh, Scheper and Kleijn (2026).</w:t>
      </w:r>
      <w:r w:rsidRPr="00353E55">
        <w:t xml:space="preserve"> However, </w:t>
      </w:r>
      <w:r w:rsidRPr="00353E55">
        <w:rPr>
          <w:rFonts w:cstheme="minorHAnsi"/>
        </w:rPr>
        <w:t xml:space="preserve">Cooke, Burton, Brown, </w:t>
      </w:r>
      <w:r w:rsidRPr="00353E55">
        <w:rPr>
          <w:rFonts w:cstheme="minorHAnsi"/>
          <w:i/>
          <w:iCs/>
        </w:rPr>
        <w:t>et al.</w:t>
      </w:r>
      <w:r w:rsidRPr="00353E55">
        <w:rPr>
          <w:rFonts w:cstheme="minorHAnsi"/>
        </w:rPr>
        <w:t xml:space="preserve"> (2026) predict that British uplands include fragile bioclimates that are particularly sensitive to climate change. So, taking action now to protect them is of vital importance, not only to protect local communities and biodiversity but also as uplands provide so many ecosystem services </w:t>
      </w:r>
      <w:r w:rsidRPr="00353E55">
        <w:rPr>
          <w:rFonts w:cstheme="minorHAnsi"/>
        </w:rPr>
        <w:t>as noted</w:t>
      </w:r>
      <w:r w:rsidRPr="00353E55">
        <w:rPr>
          <w:rFonts w:cstheme="minorHAnsi"/>
        </w:rPr>
        <w:t xml:space="preserve"> by </w:t>
      </w:r>
      <w:r w:rsidRPr="00353E55">
        <w:rPr>
          <w:rFonts w:cstheme="minorHAnsi"/>
          <w:szCs w:val="22"/>
        </w:rPr>
        <w:t xml:space="preserve">Reed, Bonn, Slee </w:t>
      </w:r>
      <w:r w:rsidRPr="00353E55">
        <w:rPr>
          <w:rFonts w:cstheme="minorHAnsi"/>
          <w:i/>
          <w:iCs/>
          <w:szCs w:val="22"/>
        </w:rPr>
        <w:t>et al</w:t>
      </w:r>
      <w:r w:rsidRPr="00353E55">
        <w:rPr>
          <w:rFonts w:cstheme="minorHAnsi"/>
          <w:szCs w:val="22"/>
        </w:rPr>
        <w:t xml:space="preserve"> (2009), </w:t>
      </w:r>
      <w:r w:rsidRPr="00353E55">
        <w:rPr>
          <w:rFonts w:cstheme="minorHAnsi"/>
        </w:rPr>
        <w:t xml:space="preserve">that benefit massive urban populations. </w:t>
      </w:r>
    </w:p>
    <w:p w:rsidR="00000000" w:rsidRPr="00353E55" w:rsidP="00CC474B">
      <w:pPr>
        <w:spacing w:line="360" w:lineRule="auto"/>
        <w:jc w:val="both"/>
        <w:rPr>
          <w:rFonts w:cstheme="minorHAnsi"/>
        </w:rPr>
      </w:pPr>
      <w:r w:rsidRPr="00353E55">
        <w:t>Upland areas include many locations that are most suitable for England to help achieve the protection of 30% of terrestrial land for biodiversity by 2030 as set out in Target 3 of the Kunming-Montreal Global Biodiversity Framework</w:t>
      </w:r>
      <w:r w:rsidRPr="00353E55">
        <w:t xml:space="preserve"> (GBF).</w:t>
      </w:r>
      <w:r w:rsidRPr="00353E55">
        <w:t xml:space="preserve"> </w:t>
      </w:r>
      <w:r w:rsidRPr="00353E55">
        <w:rPr>
          <w:rFonts w:cstheme="minorHAnsi"/>
        </w:rPr>
        <w:t>Wildlife and Countryside Link (2025) report that approaching two thirds of SSSIs in England are in unfavourable conditions; many of these protected sites are in National Parks and upland areas. Just one example is:</w:t>
      </w:r>
    </w:p>
    <w:p w:rsidR="00000000" w:rsidRPr="00353E55" w:rsidP="00D31FDF">
      <w:pPr>
        <w:spacing w:line="360" w:lineRule="auto"/>
        <w:ind w:left="720"/>
        <w:jc w:val="both"/>
      </w:pPr>
      <w:r w:rsidRPr="00353E55">
        <w:t>“… on the eastern edge of the Lake District National Park, Haweswater spans a dramatic landscape of mountains, moorland, rivers, bogs and woodland. It includes both designated (SSSI and SAC) and undesignated areas, and is an essential water source for the Haweswater reservoir…  …the land has faced decades of environmental challenges including intensive upland farming, habitat degradation, declining bird populations, falling water quality and climate change impacts.”</w:t>
      </w:r>
    </w:p>
    <w:p w:rsidR="00000000" w:rsidRPr="00353E55" w:rsidP="007B056D">
      <w:pPr>
        <w:spacing w:line="360" w:lineRule="auto"/>
        <w:jc w:val="both"/>
        <w:rPr>
          <w:rFonts w:cstheme="minorHAnsi"/>
          <w:szCs w:val="22"/>
        </w:rPr>
      </w:pPr>
      <w:r w:rsidRPr="00353E55">
        <w:rPr>
          <w:rFonts w:cstheme="minorHAnsi"/>
          <w:szCs w:val="22"/>
        </w:rPr>
        <w:t xml:space="preserve">Tourism can be an alternative source of income in upland areas where the </w:t>
      </w:r>
      <w:r w:rsidRPr="00353E55">
        <w:rPr>
          <w:rFonts w:cstheme="minorHAnsi"/>
          <w:szCs w:val="22"/>
        </w:rPr>
        <w:t xml:space="preserve">agriculture-based economy is struggling and ecotourism may help to reinforce conservation measures according to UNWTO (2023): </w:t>
      </w:r>
    </w:p>
    <w:p w:rsidR="00000000" w:rsidRPr="00353E55" w:rsidP="007B056D">
      <w:pPr>
        <w:spacing w:line="360" w:lineRule="auto"/>
        <w:ind w:left="720"/>
        <w:jc w:val="both"/>
        <w:rPr>
          <w:rFonts w:cstheme="minorHAnsi"/>
          <w:szCs w:val="22"/>
        </w:rPr>
      </w:pPr>
      <w:r w:rsidRPr="00353E55">
        <w:rPr>
          <w:rFonts w:cstheme="minorHAnsi"/>
          <w:szCs w:val="22"/>
        </w:rPr>
        <w:t>“Tourism further contributes to the recovery of degraded soils by ensuring non-overuse during the development of tourist sites and supporting sustainable agriculture and reforestation through sustainable consumption arising from the promotion of nature-based tourism activities.”</w:t>
      </w:r>
    </w:p>
    <w:p w:rsidR="00000000" w:rsidRPr="00353E55" w:rsidP="007B056D">
      <w:pPr>
        <w:spacing w:line="360" w:lineRule="auto"/>
        <w:jc w:val="both"/>
        <w:rPr>
          <w:rFonts w:cstheme="minorHAnsi"/>
          <w:szCs w:val="22"/>
        </w:rPr>
      </w:pPr>
      <w:r w:rsidRPr="00353E55">
        <w:rPr>
          <w:rFonts w:cstheme="minorHAnsi"/>
          <w:szCs w:val="22"/>
        </w:rPr>
        <w:t xml:space="preserve">However, there can be downsides to tourism in areas where there is a strain placed on local infrastructure and if it contributes to price rises that inflate the housing costs and availability for local people. </w:t>
      </w:r>
      <w:r w:rsidRPr="00353E55">
        <w:rPr>
          <w:rFonts w:cstheme="minorHAnsi"/>
          <w:szCs w:val="22"/>
        </w:rPr>
        <w:t>Indeed Bunce, Wood and Smart (2018) note that the rise in the number of second homes in upland areas has a contributed to price inflation and has accompanying serious social impacts such as a decline in local schools. Furthermore, there can be environmental harms from the foot traffic alone as can be seen in popular sites like the Peak District where artificial pavements or walkways have had to be constructed at places like Mam Tor.</w:t>
      </w:r>
      <w:r w:rsidRPr="00353E55">
        <w:rPr>
          <w:rFonts w:cstheme="minorHAnsi"/>
          <w:szCs w:val="22"/>
        </w:rPr>
        <w:t xml:space="preserve"> One contributory factor to the death of Major Oak in Sherwood Forest was the compaction of soil by visitors until it became like barrier to oxygen and water acting like concrete leading to asphyxiation of the roots.   </w:t>
      </w:r>
    </w:p>
    <w:p w:rsidR="00000000" w:rsidRPr="00353E55" w:rsidP="007B056D">
      <w:pPr>
        <w:spacing w:line="360" w:lineRule="auto"/>
        <w:jc w:val="both"/>
        <w:rPr>
          <w:rFonts w:cstheme="minorHAnsi"/>
        </w:rPr>
      </w:pPr>
      <w:r w:rsidRPr="00353E55">
        <w:rPr>
          <w:rFonts w:cstheme="minorHAnsi"/>
          <w:szCs w:val="22"/>
        </w:rPr>
        <w:t>One strategy to help achieve the GBF targets is to promote rewilding of keystone species. However, this needs to be done following rigorous scientific assessments and with transparent local involvement at all stages of the programme. Beavers have been re-introduced at many sites across the UK and their presence has been shown to have beneficial impacts on upland trout populations</w:t>
      </w:r>
      <w:r w:rsidRPr="00353E55">
        <w:rPr>
          <w:rFonts w:cstheme="minorHAnsi"/>
          <w:szCs w:val="22"/>
        </w:rPr>
        <w:t>, creating habitats for otters, great crested newts and water voles. However, beaver rewilding has not always been fully welcomed by locals and there have been culling incidents, due to some local frustrations. There are some concerns that beaver construction activity could have adverse impacts on</w:t>
      </w:r>
      <w:r w:rsidRPr="00353E55">
        <w:rPr>
          <w:rFonts w:cstheme="minorHAnsi"/>
          <w:szCs w:val="22"/>
        </w:rPr>
        <w:t xml:space="preserve"> the prevalence of amphibian pathogens (Fischer </w:t>
      </w:r>
      <w:r w:rsidRPr="00353E55">
        <w:rPr>
          <w:rFonts w:cstheme="minorHAnsi"/>
          <w:i/>
          <w:iCs/>
          <w:szCs w:val="22"/>
        </w:rPr>
        <w:t xml:space="preserve">et al., </w:t>
      </w:r>
      <w:r w:rsidRPr="00353E55">
        <w:rPr>
          <w:rFonts w:cstheme="minorHAnsi"/>
          <w:szCs w:val="22"/>
        </w:rPr>
        <w:t xml:space="preserve">2025), </w:t>
      </w:r>
      <w:r w:rsidRPr="00353E55">
        <w:rPr>
          <w:rFonts w:cstheme="minorHAnsi"/>
          <w:szCs w:val="22"/>
        </w:rPr>
        <w:t xml:space="preserve">reduction in migratory fish </w:t>
      </w:r>
      <w:r w:rsidRPr="00353E55">
        <w:rPr>
          <w:rFonts w:cstheme="minorHAnsi"/>
          <w:szCs w:val="22"/>
        </w:rPr>
        <w:t xml:space="preserve">populations </w:t>
      </w:r>
      <w:r w:rsidRPr="00353E55">
        <w:rPr>
          <w:rFonts w:cstheme="minorHAnsi"/>
          <w:szCs w:val="22"/>
        </w:rPr>
        <w:t>by reduc</w:t>
      </w:r>
      <w:r w:rsidRPr="00353E55">
        <w:rPr>
          <w:rFonts w:cstheme="minorHAnsi"/>
          <w:szCs w:val="22"/>
        </w:rPr>
        <w:t>ing spawning habitats</w:t>
      </w:r>
      <w:r w:rsidRPr="00353E55">
        <w:rPr>
          <w:rFonts w:cstheme="minorHAnsi"/>
          <w:szCs w:val="22"/>
        </w:rPr>
        <w:t xml:space="preserve">, and other research has shown </w:t>
      </w:r>
      <w:r w:rsidRPr="00353E55">
        <w:rPr>
          <w:rFonts w:cstheme="minorHAnsi"/>
          <w:szCs w:val="22"/>
        </w:rPr>
        <w:t xml:space="preserve">beavers may have negative effects on certain woodlands according to Bowen (2023). In a similar vein the news of White-tailed eagles being re-introduced on Exmoor may be welcomed by some environmentalists but is not a reason for universal celebration by sheep farmers. </w:t>
      </w:r>
      <w:r w:rsidRPr="00353E55">
        <w:rPr>
          <w:rFonts w:cstheme="minorHAnsi"/>
        </w:rPr>
        <w:t xml:space="preserve">Kumah and Prior (2026), for example, report genuine concerns by sheep farmers that their stock may become easy prey for the apex predators. </w:t>
      </w:r>
      <w:r w:rsidRPr="00353E55">
        <w:rPr>
          <w:rFonts w:cstheme="minorHAnsi"/>
          <w:szCs w:val="22"/>
        </w:rPr>
        <w:t>Upland farmers have been custodians of the land, demons</w:t>
      </w:r>
      <w:r w:rsidRPr="00353E55">
        <w:rPr>
          <w:rFonts w:cstheme="minorHAnsi"/>
          <w:szCs w:val="22"/>
        </w:rPr>
        <w:t xml:space="preserve">trating stewardship, care and diligent hard work to contribute to putting food on British plates. Now some communities feel threatened by “green” initiatives to rewild and decry so called intensive farming practices without fully compensating famers for adopting less economically viable “sustainable” or </w:t>
      </w:r>
      <w:r w:rsidRPr="00353E55">
        <w:rPr>
          <w:rFonts w:cstheme="minorHAnsi"/>
          <w:szCs w:val="22"/>
        </w:rPr>
        <w:t xml:space="preserve">“regenerative” farming practices. This is all the more contentious when such practices are as yet unproven to have a </w:t>
      </w:r>
      <w:r w:rsidRPr="00353E55">
        <w:t>significant effect on organic carbon storage in upland soils compared to grazing regimes t</w:t>
      </w:r>
      <w:r w:rsidRPr="00353E55">
        <w:t xml:space="preserve">hat farmers conventionally use. </w:t>
      </w:r>
      <w:r w:rsidRPr="00353E55">
        <w:rPr>
          <w:rFonts w:cstheme="minorHAnsi"/>
        </w:rPr>
        <w:t xml:space="preserve">Jordon </w:t>
      </w:r>
      <w:r w:rsidRPr="00353E55">
        <w:rPr>
          <w:rFonts w:cstheme="minorHAnsi"/>
          <w:i/>
          <w:iCs/>
        </w:rPr>
        <w:t>et al.</w:t>
      </w:r>
      <w:r w:rsidRPr="00353E55">
        <w:rPr>
          <w:rFonts w:cstheme="minorHAnsi"/>
        </w:rPr>
        <w:t xml:space="preserve"> (2024) conclude that:</w:t>
      </w:r>
    </w:p>
    <w:p w:rsidR="00000000" w:rsidRPr="00353E55" w:rsidP="00083E78">
      <w:pPr>
        <w:spacing w:line="360" w:lineRule="auto"/>
        <w:ind w:left="720"/>
        <w:jc w:val="both"/>
        <w:rPr>
          <w:rFonts w:cstheme="minorHAnsi"/>
        </w:rPr>
      </w:pPr>
      <w:r w:rsidRPr="00353E55">
        <w:rPr>
          <w:rFonts w:cstheme="minorHAnsi"/>
        </w:rPr>
        <w:t>“…disagreement about the extent to which carbon can be sequestered in grassland is due to different methodologies in measuring carbon in the soil… …There are also differences in methodologies to assess the totality of emissions from a grassland production system…”</w:t>
      </w:r>
    </w:p>
    <w:p w:rsidR="00000000" w:rsidRPr="00353E55" w:rsidP="007B056D">
      <w:pPr>
        <w:spacing w:line="360" w:lineRule="auto"/>
        <w:jc w:val="both"/>
        <w:rPr>
          <w:rFonts w:cstheme="minorHAnsi"/>
          <w:szCs w:val="22"/>
        </w:rPr>
      </w:pPr>
      <w:r w:rsidRPr="00353E55">
        <w:t xml:space="preserve">There have been claims, such as those by </w:t>
      </w:r>
      <w:r w:rsidRPr="00353E55">
        <w:rPr>
          <w:rFonts w:cstheme="minorHAnsi"/>
        </w:rPr>
        <w:t xml:space="preserve">Schmitz, Sylvén, Atwood, T.B. </w:t>
      </w:r>
      <w:r w:rsidRPr="00353E55">
        <w:rPr>
          <w:rFonts w:cstheme="minorHAnsi"/>
          <w:i/>
          <w:iCs/>
        </w:rPr>
        <w:t xml:space="preserve">et al. </w:t>
      </w:r>
      <w:r w:rsidRPr="00353E55">
        <w:rPr>
          <w:rFonts w:cstheme="minorHAnsi"/>
        </w:rPr>
        <w:t>(2023)</w:t>
      </w:r>
      <w:r w:rsidRPr="00353E55">
        <w:t xml:space="preserve"> that rewilding can help with carbon storage through food web changes that alter herbivore grazing patterns, but these findings may not be universally applicable to all habitats or ecosystems.</w:t>
      </w:r>
      <w:r w:rsidRPr="00353E55">
        <w:t xml:space="preserve"> </w:t>
      </w:r>
      <w:r w:rsidRPr="00353E55">
        <w:rPr>
          <w:rFonts w:cstheme="minorHAnsi"/>
        </w:rPr>
        <w:t>Holmes, Rowland and Fox (2024) emphasise that to reduce resistance to rewilding is not only important to build arguments on scientifically research but to also recognize the environmental values of local people and their concerns regarding the motivation behind reintroductions. Horton (2026) reported news of rewilding</w:t>
      </w:r>
      <w:r w:rsidRPr="00353E55">
        <w:rPr>
          <w:rFonts w:cstheme="minorHAnsi"/>
        </w:rPr>
        <w:t xml:space="preserve"> programmes planned for spring 2026 ahead of local elections, which could be viewed as a way to win the hearts of voters.</w:t>
      </w:r>
      <w:r w:rsidRPr="00353E55">
        <w:rPr>
          <w:rFonts w:cstheme="minorHAnsi"/>
        </w:rPr>
        <w:t xml:space="preserve"> Environmentalists in favour of rewilding may argue that it can be a boost to tourism by attracting visitors who want to see flagship species in a natural setting. However, less contentious initiatives such as funding hedgerow planting, restoration and conservation may lead to greater gains in biodiversity.</w:t>
      </w:r>
      <w:r w:rsidRPr="00353E55">
        <w:rPr>
          <w:rFonts w:cstheme="minorHAnsi"/>
        </w:rPr>
        <w:t xml:space="preserve"> There are also opportunities for landowners to construct wind turbines or solar fa</w:t>
      </w:r>
      <w:r w:rsidRPr="00353E55">
        <w:rPr>
          <w:rFonts w:cstheme="minorHAnsi"/>
        </w:rPr>
        <w:t xml:space="preserve">rms. </w:t>
      </w:r>
    </w:p>
    <w:p w:rsidR="00000000" w:rsidRPr="00353E55" w:rsidP="00A076D4">
      <w:pPr>
        <w:rPr>
          <w:rFonts w:cstheme="minorHAnsi"/>
          <w:b/>
          <w:bCs/>
        </w:rPr>
      </w:pPr>
      <w:r>
        <w:rPr>
          <w:rFonts w:cstheme="minorHAnsi"/>
          <w:b/>
          <w:bCs/>
        </w:rPr>
        <w:t>June 2026</w:t>
      </w:r>
    </w:p>
    <w:p w:rsidR="00000000" w:rsidRPr="00353E55" w:rsidP="00A076D4">
      <w:pPr>
        <w:rPr>
          <w:rFonts w:cstheme="minorHAnsi"/>
          <w:b/>
          <w:bCs/>
        </w:rPr>
      </w:pPr>
      <w:r w:rsidRPr="00353E55">
        <w:rPr>
          <w:rFonts w:cstheme="minorHAnsi"/>
          <w:b/>
          <w:bCs/>
        </w:rPr>
        <w:t>References</w:t>
      </w:r>
    </w:p>
    <w:p w:rsidR="00000000" w:rsidRPr="00353E55" w:rsidP="008674A4">
      <w:pPr>
        <w:spacing w:line="240" w:lineRule="auto"/>
        <w:rPr>
          <w:rFonts w:cstheme="minorHAnsi"/>
        </w:rPr>
      </w:pPr>
      <w:r w:rsidRPr="00353E55">
        <w:rPr>
          <w:rFonts w:cstheme="minorHAnsi"/>
        </w:rPr>
        <w:t xml:space="preserve">Bowen, J. (2023) The impacts of beavers Castor spp. on biodiversity and the ecological basis for their reintroduction to Scotland, UK </w:t>
      </w:r>
      <w:r w:rsidRPr="00353E55">
        <w:rPr>
          <w:rFonts w:cstheme="minorHAnsi"/>
          <w:i/>
          <w:iCs/>
        </w:rPr>
        <w:t xml:space="preserve">Beaver Trust </w:t>
      </w:r>
      <w:r w:rsidRPr="00353E55">
        <w:rPr>
          <w:rFonts w:cstheme="minorHAnsi"/>
        </w:rPr>
        <w:t>[Accessed online 22-6-26. Available from: https://beavertrust.org/journal-article/the-impacts-of-beavers-castor-spp-on-biodiversity-and-the-ecological-basis-for-their-reintroduction-to-scotland-uk/].</w:t>
      </w:r>
    </w:p>
    <w:p w:rsidR="00000000" w:rsidRPr="00353E55" w:rsidP="008674A4">
      <w:pPr>
        <w:spacing w:line="240" w:lineRule="auto"/>
        <w:rPr>
          <w:rFonts w:cstheme="minorHAnsi"/>
        </w:rPr>
      </w:pPr>
      <w:r w:rsidRPr="00353E55">
        <w:rPr>
          <w:rFonts w:cstheme="minorHAnsi"/>
        </w:rPr>
        <w:t xml:space="preserve">Bunce, R.G.H., Wood, C.M. &amp; Smart, S.M. (2018) The Ecology of British Upland Landscapes I: Composition of Landscapes, Habitats, Vegetation and Species </w:t>
      </w:r>
      <w:r w:rsidRPr="00353E55">
        <w:rPr>
          <w:rFonts w:cstheme="minorHAnsi"/>
          <w:i/>
          <w:iCs/>
        </w:rPr>
        <w:t>Journal of Landscape Ecology</w:t>
      </w:r>
      <w:r w:rsidRPr="00353E55">
        <w:rPr>
          <w:rFonts w:cstheme="minorHAnsi"/>
        </w:rPr>
        <w:t xml:space="preserve"> 11(3): 120-139 [Accessed online 27-5-26. Available from:</w:t>
      </w:r>
      <w:r w:rsidRPr="00353E55">
        <w:rPr>
          <w:rFonts w:cstheme="minorHAnsi"/>
        </w:rPr>
        <w:t xml:space="preserve"> </w:t>
      </w:r>
      <w:r>
        <w:fldChar w:fldCharType="begin"/>
      </w:r>
      <w:r>
        <w:instrText xml:space="preserve"> HYPERLINK "https://nora.nerc.ac.uk/id/eprint/522088/1/N522088JA.pdf" </w:instrText>
      </w:r>
      <w:r>
        <w:fldChar w:fldCharType="separate"/>
      </w:r>
      <w:r w:rsidRPr="00353E55">
        <w:rPr>
          <w:rStyle w:val="Hyperlink"/>
          <w:rFonts w:cstheme="minorHAnsi"/>
          <w:color w:val="auto"/>
          <w:u w:val="none"/>
        </w:rPr>
        <w:t>https://nora.nerc.ac.uk/id/eprint/522088/1/N522088JA.pdf</w:t>
      </w:r>
      <w:r>
        <w:fldChar w:fldCharType="end"/>
      </w:r>
      <w:r w:rsidRPr="00353E55">
        <w:rPr>
          <w:rFonts w:cstheme="minorHAnsi"/>
        </w:rPr>
        <w:t>].</w:t>
      </w:r>
    </w:p>
    <w:p w:rsidR="00000000" w:rsidRPr="00353E55" w:rsidP="008674A4">
      <w:pPr>
        <w:spacing w:line="240" w:lineRule="auto"/>
        <w:rPr>
          <w:rFonts w:cstheme="minorHAnsi"/>
        </w:rPr>
      </w:pPr>
      <w:r w:rsidRPr="00353E55">
        <w:rPr>
          <w:rFonts w:cstheme="minorHAnsi"/>
        </w:rPr>
        <w:t xml:space="preserve">Cooke, R., Burton, V.J., Brown, C. </w:t>
      </w:r>
      <w:r w:rsidRPr="00353E55">
        <w:rPr>
          <w:rFonts w:cstheme="minorHAnsi"/>
          <w:i/>
          <w:iCs/>
        </w:rPr>
        <w:t>et al.</w:t>
      </w:r>
      <w:r w:rsidRPr="00353E55">
        <w:rPr>
          <w:rFonts w:cstheme="minorHAnsi"/>
        </w:rPr>
        <w:t xml:space="preserve"> (2026). Future scenarios for British biodiversity under climate and land-use change. </w:t>
      </w:r>
      <w:r w:rsidRPr="00353E55">
        <w:rPr>
          <w:rFonts w:cstheme="minorHAnsi"/>
          <w:i/>
          <w:iCs/>
        </w:rPr>
        <w:t>Nature Communications</w:t>
      </w:r>
      <w:r w:rsidRPr="00353E55">
        <w:rPr>
          <w:rFonts w:cstheme="minorHAnsi"/>
        </w:rPr>
        <w:t xml:space="preserve"> 17: 2704 [Accessed online 7-6-26. Available from: </w:t>
      </w:r>
      <w:r>
        <w:fldChar w:fldCharType="begin"/>
      </w:r>
      <w:r>
        <w:instrText xml:space="preserve"> HYPERLINK "https://doi.org/10.1038/s41467-026-70064-4" </w:instrText>
      </w:r>
      <w:r>
        <w:fldChar w:fldCharType="separate"/>
      </w:r>
      <w:r w:rsidRPr="00353E55">
        <w:rPr>
          <w:rStyle w:val="Hyperlink"/>
          <w:rFonts w:cstheme="minorHAnsi"/>
          <w:color w:val="auto"/>
          <w:u w:val="none"/>
        </w:rPr>
        <w:t>https://doi.org/10.1038/s41467-026-70064-4</w:t>
      </w:r>
      <w:r>
        <w:fldChar w:fldCharType="end"/>
      </w:r>
      <w:r w:rsidRPr="00353E55">
        <w:rPr>
          <w:rFonts w:cstheme="minorHAnsi"/>
        </w:rPr>
        <w:t>].</w:t>
      </w:r>
    </w:p>
    <w:p w:rsidR="00000000" w:rsidRPr="00353E55" w:rsidP="008674A4">
      <w:pPr>
        <w:spacing w:line="240" w:lineRule="auto"/>
        <w:rPr>
          <w:rFonts w:cstheme="minorHAnsi"/>
        </w:rPr>
      </w:pPr>
      <w:r w:rsidRPr="00353E55">
        <w:rPr>
          <w:rFonts w:cstheme="minorHAnsi"/>
        </w:rPr>
        <w:t xml:space="preserve">Fischer, L.M., Luis, A.D., Hossack, B.R., McMahon, T.A., and Lowe W.H. (2025) Ecosystem engineered infections: beaver-modified wetlands are associated with conflicting drivers of amphibian pathogen prevalence. </w:t>
      </w:r>
      <w:r w:rsidRPr="00353E55">
        <w:rPr>
          <w:rFonts w:cstheme="minorHAnsi"/>
          <w:i/>
          <w:iCs/>
        </w:rPr>
        <w:t>R. Soc. Open Sci.</w:t>
      </w:r>
      <w:r w:rsidRPr="00353E55">
        <w:rPr>
          <w:rFonts w:cstheme="minorHAnsi"/>
        </w:rPr>
        <w:t xml:space="preserve"> 12: 241169. [Accessed online 3-6-26. Available from: https://royalsocietypublishing.org/rsos/article/12/7/241169/235455/Ecosystem-engineered-infections-beaver-modified].</w:t>
      </w:r>
    </w:p>
    <w:p w:rsidR="00000000" w:rsidRPr="00353E55" w:rsidP="00860730">
      <w:pPr>
        <w:spacing w:line="240" w:lineRule="auto"/>
        <w:rPr>
          <w:rFonts w:cstheme="minorHAnsi"/>
        </w:rPr>
      </w:pPr>
      <w:r w:rsidRPr="00353E55">
        <w:rPr>
          <w:rFonts w:cstheme="minorHAnsi"/>
        </w:rPr>
        <w:t xml:space="preserve">Hänfling, B., Woodward, G., Kahane, L., Somekh, L.J., Everson, J., De Ruig L., Gaywood M., Howe, C., and Willby N. (2024) Beaver reintroduction and its effects on freshwater biodiversity in Britain </w:t>
      </w:r>
      <w:r w:rsidRPr="00353E55">
        <w:rPr>
          <w:rFonts w:cstheme="minorHAnsi"/>
          <w:i/>
          <w:iCs/>
        </w:rPr>
        <w:t>FBA Info Note 3. May 2024</w:t>
      </w:r>
      <w:r w:rsidRPr="00353E55">
        <w:rPr>
          <w:rFonts w:cstheme="minorHAnsi"/>
        </w:rPr>
        <w:t xml:space="preserve"> Freshwater Biological Association [Accessed online 6-6-26. Available from:</w:t>
      </w:r>
      <w:r w:rsidRPr="00353E55">
        <w:t xml:space="preserve"> </w:t>
      </w:r>
      <w:r>
        <w:fldChar w:fldCharType="begin"/>
      </w:r>
      <w:r>
        <w:instrText xml:space="preserve"> HYPERLINK "https://www.fba.org.uk/info-notes/beaver-reintroduction-and-its-effects-on-freshwater-biodiversity-in-britain" </w:instrText>
      </w:r>
      <w:r>
        <w:fldChar w:fldCharType="separate"/>
      </w:r>
      <w:r w:rsidRPr="00353E55">
        <w:rPr>
          <w:rStyle w:val="Hyperlink"/>
          <w:rFonts w:cstheme="minorHAnsi"/>
          <w:color w:val="auto"/>
          <w:u w:val="none"/>
        </w:rPr>
        <w:t>https://www.fba.org.uk/info-notes/beaver-reintroduction-and-its-effects-on-freshwater-biodiversity-in-britain</w:t>
      </w:r>
      <w:r>
        <w:fldChar w:fldCharType="end"/>
      </w:r>
      <w:r w:rsidRPr="00353E55">
        <w:rPr>
          <w:rFonts w:cstheme="minorHAnsi"/>
        </w:rPr>
        <w:t>].</w:t>
      </w:r>
    </w:p>
    <w:p w:rsidR="00000000" w:rsidRPr="00353E55" w:rsidP="00860730">
      <w:pPr>
        <w:spacing w:line="240" w:lineRule="auto"/>
        <w:rPr>
          <w:rFonts w:cstheme="minorHAnsi"/>
        </w:rPr>
      </w:pPr>
      <w:r w:rsidRPr="00353E55">
        <w:rPr>
          <w:rFonts w:cstheme="minorHAnsi"/>
        </w:rPr>
        <w:t xml:space="preserve">Holmes, G., Rowland, G., &amp; Fox, K. (2024). Eager about beavers? Understanding opposition to species reintroduction, and its implications for conservation. </w:t>
      </w:r>
      <w:r w:rsidRPr="00353E55">
        <w:rPr>
          <w:rFonts w:cstheme="minorHAnsi"/>
          <w:i/>
          <w:iCs/>
        </w:rPr>
        <w:t>People and Nature</w:t>
      </w:r>
      <w:r w:rsidRPr="00353E55">
        <w:rPr>
          <w:rFonts w:cstheme="minorHAnsi"/>
        </w:rPr>
        <w:t xml:space="preserve"> 6: 1524–1537. [Accessed online 18-6-26. Available from: </w:t>
      </w:r>
      <w:r>
        <w:fldChar w:fldCharType="begin"/>
      </w:r>
      <w:r>
        <w:instrText xml:space="preserve"> HYPERLINK "https://doi.org/10.1002/pan3.10674" </w:instrText>
      </w:r>
      <w:r>
        <w:fldChar w:fldCharType="separate"/>
      </w:r>
      <w:r w:rsidRPr="00353E55">
        <w:rPr>
          <w:rStyle w:val="Hyperlink"/>
          <w:rFonts w:cstheme="minorHAnsi"/>
          <w:color w:val="auto"/>
          <w:u w:val="none"/>
        </w:rPr>
        <w:t>https://doi.org/10.1002/pan3.10674</w:t>
      </w:r>
      <w:r>
        <w:fldChar w:fldCharType="end"/>
      </w:r>
      <w:r w:rsidRPr="00353E55">
        <w:rPr>
          <w:rFonts w:cstheme="minorHAnsi"/>
        </w:rPr>
        <w:t>].</w:t>
      </w:r>
    </w:p>
    <w:p w:rsidR="00000000" w:rsidRPr="00353E55" w:rsidP="00860730">
      <w:pPr>
        <w:spacing w:line="240" w:lineRule="auto"/>
        <w:rPr>
          <w:rFonts w:cstheme="minorHAnsi"/>
        </w:rPr>
      </w:pPr>
      <w:r w:rsidRPr="00353E55">
        <w:rPr>
          <w:rFonts w:cstheme="minorHAnsi"/>
        </w:rPr>
        <w:t xml:space="preserve">Horton, H. (2026) Lost species to be released as Labour seeks to stave off Greens’ election threat </w:t>
      </w:r>
      <w:r w:rsidRPr="00353E55">
        <w:rPr>
          <w:rFonts w:cstheme="minorHAnsi"/>
          <w:i/>
          <w:iCs/>
        </w:rPr>
        <w:t xml:space="preserve">The Guardian </w:t>
      </w:r>
      <w:r w:rsidRPr="00353E55">
        <w:rPr>
          <w:rFonts w:cstheme="minorHAnsi"/>
        </w:rPr>
        <w:t xml:space="preserve">Wed 25 Feb 2026 [Accessed online 3-6-26. Available from: </w:t>
      </w:r>
      <w:r>
        <w:fldChar w:fldCharType="begin"/>
      </w:r>
      <w:r>
        <w:instrText xml:space="preserve"> HYPERLINK "https://www.theguardian.com/environment/2026/feb/25/lost-species-released-england-labour-greens-election-threat" </w:instrText>
      </w:r>
      <w:r>
        <w:fldChar w:fldCharType="separate"/>
      </w:r>
      <w:r w:rsidRPr="00353E55">
        <w:rPr>
          <w:rStyle w:val="Hyperlink"/>
          <w:rFonts w:cstheme="minorHAnsi"/>
          <w:color w:val="auto"/>
          <w:u w:val="none"/>
        </w:rPr>
        <w:t>https://www.theguardian.com/environment/2026/feb/25/lost-species-released-england-labour-greens-election-threat</w:t>
      </w:r>
      <w:r>
        <w:fldChar w:fldCharType="end"/>
      </w:r>
      <w:r w:rsidRPr="00353E55">
        <w:rPr>
          <w:rFonts w:cstheme="minorHAnsi"/>
        </w:rPr>
        <w:t>].</w:t>
      </w:r>
    </w:p>
    <w:p w:rsidR="00000000" w:rsidRPr="00353E55" w:rsidP="00083E78">
      <w:pPr>
        <w:spacing w:line="240" w:lineRule="auto"/>
        <w:rPr>
          <w:rFonts w:cstheme="minorHAnsi"/>
        </w:rPr>
      </w:pPr>
      <w:r w:rsidRPr="00353E55">
        <w:rPr>
          <w:rFonts w:cstheme="minorHAnsi"/>
        </w:rPr>
        <w:t xml:space="preserve">Jordon, M.W. </w:t>
      </w:r>
      <w:r w:rsidRPr="00353E55">
        <w:rPr>
          <w:rFonts w:cstheme="minorHAnsi"/>
          <w:i/>
          <w:iCs/>
        </w:rPr>
        <w:t>et al.</w:t>
      </w:r>
      <w:r w:rsidRPr="00353E55">
        <w:rPr>
          <w:rFonts w:cstheme="minorHAnsi"/>
        </w:rPr>
        <w:t xml:space="preserve"> (2024) A restatement of the natural science evidence base concerning grassland management, grazing livestock and soil carbon storage. </w:t>
      </w:r>
      <w:r w:rsidRPr="00353E55">
        <w:rPr>
          <w:rFonts w:cstheme="minorHAnsi"/>
          <w:i/>
          <w:iCs/>
        </w:rPr>
        <w:t>Proc. R. Soc. B</w:t>
      </w:r>
      <w:r w:rsidRPr="00353E55">
        <w:rPr>
          <w:rFonts w:cstheme="minorHAnsi"/>
        </w:rPr>
        <w:t xml:space="preserve"> 291: 20232669 [Accessed online 3-6-26. Available from:</w:t>
      </w:r>
      <w:r w:rsidRPr="00353E55">
        <w:t xml:space="preserve"> </w:t>
      </w:r>
      <w:r w:rsidRPr="00353E55">
        <w:rPr>
          <w:rFonts w:cstheme="minorHAnsi"/>
        </w:rPr>
        <w:t>https://royalsocietypublishing.org/rspb/article/291/2015/20232669/104434/A-restatement-of-the-natural-science-evidence-base].</w:t>
      </w:r>
    </w:p>
    <w:p w:rsidR="00000000" w:rsidRPr="00353E55" w:rsidP="008674A4">
      <w:pPr>
        <w:spacing w:line="240" w:lineRule="auto"/>
        <w:rPr>
          <w:rFonts w:cstheme="minorHAnsi"/>
        </w:rPr>
      </w:pPr>
      <w:r w:rsidRPr="00353E55">
        <w:rPr>
          <w:rFonts w:cstheme="minorHAnsi"/>
        </w:rPr>
        <w:t xml:space="preserve">Kumah, J. and Prior, M. (2026) White-tailed eagles to be released in Exmoor despite farmer warnings </w:t>
      </w:r>
      <w:r w:rsidRPr="00353E55">
        <w:rPr>
          <w:rFonts w:cstheme="minorHAnsi"/>
          <w:i/>
          <w:iCs/>
        </w:rPr>
        <w:t>BBC News</w:t>
      </w:r>
      <w:r w:rsidRPr="00353E55">
        <w:rPr>
          <w:rFonts w:cstheme="minorHAnsi"/>
        </w:rPr>
        <w:t xml:space="preserve"> 13 May 2026 [Accessed online 26-5-26. Available from: </w:t>
      </w:r>
      <w:r>
        <w:fldChar w:fldCharType="begin"/>
      </w:r>
      <w:r>
        <w:instrText xml:space="preserve"> HYPERLINK "https://www.bbc.com/news/articles/cd6p26y6d8vo" </w:instrText>
      </w:r>
      <w:r>
        <w:fldChar w:fldCharType="separate"/>
      </w:r>
      <w:r w:rsidRPr="00353E55">
        <w:rPr>
          <w:rStyle w:val="Hyperlink"/>
          <w:rFonts w:cstheme="minorHAnsi"/>
          <w:color w:val="auto"/>
          <w:u w:val="none"/>
        </w:rPr>
        <w:t>https://www.bbc.com/news/articles/cd6p26y6d8vo</w:t>
      </w:r>
      <w:r>
        <w:fldChar w:fldCharType="end"/>
      </w:r>
      <w:r w:rsidRPr="00353E55">
        <w:rPr>
          <w:rFonts w:cstheme="minorHAnsi"/>
        </w:rPr>
        <w:t>].</w:t>
      </w:r>
    </w:p>
    <w:p w:rsidR="00000000" w:rsidRPr="00353E55" w:rsidP="008674A4">
      <w:pPr>
        <w:spacing w:line="240" w:lineRule="auto"/>
        <w:rPr>
          <w:rFonts w:cstheme="minorHAnsi"/>
        </w:rPr>
      </w:pPr>
      <w:r w:rsidRPr="00353E55">
        <w:rPr>
          <w:rFonts w:cstheme="minorHAnsi"/>
        </w:rPr>
        <w:t xml:space="preserve">Leander Oh, K., Scheper, J., &amp; Kleijn, D. (2026) The effectiveness of biodiversity offsetting for wild pollinator conservation. </w:t>
      </w:r>
      <w:r w:rsidRPr="00353E55">
        <w:rPr>
          <w:rFonts w:cstheme="minorHAnsi"/>
          <w:i/>
          <w:iCs/>
        </w:rPr>
        <w:t>Journal of Applied Ecology</w:t>
      </w:r>
      <w:r w:rsidRPr="00353E55">
        <w:rPr>
          <w:rFonts w:cstheme="minorHAnsi"/>
        </w:rPr>
        <w:t xml:space="preserve"> 63: e70410. </w:t>
      </w:r>
      <w:r w:rsidRPr="00353E55">
        <w:rPr>
          <w:rFonts w:cstheme="minorHAnsi"/>
          <w:szCs w:val="22"/>
        </w:rPr>
        <w:t xml:space="preserve">[Accessed online 23-6-26. Available from: </w:t>
      </w:r>
      <w:r w:rsidRPr="00353E55">
        <w:rPr>
          <w:rFonts w:cstheme="minorHAnsi"/>
        </w:rPr>
        <w:t>https://doi.org/10.1111/1365-2664.70410].</w:t>
      </w:r>
    </w:p>
    <w:p w:rsidR="00000000" w:rsidRPr="00353E55" w:rsidP="008674A4">
      <w:pPr>
        <w:spacing w:line="240" w:lineRule="auto"/>
        <w:rPr>
          <w:rFonts w:cstheme="minorHAnsi"/>
          <w:szCs w:val="22"/>
        </w:rPr>
      </w:pPr>
      <w:r w:rsidRPr="00353E55">
        <w:t xml:space="preserve">Mordue, S., Bunnage, C., Shurmer, M., </w:t>
      </w:r>
      <w:r w:rsidRPr="00353E55">
        <w:rPr>
          <w:i/>
          <w:iCs/>
        </w:rPr>
        <w:t>et al</w:t>
      </w:r>
      <w:r w:rsidRPr="00353E55">
        <w:t xml:space="preserve"> (2023) </w:t>
      </w:r>
      <w:r w:rsidRPr="00353E55">
        <w:rPr>
          <w:i/>
          <w:iCs/>
        </w:rPr>
        <w:t>State of Nature England 2023</w:t>
      </w:r>
      <w:r w:rsidRPr="00353E55">
        <w:t xml:space="preserve">, the State of Nature partnership </w:t>
      </w:r>
      <w:r w:rsidRPr="00353E55">
        <w:rPr>
          <w:rFonts w:cstheme="minorHAnsi"/>
          <w:szCs w:val="22"/>
        </w:rPr>
        <w:t xml:space="preserve">[Accessed online 13-6-26. Available from: </w:t>
      </w:r>
      <w:r>
        <w:fldChar w:fldCharType="begin"/>
      </w:r>
      <w:r>
        <w:instrText xml:space="preserve"> HYPERLINK "https://stateofnature.org.uk/wp-content/uploads/2023/09/TP25999-State-of-Nature-main-report_2023_FULL-DOC-v12.pdf" </w:instrText>
      </w:r>
      <w:r>
        <w:fldChar w:fldCharType="separate"/>
      </w:r>
      <w:r w:rsidRPr="00353E55">
        <w:rPr>
          <w:rStyle w:val="Hyperlink"/>
          <w:rFonts w:cstheme="minorHAnsi"/>
          <w:color w:val="auto"/>
          <w:szCs w:val="22"/>
          <w:u w:val="none"/>
        </w:rPr>
        <w:t>https://stateofnature.org.uk/wp-content/uploads/2023/09/TP25999-State-of-Nature-main-report_2023_FULL-DOC-v12.pdf</w:t>
      </w:r>
      <w:r>
        <w:fldChar w:fldCharType="end"/>
      </w:r>
      <w:r w:rsidRPr="00353E55">
        <w:rPr>
          <w:rFonts w:cstheme="minorHAnsi"/>
          <w:szCs w:val="22"/>
        </w:rPr>
        <w:t>].</w:t>
      </w:r>
    </w:p>
    <w:p w:rsidR="00000000" w:rsidRPr="00353E55" w:rsidP="008674A4">
      <w:pPr>
        <w:spacing w:line="240" w:lineRule="auto"/>
        <w:rPr>
          <w:rFonts w:cstheme="minorHAnsi"/>
        </w:rPr>
      </w:pPr>
      <w:r w:rsidRPr="00353E55">
        <w:rPr>
          <w:rFonts w:cstheme="minorHAnsi"/>
        </w:rPr>
        <w:t>P</w:t>
      </w:r>
      <w:r w:rsidRPr="00353E55">
        <w:t xml:space="preserve">eck, </w:t>
      </w:r>
      <w:r w:rsidRPr="00353E55">
        <w:t xml:space="preserve">M.R. </w:t>
      </w:r>
      <w:r w:rsidRPr="00353E55">
        <w:rPr>
          <w:i/>
          <w:iCs/>
        </w:rPr>
        <w:t xml:space="preserve">et al </w:t>
      </w:r>
      <w:r w:rsidRPr="00353E55">
        <w:t>(202</w:t>
      </w:r>
      <w:r w:rsidRPr="00353E55">
        <w:t>4)</w:t>
      </w:r>
      <w:r w:rsidRPr="00353E55">
        <w:t xml:space="preserve"> The conflict between Rights of Nature and mining in Ecuador: Implications of the Los Cedros Cloud Forest case for biodiversity conservation </w:t>
      </w:r>
      <w:r w:rsidRPr="00353E55">
        <w:rPr>
          <w:i/>
          <w:iCs/>
        </w:rPr>
        <w:t>People and Nature</w:t>
      </w:r>
      <w:r w:rsidRPr="00353E55">
        <w:t xml:space="preserve"> 6:1096–1115 [Accessed online 26-6-26. Available from: https://www.researchgate.net/publication/379104547_The_conflict_between_Rights_of_Nature_and_mining_in_Ecuador_Implications_of_the_Los_Cedros_Cloud_Forest_case_for_biodiversity_conservation/citation/download].</w:t>
      </w:r>
    </w:p>
    <w:p w:rsidR="00000000" w:rsidRPr="00353E55" w:rsidP="008674A4">
      <w:pPr>
        <w:spacing w:line="240" w:lineRule="auto"/>
        <w:rPr>
          <w:rFonts w:cstheme="minorHAnsi"/>
          <w:szCs w:val="22"/>
        </w:rPr>
      </w:pPr>
      <w:r w:rsidRPr="00353E55">
        <w:rPr>
          <w:rFonts w:cstheme="minorHAnsi"/>
          <w:szCs w:val="22"/>
        </w:rPr>
        <w:t xml:space="preserve">Reed, M.S., Bonn, A., Slee, W. </w:t>
      </w:r>
      <w:r w:rsidRPr="00353E55">
        <w:rPr>
          <w:rFonts w:cstheme="minorHAnsi"/>
          <w:i/>
          <w:iCs/>
          <w:szCs w:val="22"/>
        </w:rPr>
        <w:t>et al</w:t>
      </w:r>
      <w:r w:rsidRPr="00353E55">
        <w:rPr>
          <w:rFonts w:cstheme="minorHAnsi"/>
          <w:szCs w:val="22"/>
        </w:rPr>
        <w:t xml:space="preserve"> (2009) The future of the uplands </w:t>
      </w:r>
      <w:r w:rsidRPr="00353E55">
        <w:rPr>
          <w:rFonts w:cstheme="minorHAnsi"/>
          <w:i/>
          <w:iCs/>
          <w:szCs w:val="22"/>
        </w:rPr>
        <w:t>Land Use Policy</w:t>
      </w:r>
      <w:r w:rsidRPr="00353E55">
        <w:rPr>
          <w:rFonts w:cstheme="minorHAnsi"/>
          <w:szCs w:val="22"/>
        </w:rPr>
        <w:t xml:space="preserve"> 26(1): S204-S216 [Accessed online 3-6-26. Available from</w:t>
      </w:r>
      <w:r w:rsidRPr="00353E55">
        <w:rPr>
          <w:rFonts w:cstheme="minorHAnsi"/>
          <w:szCs w:val="22"/>
        </w:rPr>
        <w:t xml:space="preserve">: </w:t>
      </w:r>
      <w:r>
        <w:fldChar w:fldCharType="begin"/>
      </w:r>
      <w:r>
        <w:instrText xml:space="preserve"> HYPERLINK "https://doi.org/10.1016/j.landusepol.2009.09.013" </w:instrText>
      </w:r>
      <w:r>
        <w:fldChar w:fldCharType="separate"/>
      </w:r>
      <w:r w:rsidRPr="00353E55">
        <w:rPr>
          <w:rStyle w:val="Hyperlink"/>
          <w:rFonts w:cstheme="minorHAnsi"/>
          <w:color w:val="auto"/>
          <w:szCs w:val="22"/>
          <w:u w:val="none"/>
        </w:rPr>
        <w:t>https://doi.org/10.1016/j.landusepol.2009.09.013</w:t>
      </w:r>
      <w:r>
        <w:fldChar w:fldCharType="end"/>
      </w:r>
      <w:r w:rsidRPr="00353E55">
        <w:rPr>
          <w:rFonts w:cstheme="minorHAnsi"/>
          <w:szCs w:val="22"/>
        </w:rPr>
        <w:t>].</w:t>
      </w:r>
    </w:p>
    <w:p w:rsidR="00000000" w:rsidRPr="00353E55" w:rsidP="004908D5">
      <w:pPr>
        <w:spacing w:line="240" w:lineRule="auto"/>
        <w:rPr>
          <w:rFonts w:cstheme="minorHAnsi"/>
        </w:rPr>
      </w:pPr>
      <w:r w:rsidRPr="00353E55">
        <w:rPr>
          <w:rFonts w:cstheme="minorHAnsi"/>
        </w:rPr>
        <w:t xml:space="preserve">Schmitz, O.J., Sylvén, M., Atwood, T.B. </w:t>
      </w:r>
      <w:r w:rsidRPr="00353E55">
        <w:rPr>
          <w:rFonts w:cstheme="minorHAnsi"/>
          <w:i/>
          <w:iCs/>
        </w:rPr>
        <w:t xml:space="preserve">et al. </w:t>
      </w:r>
      <w:r w:rsidRPr="00353E55">
        <w:rPr>
          <w:rFonts w:cstheme="minorHAnsi"/>
        </w:rPr>
        <w:t xml:space="preserve">(2023) Trophic rewilding can expand natural climate solutions </w:t>
      </w:r>
      <w:r w:rsidRPr="00353E55">
        <w:rPr>
          <w:rFonts w:cstheme="minorHAnsi"/>
          <w:i/>
          <w:iCs/>
        </w:rPr>
        <w:t>Nat. Clim. Chang.</w:t>
      </w:r>
      <w:r w:rsidRPr="00353E55">
        <w:rPr>
          <w:rFonts w:cstheme="minorHAnsi"/>
        </w:rPr>
        <w:t xml:space="preserve"> 13: 324–333 [Accessed online 3-6-26. Available from: https://www.researchgate.net/publication/369586706_Trophic_rewilding_can_expand_natural_climate_solutions].</w:t>
      </w:r>
    </w:p>
    <w:p w:rsidR="00000000" w:rsidRPr="00353E55" w:rsidP="004908D5">
      <w:pPr>
        <w:spacing w:line="240" w:lineRule="auto"/>
        <w:rPr>
          <w:rFonts w:cstheme="minorHAnsi"/>
        </w:rPr>
      </w:pPr>
      <w:r w:rsidRPr="00353E55">
        <w:rPr>
          <w:rFonts w:cstheme="minorHAnsi"/>
        </w:rPr>
        <w:t xml:space="preserve">Wildlife and Countryside Link (2025) </w:t>
      </w:r>
      <w:r w:rsidRPr="00353E55">
        <w:rPr>
          <w:rFonts w:cstheme="minorHAnsi"/>
          <w:i/>
          <w:iCs/>
        </w:rPr>
        <w:t>30by30 2025 UK Progress Report</w:t>
      </w:r>
      <w:r w:rsidRPr="00353E55">
        <w:rPr>
          <w:rFonts w:cstheme="minorHAnsi"/>
        </w:rPr>
        <w:t xml:space="preserve"> [Accessed online 13-6-26. Available from:</w:t>
      </w:r>
      <w:r w:rsidRPr="00353E55">
        <w:t xml:space="preserve"> https://www.wcl.org.uk/assets/uploads/0/WCL_04_30x30Report2025_DIGITAL.pdf].</w:t>
      </w:r>
    </w:p>
    <w:p w:rsidR="00000000" w:rsidRPr="00353E55">
      <w:pPr>
        <w:spacing w:line="240" w:lineRule="auto"/>
      </w:pPr>
      <w:r w:rsidRPr="00353E55">
        <w:t xml:space="preserve">World Tourism Organization (2023) </w:t>
      </w:r>
      <w:r w:rsidRPr="00353E55">
        <w:rPr>
          <w:i/>
          <w:iCs/>
        </w:rPr>
        <w:t>Achieving the Sustainable Development Goals through Tourism – Toolkit of Indicators for Projects (TIPs),</w:t>
      </w:r>
      <w:r w:rsidRPr="00353E55">
        <w:t xml:space="preserve"> UNWTO, Madrid</w:t>
      </w:r>
      <w:r w:rsidRPr="00353E55">
        <w:rPr>
          <w:rFonts w:cstheme="minorHAnsi"/>
        </w:rPr>
        <w:t xml:space="preserve"> [Accessed online 23-6-26. Available from: </w:t>
      </w:r>
      <w:r w:rsidRPr="00353E55">
        <w:t xml:space="preserve"> </w:t>
      </w:r>
      <w:r>
        <w:fldChar w:fldCharType="begin"/>
      </w:r>
      <w:r>
        <w:instrText xml:space="preserve"> HYPERLINK "https://doi.org/10.18111/9789284424344" </w:instrText>
      </w:r>
      <w:r>
        <w:fldChar w:fldCharType="separate"/>
      </w:r>
      <w:r w:rsidRPr="00353E55">
        <w:rPr>
          <w:rStyle w:val="Hyperlink"/>
          <w:color w:val="auto"/>
          <w:u w:val="none"/>
        </w:rPr>
        <w:t>https://doi.org/10.18111/9789284424344</w:t>
      </w:r>
      <w:r>
        <w:fldChar w:fldCharType="end"/>
      </w:r>
      <w:r w:rsidRPr="00353E55">
        <w:t>].</w:t>
      </w:r>
    </w:p>
    <w:p w:rsidR="00000000" w:rsidRPr="00353E55" w:rsidP="00485D7B">
      <w:pPr>
        <w:spacing w:line="240" w:lineRule="auto"/>
      </w:pPr>
      <w:r w:rsidRPr="00353E55">
        <w:t xml:space="preserve">Worrall, F., Evans, M.G., Bonn, A., Reed, M.S., Chapman, D., and Holden, J. (2009) “Can carbon offsetting pay for upland ecological restoration?” </w:t>
      </w:r>
      <w:r w:rsidRPr="00353E55">
        <w:rPr>
          <w:i/>
          <w:iCs/>
        </w:rPr>
        <w:t xml:space="preserve">Science of The Total Environment </w:t>
      </w:r>
      <w:r w:rsidRPr="00353E55">
        <w:t>408(1): 26-36 [Accessed online 26-6-26. Available from:  https://www.sciencedirect.com/science/article/pii/S0048969709008663].</w:t>
      </w:r>
    </w:p>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7D5573CB"/>
    <w:multiLevelType w:val="hybridMultilevel"/>
    <w:tmpl w:val="2B92FE30"/>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TrackMoves/>
  <w:defaultTabStop w:val="720"/>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US" w:bidi="th-TH"/>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8"/>
        <w:lang w:val="en-US" w:eastAsia="en-US" w:bidi="th-TH"/>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F1A8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F1A8D"/>
    <w:pPr>
      <w:ind w:left="720"/>
      <w:contextualSpacing/>
    </w:pPr>
  </w:style>
  <w:style w:type="character" w:styleId="Hyperlink">
    <w:name w:val="Hyperlink"/>
    <w:basedOn w:val="DefaultParagraphFont"/>
    <w:uiPriority w:val="99"/>
    <w:unhideWhenUsed/>
    <w:rsid w:val="008674A4"/>
    <w:rPr>
      <w:color w:val="0563C1" w:themeColor="hyperlink"/>
      <w:u w:val="single"/>
    </w:rPr>
  </w:style>
  <w:style w:type="character" w:customStyle="1" w:styleId="UnresolvedMention1">
    <w:name w:val="Unresolved Mention1"/>
    <w:basedOn w:val="DefaultParagraphFont"/>
    <w:uiPriority w:val="99"/>
    <w:semiHidden/>
    <w:unhideWhenUsed/>
    <w:rsid w:val="008674A4"/>
    <w:rPr>
      <w:color w:val="605E5C"/>
      <w:shd w:val="clear" w:color="auto" w:fill="E1DFDD"/>
    </w:rPr>
  </w:style>
  <w:style w:type="character" w:styleId="FollowedHyperlink">
    <w:name w:val="FollowedHyperlink"/>
    <w:basedOn w:val="DefaultParagraphFont"/>
    <w:uiPriority w:val="99"/>
    <w:semiHidden/>
    <w:unhideWhenUsed/>
    <w:rsid w:val="008674A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numbering" Target="numbering.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Written evidence - LUN0069</dc:title>
  <cp:revision>0</cp:revision>
</cp:coreProperties>
</file>