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microsoft.com/office/2020/02/relationships/classificationlabels" Target="docMetadata/LabelInfo.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3.4.0.0 -->
  <w:body>
    <w:p w:rsidR="00C23B6B" w:rsidRPr="00C23B6B">
      <w:pPr>
        <w:pStyle w:val="Title"/>
        <w:rPr>
          <w:b/>
          <w:bCs/>
          <w:sz w:val="32"/>
          <w:szCs w:val="32"/>
        </w:rPr>
      </w:pPr>
      <w:r w:rsidRPr="00C23B6B">
        <w:rPr>
          <w:b/>
          <w:bCs/>
          <w:sz w:val="32"/>
          <w:szCs w:val="32"/>
        </w:rPr>
        <w:t xml:space="preserve">Written evidence submitted by the </w:t>
      </w:r>
      <w:r w:rsidRPr="00C23B6B">
        <w:rPr>
          <w:b/>
          <w:bCs/>
          <w:sz w:val="32"/>
          <w:szCs w:val="32"/>
        </w:rPr>
        <w:t>Lake District National Park Authority</w:t>
      </w:r>
      <w:r w:rsidRPr="00C23B6B">
        <w:rPr>
          <w:b/>
          <w:bCs/>
          <w:sz w:val="32"/>
          <w:szCs w:val="32"/>
        </w:rPr>
        <w:t xml:space="preserve"> (LUN0062)</w:t>
      </w:r>
    </w:p>
    <w:p w:rsidR="00000000">
      <w:pPr>
        <w:pStyle w:val="Title"/>
      </w:pPr>
      <w:r>
        <w:t>Submission to the EFRA Committee Call for Evidence: Upland Farming</w:t>
      </w:r>
    </w:p>
    <w:p w:rsidR="00000000" w:rsidP="00626F21">
      <w:pPr>
        <w:pStyle w:val="ListParagraph"/>
        <w:numPr>
          <w:ilvl w:val="0"/>
          <w:numId w:val="10"/>
        </w:numPr>
      </w:pPr>
      <w:r>
        <w:t>Submitted by the Lake District National Park Authority as lead</w:t>
      </w:r>
      <w:r>
        <w:t xml:space="preserve"> body </w:t>
      </w:r>
      <w:r>
        <w:t xml:space="preserve">for managing </w:t>
      </w:r>
      <w:r>
        <w:t xml:space="preserve">the English Lake District World Heritage Site. </w:t>
      </w:r>
      <w:r>
        <w:t xml:space="preserve">As the National Park </w:t>
      </w:r>
      <w:r>
        <w:t>Authority,</w:t>
      </w:r>
      <w:r>
        <w:t xml:space="preserve"> the Lake District National Park Authority supports and endorses the submission by National Parks England</w:t>
      </w:r>
      <w:r>
        <w:t>. This response seeks to cover only matters affecting the English Lake District World Heritage Site.</w:t>
      </w:r>
    </w:p>
    <w:p w:rsidR="00000000"/>
    <w:p w:rsidR="00000000">
      <w:pPr>
        <w:pStyle w:val="Heading1"/>
      </w:pPr>
      <w:r>
        <w:t>1. How effectively do current policies balance competing upland demands?</w:t>
      </w:r>
    </w:p>
    <w:p w:rsidR="00000000" w:rsidP="00626F21">
      <w:pPr>
        <w:pStyle w:val="ListParagraph"/>
        <w:numPr>
          <w:ilvl w:val="0"/>
          <w:numId w:val="10"/>
        </w:numPr>
      </w:pPr>
      <w:r>
        <w:t xml:space="preserve">From a World Heritage Site perspective, current policies do not effectively balance the competing </w:t>
      </w:r>
      <w:r>
        <w:t>upland demands of food production, nature recovery, climate mitigation, water management</w:t>
      </w:r>
      <w:r>
        <w:t>, cultural heritage, historic environment, and public access. While each objective is important, policy frameworks tend to address them independently rather than recognising their interdependence within agro</w:t>
      </w:r>
      <w:r>
        <w:rPr>
          <w:rFonts w:ascii="Cambria Math" w:hAnsi="Cambria Math" w:cs="Cambria Math"/>
        </w:rPr>
        <w:t>‑</w:t>
      </w:r>
      <w:r>
        <w:t>pastoral systems.</w:t>
      </w:r>
      <w:r>
        <w:t xml:space="preserve"> </w:t>
      </w:r>
    </w:p>
    <w:p w:rsidR="00000000" w:rsidP="00522630">
      <w:pPr>
        <w:pStyle w:val="ListParagraph"/>
      </w:pPr>
    </w:p>
    <w:p w:rsidR="00000000" w:rsidP="00522630">
      <w:pPr>
        <w:pStyle w:val="ListParagraph"/>
        <w:numPr>
          <w:ilvl w:val="0"/>
          <w:numId w:val="10"/>
        </w:numPr>
      </w:pPr>
      <w:r>
        <w:t>The English Lake District is inscribed as a World Heritage Site (WHS) for its Outstanding Universal Value (OUV) as a cultural landscape shaped by a distinctive and continuously evolving agro</w:t>
      </w:r>
      <w:r>
        <w:rPr>
          <w:rFonts w:ascii="Cambria Math" w:hAnsi="Cambria Math" w:cs="Cambria Math"/>
        </w:rPr>
        <w:t>‑</w:t>
      </w:r>
      <w:r>
        <w:t>pastoral farming system. The Site</w:t>
      </w:r>
      <w:r>
        <w:rPr>
          <w:rFonts w:cs="Arial"/>
        </w:rPr>
        <w:t>’</w:t>
      </w:r>
      <w:r>
        <w:t xml:space="preserve">s OUV is expressed through the interaction between people, </w:t>
      </w:r>
      <w:r>
        <w:t>livestock, and land over time, including common land management, hefted flocks, traditional breeds, field patterns, farmsteads and associated cultural practices. These attributes are collectively sustained through active farming systems rather than passive conservation management.</w:t>
      </w:r>
    </w:p>
    <w:p w:rsidR="00000000" w:rsidP="00137F40">
      <w:pPr>
        <w:pStyle w:val="ListParagraph"/>
      </w:pPr>
    </w:p>
    <w:p w:rsidR="00000000" w:rsidRPr="00137F40" w:rsidP="00626F21">
      <w:pPr>
        <w:pStyle w:val="ListParagraph"/>
        <w:numPr>
          <w:ilvl w:val="0"/>
          <w:numId w:val="10"/>
        </w:numPr>
      </w:pPr>
      <w:r w:rsidRPr="00137F40">
        <w:t xml:space="preserve">Current agricultural and land use policy does not fully recognise or support the integrated nature of this system. While national frameworks demonstrate strong ambition for nature recovery, climate mitigation, water </w:t>
      </w:r>
      <w:r w:rsidRPr="00137F40">
        <w:t xml:space="preserve">management, and public access, they are not sufficiently aligned with the conservation requirements of cultural landscapes such as the Lake District </w:t>
      </w:r>
      <w:r w:rsidRPr="00137F40">
        <w:t>WHS. In particular, the current emphasis on natural capital outcomes a</w:t>
      </w:r>
      <w:r w:rsidRPr="00137F40">
        <w:t>lone ri</w:t>
      </w:r>
      <w:r w:rsidRPr="00137F40">
        <w:t>sks destabilising the agro</w:t>
      </w:r>
      <w:r w:rsidRPr="00137F40">
        <w:rPr>
          <w:rFonts w:ascii="Cambria Math" w:hAnsi="Cambria Math" w:cs="Cambria Math"/>
        </w:rPr>
        <w:t>‑</w:t>
      </w:r>
      <w:r w:rsidRPr="00137F40">
        <w:t>pastoral systems that underpin the Site’s OUV.</w:t>
      </w:r>
    </w:p>
    <w:p w:rsidR="00000000" w:rsidRPr="00137F40" w:rsidP="00594907">
      <w:pPr>
        <w:pStyle w:val="ListParagraph"/>
      </w:pPr>
    </w:p>
    <w:p w:rsidR="00000000" w:rsidRPr="00594907" w:rsidP="00594907">
      <w:pPr>
        <w:rPr>
          <w:highlight w:val="yellow"/>
        </w:rPr>
      </w:pPr>
    </w:p>
    <w:p w:rsidR="00000000" w:rsidP="00626F21">
      <w:pPr>
        <w:pStyle w:val="ListParagraph"/>
        <w:numPr>
          <w:ilvl w:val="0"/>
          <w:numId w:val="10"/>
        </w:numPr>
      </w:pPr>
      <w:r>
        <w:t xml:space="preserve">In the Lake District WHS, food </w:t>
      </w:r>
      <w:r>
        <w:t xml:space="preserve">and livestock production is not simply an output but a core component of landscape management. </w:t>
      </w:r>
      <w:r>
        <w:t>Hill farming, operating through hefted flocks and commons systems, maintains open fell habitats and sustains the characteristic mosaic of enclosed and unenclosed land. Reductions in livestock numbers or changes in grazing regimes—often driven by scheme requirements—can alter these dynamics, affecting cultural outcomes.</w:t>
      </w:r>
    </w:p>
    <w:p w:rsidR="00000000" w:rsidP="00137F40">
      <w:pPr>
        <w:pStyle w:val="ListParagraph"/>
      </w:pPr>
    </w:p>
    <w:p w:rsidR="00000000" w:rsidP="00626F21">
      <w:pPr>
        <w:pStyle w:val="ListParagraph"/>
        <w:numPr>
          <w:ilvl w:val="0"/>
          <w:numId w:val="10"/>
        </w:numPr>
      </w:pPr>
      <w:r>
        <w:t>P</w:t>
      </w:r>
      <w:r>
        <w:t>olicy has increasingly emphasised ecological condition and the restoration of specific habitats. While this can and has</w:t>
      </w:r>
      <w:r>
        <w:t xml:space="preserve"> delivered much needed nature and climate</w:t>
      </w:r>
      <w:r>
        <w:t xml:space="preserve"> benefits, </w:t>
      </w:r>
      <w:r>
        <w:t xml:space="preserve">without adequate </w:t>
      </w:r>
      <w:r>
        <w:t>attention</w:t>
      </w:r>
      <w:r>
        <w:t xml:space="preserve"> to cultural impacts it can</w:t>
      </w:r>
      <w:r>
        <w:t xml:space="preserve"> conflict with the </w:t>
      </w:r>
      <w:r>
        <w:t>agro-pastoral</w:t>
      </w:r>
      <w:r>
        <w:t xml:space="preserve"> systems that created and maintain these landscapes. Where stocking levels are reduced beyond functional thresholds, there is evidence of a material risk to the attributes of OUV—particularly the continuity of traditional farming systems—will be degraded.</w:t>
      </w:r>
    </w:p>
    <w:p w:rsidR="00000000" w:rsidP="00522630">
      <w:pPr>
        <w:pStyle w:val="ListParagraph"/>
      </w:pPr>
    </w:p>
    <w:p w:rsidR="00000000" w:rsidRPr="00137F40" w:rsidP="00137F40">
      <w:pPr>
        <w:pStyle w:val="ListParagraph"/>
        <w:numPr>
          <w:ilvl w:val="0"/>
          <w:numId w:val="10"/>
        </w:numPr>
        <w:spacing w:line="300" w:lineRule="auto"/>
        <w:rPr>
          <w:rFonts w:eastAsia="Arial" w:cs="Arial"/>
          <w:szCs w:val="24"/>
        </w:rPr>
      </w:pPr>
      <w:r w:rsidRPr="00686527">
        <w:t xml:space="preserve">A further tension is the growing influence of nature markets and private finance. Nature finance, Nutrient Neutrality, Biodiversity Net Gain and carbon markets are encouraging land, particularly under large estates, to be turned to in-house conservation management and this is contributing to the ending of farm tenancies, as highlighted by Hilary Cottam’s Upland Review which noted a particularly concerning example where 70 tenants will lose their farms this year with just one estate coming out of farming. </w:t>
      </w:r>
      <w:r w:rsidRPr="00626F21">
        <w:rPr>
          <w:rFonts w:cs="Arial"/>
        </w:rPr>
        <w:t xml:space="preserve">The total farmed area in the LDNP has decreased from 152,777ha (in 2016) to 146,443ha (2022), which indicates a greater proportion of land being used for other land uses. Green finance is </w:t>
      </w:r>
      <w:r w:rsidRPr="00686527">
        <w:t xml:space="preserve">also increasing pressure on land values and fragmenting holdings, reducing opportunities for new </w:t>
      </w:r>
      <w:r w:rsidRPr="00686527">
        <w:t>entrants, and weakening the infrastructure needed to retain farming in these landscapes.</w:t>
      </w:r>
      <w:r>
        <w:t xml:space="preserve"> </w:t>
      </w:r>
    </w:p>
    <w:p w:rsidR="00000000" w:rsidRPr="00137F40" w:rsidP="00137F40">
      <w:pPr>
        <w:pStyle w:val="ListParagraph"/>
        <w:spacing w:line="300" w:lineRule="auto"/>
        <w:rPr>
          <w:rFonts w:eastAsia="Arial" w:cs="Arial"/>
          <w:szCs w:val="24"/>
        </w:rPr>
      </w:pPr>
    </w:p>
    <w:p w:rsidR="00000000" w:rsidP="00626F21">
      <w:pPr>
        <w:pStyle w:val="ListParagraph"/>
        <w:numPr>
          <w:ilvl w:val="0"/>
          <w:numId w:val="10"/>
        </w:numPr>
        <w:spacing w:line="300" w:lineRule="auto"/>
        <w:rPr>
          <w:rFonts w:eastAsia="Arial" w:cs="Arial"/>
          <w:szCs w:val="24"/>
        </w:rPr>
      </w:pPr>
      <w:r w:rsidRPr="00626F21">
        <w:rPr>
          <w:rFonts w:eastAsia="Arial" w:cs="Arial"/>
          <w:szCs w:val="24"/>
        </w:rPr>
        <w:t xml:space="preserve">However, with appropriate policy direction, nature finance could complement rather than displace upland farming systems. Government </w:t>
      </w:r>
      <w:r w:rsidRPr="00626F21">
        <w:rPr>
          <w:rFonts w:eastAsia="Arial" w:cs="Arial"/>
          <w:szCs w:val="24"/>
        </w:rPr>
        <w:t xml:space="preserve">should encourage approaches that integrate environmental markets into existing farm businesses, including ensuring that tenants and commoners are actively designed into schemes from the outset. There is also an opportunity to shape emerging markets by encouraging buyers and Responsible Bodies to demonstrate how projects contribute to local communities, cultural </w:t>
      </w:r>
      <w:r w:rsidRPr="00626F21">
        <w:rPr>
          <w:rFonts w:eastAsia="Arial" w:cs="Arial"/>
          <w:szCs w:val="24"/>
        </w:rPr>
        <w:t>landscapes, and long-term farm viability, helping to secure equitable and place-sensitive outcomes.</w:t>
      </w:r>
    </w:p>
    <w:p w:rsidR="00000000" w:rsidRPr="00626F21" w:rsidP="00137F40">
      <w:pPr>
        <w:pStyle w:val="ListParagraph"/>
        <w:spacing w:line="300" w:lineRule="auto"/>
        <w:rPr>
          <w:rFonts w:eastAsia="Arial" w:cs="Arial"/>
          <w:szCs w:val="24"/>
        </w:rPr>
      </w:pPr>
    </w:p>
    <w:p w:rsidR="00000000" w:rsidP="00626F21">
      <w:pPr>
        <w:pStyle w:val="ListParagraph"/>
        <w:numPr>
          <w:ilvl w:val="0"/>
          <w:numId w:val="10"/>
        </w:numPr>
      </w:pPr>
      <w:r>
        <w:t>Overall, policy remains insufficiently integrated. The key tension lies in a system that promotes individual outcomes</w:t>
      </w:r>
      <w:r>
        <w:t>,</w:t>
      </w:r>
      <w:r>
        <w:t xml:space="preserve"> particularly environmental metrics</w:t>
      </w:r>
      <w:r>
        <w:t xml:space="preserve"> which are critically important</w:t>
      </w:r>
      <w:r>
        <w:t>, without adequately supporting the agro</w:t>
      </w:r>
      <w:r>
        <w:rPr>
          <w:rFonts w:ascii="Cambria Math" w:hAnsi="Cambria Math" w:cs="Cambria Math"/>
        </w:rPr>
        <w:t>‑</w:t>
      </w:r>
      <w:r>
        <w:t>pastoral systems.</w:t>
      </w:r>
      <w:r w:rsidRPr="00EA59A9">
        <w:t xml:space="preserve"> </w:t>
      </w:r>
      <w:r>
        <w:t xml:space="preserve">Policy must therefore adopt a more integrated, place-based approach that sustains viable farm businesses, resilient </w:t>
      </w:r>
      <w:r>
        <w:t>communities, and environmental outcomes together, ensuring the Lake District remains a living cultural landscape.</w:t>
      </w:r>
      <w:r>
        <w:t xml:space="preserve"> </w:t>
      </w:r>
      <w:r w:rsidRPr="001A35D3">
        <w:t xml:space="preserve">Recent work in the Lake District and Cumbria highlight the need for a multi-capital approach – including </w:t>
      </w:r>
      <w:r w:rsidRPr="00626F21">
        <w:rPr>
          <w:i/>
          <w:iCs/>
        </w:rPr>
        <w:t xml:space="preserve">The Contribution of Wasdale Farming to Social and Cultural Capital of Wasdale and the Lake District </w:t>
      </w:r>
      <w:r w:rsidRPr="001A35D3">
        <w:t xml:space="preserve">(L Mansfield &amp; O Morgan, 2024) and </w:t>
      </w:r>
      <w:r w:rsidRPr="00626F21">
        <w:rPr>
          <w:i/>
          <w:iCs/>
        </w:rPr>
        <w:t xml:space="preserve">Investigating the public benefits of Little Asby Common: Multiple Capitals Account </w:t>
      </w:r>
      <w:r w:rsidRPr="001A35D3">
        <w:t>(L Mansfield &amp; Friends of the Lake District, 2023).</w:t>
      </w:r>
    </w:p>
    <w:p w:rsidR="00000000">
      <w:pPr>
        <w:pStyle w:val="Heading1"/>
      </w:pPr>
      <w:r>
        <w:t>2. Impact of agricultural policy changes on upland farming businesses and profitability</w:t>
      </w:r>
    </w:p>
    <w:p w:rsidR="00000000">
      <w:pPr>
        <w:pStyle w:val="Heading1"/>
      </w:pPr>
      <w:r>
        <w:t>3. Effectiveness of ELM schemes and FiPL</w:t>
      </w:r>
    </w:p>
    <w:p w:rsidR="00000000" w:rsidP="00F67ACE"/>
    <w:p w:rsidR="00000000">
      <w:pPr>
        <w:pStyle w:val="Heading1"/>
      </w:pPr>
      <w:r>
        <w:t>4. Impact of legal protections</w:t>
      </w:r>
    </w:p>
    <w:p w:rsidR="00000000" w:rsidP="00626F21">
      <w:pPr>
        <w:pStyle w:val="ListParagraph"/>
        <w:numPr>
          <w:ilvl w:val="0"/>
          <w:numId w:val="10"/>
        </w:numPr>
      </w:pPr>
      <w:r>
        <w:t>Legal protections influence land management in the uplands, but their impact is uneven. World Heritage designation recognises the international significance of the Lake District as a cultural landscape, but it does not provide direct regulatory control. As a result, its influence depends on how it is integrated into other decision-making processes.</w:t>
      </w:r>
    </w:p>
    <w:p w:rsidR="00000000" w:rsidP="00D163E9">
      <w:pPr>
        <w:pStyle w:val="ListParagraph"/>
      </w:pPr>
    </w:p>
    <w:p w:rsidR="00000000" w:rsidP="00626F21">
      <w:pPr>
        <w:pStyle w:val="ListParagraph"/>
        <w:numPr>
          <w:ilvl w:val="0"/>
          <w:numId w:val="10"/>
        </w:numPr>
      </w:pPr>
      <w:r>
        <w:t xml:space="preserve">By contrast, designations such as Sites of Special Scientific Interest (SSSIs) and Special Areas of Conservation (SACs) exert stronger regulatory influence. These designations are important for biodiversity but </w:t>
      </w:r>
      <w:r>
        <w:t xml:space="preserve">are often implemented through management prescriptions focused on ecological outcomes. In some cases, this has resulted in reduced </w:t>
      </w:r>
      <w:r>
        <w:t>sheep stocking levels or changes in management that affect the viability of agro</w:t>
      </w:r>
      <w:r w:rsidRPr="00626F21">
        <w:rPr>
          <w:rFonts w:ascii="Cambria Math" w:hAnsi="Cambria Math" w:cs="Cambria Math"/>
        </w:rPr>
        <w:t>‑</w:t>
      </w:r>
      <w:r>
        <w:t>pastoral systems.</w:t>
      </w:r>
    </w:p>
    <w:p w:rsidR="00000000" w:rsidP="00D163E9">
      <w:pPr>
        <w:pStyle w:val="ListParagraph"/>
      </w:pPr>
    </w:p>
    <w:p w:rsidR="00000000" w:rsidP="00626F21">
      <w:pPr>
        <w:pStyle w:val="ListParagraph"/>
        <w:numPr>
          <w:ilvl w:val="0"/>
          <w:numId w:val="10"/>
        </w:numPr>
      </w:pPr>
      <w:r>
        <w:t>Overall, the current framework gives greater weight to regulatory designations linked to ecological outcomes than to the integrated objectives of cultural landscapes. This creates a structural imbalance that needs to be addressed through more coordinated policy.</w:t>
      </w:r>
    </w:p>
    <w:p w:rsidR="00000000">
      <w:pPr>
        <w:pStyle w:val="Heading1"/>
      </w:pPr>
      <w:r>
        <w:t xml:space="preserve">5. Improvements in data, </w:t>
      </w:r>
      <w:r>
        <w:t>mapping, and skills</w:t>
      </w:r>
    </w:p>
    <w:p w:rsidR="00000000">
      <w:pPr>
        <w:pStyle w:val="Heading1"/>
      </w:pPr>
      <w:r>
        <w:t>6. Impacts on rural communities</w:t>
      </w:r>
    </w:p>
    <w:p w:rsidR="00000000" w:rsidP="00D163E9">
      <w:pPr>
        <w:pStyle w:val="ListParagraph"/>
        <w:numPr>
          <w:ilvl w:val="0"/>
          <w:numId w:val="10"/>
        </w:numPr>
      </w:pPr>
      <w:r w:rsidRPr="002D3980">
        <w:t xml:space="preserve">The impacts are already being felt. The direction of travel within current land use policy and ELM expectations risks recasting rural communities as stewards of </w:t>
      </w:r>
      <w:r w:rsidRPr="002D3980">
        <w:t>nature but not farming and food-producing communities</w:t>
      </w:r>
      <w:r>
        <w:t>,</w:t>
      </w:r>
      <w:r w:rsidRPr="002D3980">
        <w:t xml:space="preserve"> and the associated social and cultural fabric which sits alongside. If that shift continues, employment will move towards ecological and scientific roles that may not match the existing local skills base, while farming families, related businesses and agricultural infrastructure become increasingly redundant. The cultural identity of communities linked to farming is already being adversely impacted in some parts of the Lake </w:t>
      </w:r>
      <w:r w:rsidRPr="002D3980">
        <w:t>District and is only likely to become even more extreme if current government policy and practice continues unchanged. Such changes only serve to further exacerbate the severe threats already impacting many of these upland communities.</w:t>
      </w:r>
    </w:p>
    <w:p w:rsidR="00000000" w:rsidP="008E7230">
      <w:pPr>
        <w:pStyle w:val="ListParagraph"/>
      </w:pPr>
    </w:p>
    <w:p w:rsidR="00000000" w:rsidP="00D163E9">
      <w:pPr>
        <w:pStyle w:val="ListParagraph"/>
        <w:numPr>
          <w:ilvl w:val="0"/>
          <w:numId w:val="10"/>
        </w:numPr>
      </w:pPr>
      <w:r>
        <w:t>As farm businesses become less viable, there is a risk of reduced population, loss of local services and weakening of community networks. The cultural identity of these communities, which is closely tied to farming, is also at risk.</w:t>
      </w:r>
    </w:p>
    <w:p w:rsidR="00000000" w:rsidP="00D163E9">
      <w:pPr>
        <w:pStyle w:val="ListParagraph"/>
      </w:pPr>
    </w:p>
    <w:p w:rsidR="00000000" w:rsidP="00D163E9">
      <w:pPr>
        <w:pStyle w:val="ListParagraph"/>
        <w:numPr>
          <w:ilvl w:val="0"/>
          <w:numId w:val="10"/>
        </w:numPr>
      </w:pPr>
      <w:r>
        <w:t>Fragmentation of land holdings and the movement of land into non-farming uses can reduce opportunities for new entrants, limiting generational renewal. This has long-term implications for the sustainability of agro</w:t>
      </w:r>
      <w:r>
        <w:rPr>
          <w:rFonts w:ascii="Cambria Math" w:hAnsi="Cambria Math" w:cs="Cambria Math"/>
        </w:rPr>
        <w:t>‑</w:t>
      </w:r>
      <w:r>
        <w:t>pastoral systems.</w:t>
      </w:r>
    </w:p>
    <w:p w:rsidR="00000000" w:rsidP="00D163E9">
      <w:pPr>
        <w:pStyle w:val="ListParagraph"/>
      </w:pPr>
    </w:p>
    <w:p w:rsidR="00000000" w:rsidP="00D163E9">
      <w:pPr>
        <w:pStyle w:val="ListParagraph"/>
        <w:numPr>
          <w:ilvl w:val="0"/>
          <w:numId w:val="10"/>
        </w:numPr>
      </w:pPr>
      <w:r>
        <w:t xml:space="preserve">While alternative income streams such as tourism or environmental work exist, they do not necessarily replace the scale or cultural significance of </w:t>
      </w:r>
      <w:r>
        <w:t>farming livelihoods. The overall effect is a gradual erosion of the social fabric that underpins the WHS.</w:t>
      </w:r>
    </w:p>
    <w:p w:rsidR="00000000">
      <w:pPr>
        <w:pStyle w:val="Heading1"/>
      </w:pPr>
      <w:r>
        <w:t>7. Ensuring rural communities benefit from change</w:t>
      </w:r>
    </w:p>
    <w:p w:rsidR="00000000" w:rsidP="00D163E9">
      <w:pPr>
        <w:pStyle w:val="ListParagraph"/>
        <w:numPr>
          <w:ilvl w:val="0"/>
          <w:numId w:val="10"/>
        </w:numPr>
      </w:pPr>
      <w:r>
        <w:t xml:space="preserve">Government policy should recognise that environmental, </w:t>
      </w:r>
      <w:r>
        <w:t xml:space="preserve">economic, and cultural outcomes in the uplands are interdependent. For the Lake District WHS, this requires a place-based </w:t>
      </w:r>
      <w:r>
        <w:t xml:space="preserve">approach </w:t>
      </w:r>
      <w:r>
        <w:t>that recognises the multifunctionality of the uplands and supports viable farm businesses while delivering environmental outcomes.</w:t>
      </w:r>
    </w:p>
    <w:p w:rsidR="00000000" w:rsidP="00D163E9">
      <w:pPr>
        <w:pStyle w:val="ListParagraph"/>
      </w:pPr>
    </w:p>
    <w:p w:rsidR="00000000" w:rsidP="00D163E9">
      <w:pPr>
        <w:pStyle w:val="ListParagraph"/>
        <w:numPr>
          <w:ilvl w:val="0"/>
          <w:numId w:val="10"/>
        </w:numPr>
      </w:pPr>
      <w:r>
        <w:t>Policy should provide long-term stability, enabling farmers to plan and invest with confidence. It should explicitly recognise cultural heritage</w:t>
      </w:r>
      <w:r>
        <w:t xml:space="preserve">, historic </w:t>
      </w:r>
      <w:r>
        <w:t>environment, and agro</w:t>
      </w:r>
      <w:r>
        <w:rPr>
          <w:rFonts w:ascii="Cambria Math" w:hAnsi="Cambria Math" w:cs="Cambria Math"/>
        </w:rPr>
        <w:t>‑</w:t>
      </w:r>
      <w:r>
        <w:t xml:space="preserve">pastoral systems as public goods, ensuring that these attributes are supported alongside </w:t>
      </w:r>
      <w:r>
        <w:t>strong support for environmental objectives.</w:t>
      </w:r>
    </w:p>
    <w:p w:rsidR="00000000" w:rsidP="00D163E9">
      <w:pPr>
        <w:pStyle w:val="ListParagraph"/>
      </w:pPr>
    </w:p>
    <w:p w:rsidR="00000000" w:rsidP="00D163E9">
      <w:pPr>
        <w:pStyle w:val="ListParagraph"/>
        <w:numPr>
          <w:ilvl w:val="0"/>
          <w:numId w:val="10"/>
        </w:numPr>
      </w:pPr>
      <w:r>
        <w:t>Delivery mechanisms should be locally informed, drawing on the expertise of those managing the WHS and the communities who sustain it. Integration of public funding and private finance is essential, with safeguards to ensure that investment supports existing systems rather than displacing them.</w:t>
      </w:r>
    </w:p>
    <w:p w:rsidR="00000000" w:rsidP="00D163E9">
      <w:pPr>
        <w:pStyle w:val="ListParagraph"/>
      </w:pPr>
    </w:p>
    <w:p w:rsidR="00000000" w:rsidP="00D163E9">
      <w:pPr>
        <w:pStyle w:val="ListParagraph"/>
        <w:numPr>
          <w:ilvl w:val="0"/>
          <w:numId w:val="10"/>
        </w:numPr>
      </w:pPr>
      <w:r>
        <w:t>Support for skills, succession and new entrants is also critical to maintaining continuity. Without this, there is a risk that the knowledge and practices underpinning the WHS will be lost.</w:t>
      </w:r>
    </w:p>
    <w:p w:rsidR="00000000" w:rsidP="00D163E9">
      <w:pPr>
        <w:pStyle w:val="ListParagraph"/>
      </w:pPr>
    </w:p>
    <w:p w:rsidR="00000000" w:rsidP="00D163E9">
      <w:pPr>
        <w:pStyle w:val="ListParagraph"/>
        <w:numPr>
          <w:ilvl w:val="0"/>
          <w:numId w:val="10"/>
        </w:numPr>
      </w:pPr>
      <w:r>
        <w:t>An integrated policy framework would enable the Lake District to remain a living, working landscape, delivering multiple public benefits while sustaining its Outstanding Universal Value.</w:t>
      </w:r>
      <w:r>
        <w:br/>
      </w:r>
    </w:p>
    <w:p w:rsidR="00000000" w:rsidP="00D163E9">
      <w:pPr>
        <w:pStyle w:val="ListParagraph"/>
        <w:numPr>
          <w:ilvl w:val="0"/>
          <w:numId w:val="10"/>
        </w:numPr>
      </w:pPr>
      <w:r w:rsidRPr="00975A8A">
        <w:t xml:space="preserve">Hilary Cottam’s review has succinctly captured many of the challenges that the Lake District and other upland communities are facing. We welcome the Government’s commitment to the forthcoming pilot in the Lake District. However, it is vital that learning feeds quickly into national policy. The priorities it identifies are clear: stable long-term support for uplands; expansion of successful programmes such as FiPL; clearer direction and continuity within ELM; stronger advisory support; addressing the challenges between landlords and tenant farmers; investment in skills and workforce development; support for diversification (where appropriate) </w:t>
      </w:r>
      <w:r w:rsidRPr="00975A8A">
        <w:t>and resilient local food supply chains; and stronger recognition of cultural heritage within the Environmental Improvement Plan.</w:t>
      </w:r>
    </w:p>
    <w:p w:rsidR="00000000">
      <w:r>
        <w:t>June 2026</w:t>
      </w:r>
    </w:p>
    <w:sectPr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0FFA131B"/>
    <w:multiLevelType w:val="hybridMultilevel"/>
    <w:tmpl w:val="7FAA269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30736630"/>
    <w:multiLevelType w:val="hybridMultilevel"/>
    <w:tmpl w:val="2F02A55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37CE214A"/>
    <w:multiLevelType w:val="hybridMultilevel"/>
    <w:tmpl w:val="86A25F4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3A60293C"/>
    <w:multiLevelType w:val="hybridMultilevel"/>
    <w:tmpl w:val="1CA2EDD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3EE0493C"/>
    <w:multiLevelType w:val="hybridMultilevel"/>
    <w:tmpl w:val="AACE55A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nsid w:val="7512762B"/>
    <w:multiLevelType w:val="hybridMultilevel"/>
    <w:tmpl w:val="5308ACD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4"/>
  </w:num>
  <w:num w:numId="12">
    <w:abstractNumId w:val="13"/>
  </w:num>
  <w:num w:numId="13">
    <w:abstractNumId w:val="10"/>
  </w:num>
  <w:num w:numId="14">
    <w:abstractNumId w:val="1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mathPr>
  <w:themeFontLang w:val="en-US" w:eastAsia="ja-JP"/>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C2BBB"/>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050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a8f77787-5df4-43b6-a2a8-8d8b678a318b}" enabled="1" method="Standard" siteId="{1ce6dd9e-b337-4088-be5e-8dbbec04b34a}" contentBits="0" removed="0"/>
</clbl:labelList>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evidence - LUN0062</dc:title>
  <cp:revision>0</cp:revision>
</cp:coreProperties>
</file>