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microsoft.com/office/2020/02/relationships/classificationlabels" Target="docMetadata/LabelInfo.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3.4.0.0 -->
  <w:body>
    <w:p w:rsidR="00B740E1" w:rsidRPr="00B740E1" w:rsidP="00B740E1">
      <w:pPr>
        <w:tabs>
          <w:tab w:val="num" w:pos="720"/>
        </w:tabs>
        <w:jc w:val="center"/>
        <w:rPr>
          <w:b/>
          <w:bCs/>
        </w:rPr>
      </w:pPr>
      <w:r w:rsidRPr="00B740E1">
        <w:rPr>
          <w:b/>
          <w:bCs/>
        </w:rPr>
        <w:t>Written evidence submitted by National Parks England (LUN0059)</w:t>
      </w:r>
    </w:p>
    <w:p w:rsidR="00000000" w:rsidP="00B05C3E">
      <w:pPr>
        <w:tabs>
          <w:tab w:val="num" w:pos="720"/>
        </w:tabs>
      </w:pPr>
      <w:r>
        <w:t>EFRA Committee call for evidence on uplands farming</w:t>
      </w:r>
    </w:p>
    <w:p w:rsidR="00000000" w:rsidP="00B05C3E">
      <w:pPr>
        <w:tabs>
          <w:tab w:val="num" w:pos="720"/>
        </w:tabs>
      </w:pPr>
      <w:r>
        <w:t>This is a collective response by National Parks England coordinated with all 10 English National Park Authorities and the Broads Authority.</w:t>
      </w:r>
    </w:p>
    <w:p w:rsidR="00000000" w:rsidP="00B05C3E">
      <w:pPr>
        <w:pStyle w:val="NoSpacing"/>
      </w:pPr>
    </w:p>
    <w:p w:rsidR="00000000" w:rsidRPr="00B05C3E" w:rsidP="00B05C3E">
      <w:pPr>
        <w:pStyle w:val="NoSpacing"/>
        <w:numPr>
          <w:ilvl w:val="0"/>
          <w:numId w:val="7"/>
        </w:numPr>
        <w:rPr>
          <w:b/>
          <w:bCs/>
        </w:rPr>
      </w:pPr>
      <w:r w:rsidRPr="00B05C3E">
        <w:rPr>
          <w:b/>
          <w:bCs/>
        </w:rPr>
        <w:t>How effectively do current policies balance competing demands in the uplands, including food production, nature recovery, climate mitigation, water management, and public access, and where do the key tensions remain?</w:t>
      </w:r>
    </w:p>
    <w:p w:rsidR="00000000" w:rsidP="0051597C">
      <w:pPr>
        <w:pStyle w:val="NoSpacing"/>
        <w:numPr>
          <w:ilvl w:val="1"/>
          <w:numId w:val="9"/>
        </w:numPr>
      </w:pPr>
      <w:r>
        <w:t>F</w:t>
      </w:r>
      <w:r>
        <w:t xml:space="preserve">arming and sustainable land management </w:t>
      </w:r>
      <w:r>
        <w:t xml:space="preserve">in the uplands </w:t>
      </w:r>
      <w:r>
        <w:t>are indispensable to the achievement of these demands</w:t>
      </w:r>
      <w:r>
        <w:t>.</w:t>
      </w:r>
      <w:r>
        <w:t xml:space="preserve"> The uplands are home to some of our most important and precious </w:t>
      </w:r>
      <w:r>
        <w:t xml:space="preserve">wildlife and </w:t>
      </w:r>
      <w:r>
        <w:t>habitats</w:t>
      </w:r>
      <w:r>
        <w:t xml:space="preserve"> and essential carbon stores</w:t>
      </w:r>
      <w:r>
        <w:t xml:space="preserve">. They’re also an important part of the cultural heritage of England. </w:t>
      </w:r>
      <w:r>
        <w:t>F</w:t>
      </w:r>
      <w:r>
        <w:t>arming</w:t>
      </w:r>
      <w:r>
        <w:t xml:space="preserve"> (especially livestock farming)</w:t>
      </w:r>
      <w:r>
        <w:t xml:space="preserve"> is at the heart of </w:t>
      </w:r>
      <w:r>
        <w:t>rural communities and land management</w:t>
      </w:r>
      <w:r>
        <w:t xml:space="preserve">. </w:t>
      </w:r>
    </w:p>
    <w:p w:rsidR="00000000" w:rsidP="0051597C">
      <w:pPr>
        <w:pStyle w:val="NoSpacing"/>
        <w:numPr>
          <w:ilvl w:val="1"/>
          <w:numId w:val="9"/>
        </w:numPr>
      </w:pPr>
      <w:r>
        <w:t xml:space="preserve">The </w:t>
      </w:r>
      <w:r>
        <w:t xml:space="preserve">cultural vocation of </w:t>
      </w:r>
      <w:r>
        <w:t xml:space="preserve">uplands farming is strongly </w:t>
      </w:r>
      <w:r>
        <w:t>linked to food production</w:t>
      </w:r>
      <w:r>
        <w:t xml:space="preserve"> despite </w:t>
      </w:r>
      <w:r>
        <w:t>land b</w:t>
      </w:r>
      <w:r>
        <w:t>eing</w:t>
      </w:r>
      <w:r>
        <w:t xml:space="preserve"> typically less productive and making a relatively small contribution to primary food production. </w:t>
      </w:r>
      <w:r>
        <w:t xml:space="preserve">Yet the uplands have a disproportionate potential to contribute to nature and climate outcomes. </w:t>
      </w:r>
      <w:r>
        <w:t xml:space="preserve">The </w:t>
      </w:r>
      <w:r>
        <w:t>key policy dynamic is to harness farmers as partners</w:t>
      </w:r>
      <w:r>
        <w:t>,</w:t>
      </w:r>
      <w:r>
        <w:t xml:space="preserve"> incentivis</w:t>
      </w:r>
      <w:r>
        <w:t xml:space="preserve">ing them </w:t>
      </w:r>
      <w:r>
        <w:t>to ‘do the right thing in the right place</w:t>
      </w:r>
      <w:r>
        <w:t>’</w:t>
      </w:r>
      <w:r>
        <w:t xml:space="preserve"> for nature and climate resilience</w:t>
      </w:r>
      <w:r>
        <w:t>.</w:t>
      </w:r>
    </w:p>
    <w:p w:rsidR="00000000" w:rsidP="0051597C">
      <w:pPr>
        <w:pStyle w:val="NoSpacing"/>
        <w:numPr>
          <w:ilvl w:val="1"/>
          <w:numId w:val="9"/>
        </w:numPr>
      </w:pPr>
      <w:r>
        <w:t>Rather than</w:t>
      </w:r>
      <w:r>
        <w:t xml:space="preserve"> </w:t>
      </w:r>
      <w:r>
        <w:t xml:space="preserve">there being inherent </w:t>
      </w:r>
      <w:r>
        <w:t>tension</w:t>
      </w:r>
      <w:r>
        <w:t xml:space="preserve">, </w:t>
      </w:r>
      <w:r>
        <w:t>outcomes relating to</w:t>
      </w:r>
      <w:r>
        <w:t xml:space="preserve"> </w:t>
      </w:r>
      <w:r>
        <w:t>clima</w:t>
      </w:r>
      <w:r>
        <w:t>te</w:t>
      </w:r>
      <w:r>
        <w:t>, nature, public access</w:t>
      </w:r>
      <w:r>
        <w:t xml:space="preserve"> and economic growth can and should be mutually achievable</w:t>
      </w:r>
      <w:r>
        <w:t xml:space="preserve"> through multifunctional land use</w:t>
      </w:r>
      <w:r>
        <w:t xml:space="preserve">. </w:t>
      </w:r>
      <w:r>
        <w:t xml:space="preserve">In the case of National Parks, our statutory Management Plans provide an ideal framework for addressing </w:t>
      </w:r>
      <w:r>
        <w:t>these demands in a way that is integrated and developed in consultation with relevant authorities</w:t>
      </w:r>
      <w:r>
        <w:t>,</w:t>
      </w:r>
      <w:r>
        <w:t xml:space="preserve"> local stakeholders and communities.</w:t>
      </w:r>
    </w:p>
    <w:p w:rsidR="00000000" w:rsidP="0051597C">
      <w:pPr>
        <w:pStyle w:val="NoSpacing"/>
        <w:numPr>
          <w:ilvl w:val="1"/>
          <w:numId w:val="9"/>
        </w:numPr>
        <w:rPr>
          <w:rStyle w:val="cf01"/>
        </w:rPr>
      </w:pPr>
      <w:r>
        <w:t xml:space="preserve">The direction of </w:t>
      </w:r>
      <w:r>
        <w:t>farm policy</w:t>
      </w:r>
      <w:r>
        <w:t xml:space="preserve"> through rewarding the delivery of public goods is </w:t>
      </w:r>
      <w:r>
        <w:t xml:space="preserve">one that we support. However, </w:t>
      </w:r>
      <w:r>
        <w:t>the execution</w:t>
      </w:r>
      <w:r>
        <w:t xml:space="preserve"> of this in the uplands has been </w:t>
      </w:r>
      <w:r>
        <w:t>only partly effective</w:t>
      </w:r>
      <w:r>
        <w:t xml:space="preserve"> with challenges relating to scheme design, opportunity for all farmers and commoners to participate and </w:t>
      </w:r>
      <w:r>
        <w:t xml:space="preserve">a tendency to </w:t>
      </w:r>
      <w:r>
        <w:t xml:space="preserve">treat environmental and farm viability as separate questions. </w:t>
      </w:r>
      <w:r w:rsidRPr="00DA7DD0">
        <w:rPr>
          <w:rStyle w:val="cf01"/>
          <w:rFonts w:ascii="Libre Franklin" w:hAnsi="Libre Franklin"/>
          <w:sz w:val="22"/>
          <w:szCs w:val="22"/>
        </w:rPr>
        <w:t>Scheme delivery has also tended to under appreciate the public goods that the uplands support in terms of cultural heritage, historic environment, commoning traditions, rural skills, and health and wellbeing benefits through access.</w:t>
      </w:r>
    </w:p>
    <w:p w:rsidR="00000000" w:rsidP="0051597C">
      <w:pPr>
        <w:pStyle w:val="NoSpacing"/>
        <w:numPr>
          <w:ilvl w:val="1"/>
          <w:numId w:val="9"/>
        </w:numPr>
      </w:pPr>
      <w:r>
        <w:t>Nonetheless our view is that t</w:t>
      </w:r>
      <w:r>
        <w:t xml:space="preserve">he key </w:t>
      </w:r>
      <w:r>
        <w:t>tensions</w:t>
      </w:r>
      <w:r>
        <w:t xml:space="preserve"> </w:t>
      </w:r>
      <w:r>
        <w:t>lie in</w:t>
      </w:r>
      <w:r>
        <w:t xml:space="preserve"> the</w:t>
      </w:r>
      <w:r>
        <w:t xml:space="preserve"> levels of policy ambition</w:t>
      </w:r>
      <w:r>
        <w:t xml:space="preserve"> versus the</w:t>
      </w:r>
      <w:r>
        <w:t xml:space="preserve"> availability of resources</w:t>
      </w:r>
      <w:r>
        <w:t xml:space="preserve"> and between a </w:t>
      </w:r>
      <w:r>
        <w:t>focus on centralised policy prescription and the need for local, place-based adaptation and delivery.</w:t>
      </w:r>
    </w:p>
    <w:p w:rsidR="00000000" w:rsidP="0051597C">
      <w:pPr>
        <w:pStyle w:val="NoSpacing"/>
        <w:numPr>
          <w:ilvl w:val="1"/>
          <w:numId w:val="9"/>
        </w:numPr>
      </w:pPr>
      <w:r>
        <w:t>Tension 1: ambition vs funding</w:t>
      </w:r>
      <w:r>
        <w:t xml:space="preserve">. </w:t>
      </w:r>
      <w:r>
        <w:t>Analysis by the Wildlife Trusts, RSPB and National Trust in 2023 estimated that an increase in the scale of the agriculture budget in England from c.£2.4billion to £3.1 billion</w:t>
      </w:r>
      <w:r>
        <w:t xml:space="preserve"> is required</w:t>
      </w:r>
      <w:r>
        <w:t xml:space="preserve"> </w:t>
      </w:r>
      <w:r>
        <w:t>to</w:t>
      </w:r>
      <w:r>
        <w:t xml:space="preserve"> meet key targets for nature recovery and climate change. </w:t>
      </w:r>
      <w:r>
        <w:t>The uplands represent some of our most imp</w:t>
      </w:r>
      <w:r>
        <w:t>o</w:t>
      </w:r>
      <w:r>
        <w:t xml:space="preserve">rtant habitats and </w:t>
      </w:r>
      <w:r>
        <w:t>includes some of our most important</w:t>
      </w:r>
      <w:r>
        <w:t xml:space="preserve"> carbon stores </w:t>
      </w:r>
      <w:r>
        <w:t xml:space="preserve">in </w:t>
      </w:r>
      <w:r>
        <w:t xml:space="preserve">terms of peat. </w:t>
      </w:r>
      <w:r>
        <w:t xml:space="preserve">The </w:t>
      </w:r>
      <w:r>
        <w:t xml:space="preserve">recent Land Use Framework suggests that </w:t>
      </w:r>
      <w:r>
        <w:t>the uplands will be disproportionately important in meeting key targets for climate cha</w:t>
      </w:r>
      <w:r>
        <w:t xml:space="preserve">nge and nature recovery, notably the target to conserve 30% of land for nature by 2030. Given the absence of private markets for these goods, public funding is necessary to their achievement. </w:t>
      </w:r>
      <w:r>
        <w:t xml:space="preserve">Upland areas represent </w:t>
      </w:r>
      <w:r>
        <w:t>around 1</w:t>
      </w:r>
      <w:r>
        <w:t>7</w:t>
      </w:r>
      <w:r>
        <w:t>% of England’s</w:t>
      </w:r>
      <w:r>
        <w:t xml:space="preserve"> agricultural </w:t>
      </w:r>
      <w:r>
        <w:t xml:space="preserve">area yet, according to </w:t>
      </w:r>
      <w:r>
        <w:t xml:space="preserve">analysis by the Energy and Climate Intelligence Unit in 2024 only receive around 8% </w:t>
      </w:r>
      <w:r>
        <w:t xml:space="preserve">of the Sustainable Farm Incentive (SFI) budget. </w:t>
      </w:r>
      <w:r>
        <w:t>Across National Parks</w:t>
      </w:r>
      <w:r>
        <w:t xml:space="preserve">, </w:t>
      </w:r>
      <w:r>
        <w:t>we estimate that the total value of payments under E</w:t>
      </w:r>
      <w:r>
        <w:t xml:space="preserve">nvironmental Land Management (ELM) schemes amounted to £45.5 million in </w:t>
      </w:r>
      <w:r>
        <w:t>2023</w:t>
      </w:r>
      <w:r>
        <w:t>, a little under 2% of the total agriculture budget.</w:t>
      </w:r>
      <w:r>
        <w:t xml:space="preserve"> </w:t>
      </w:r>
    </w:p>
    <w:p w:rsidR="00000000" w:rsidP="0051597C">
      <w:pPr>
        <w:pStyle w:val="NoSpacing"/>
        <w:numPr>
          <w:ilvl w:val="1"/>
          <w:numId w:val="9"/>
        </w:numPr>
      </w:pPr>
      <w:r>
        <w:t xml:space="preserve">Tension </w:t>
      </w:r>
      <w:r>
        <w:t xml:space="preserve">2: </w:t>
      </w:r>
      <w:r>
        <w:t xml:space="preserve">centralised prescription vs place-based </w:t>
      </w:r>
      <w:r>
        <w:t>approaches</w:t>
      </w:r>
      <w:r>
        <w:t xml:space="preserve">. Farm policy </w:t>
      </w:r>
      <w:r>
        <w:t>via ELM is essentially set nationally through a tiered framework: SFI, Countryside Stewardship</w:t>
      </w:r>
      <w:r>
        <w:t xml:space="preserve"> (CSHT)</w:t>
      </w:r>
      <w:r>
        <w:t xml:space="preserve">, </w:t>
      </w:r>
      <w:r>
        <w:t>and</w:t>
      </w:r>
      <w:r>
        <w:t xml:space="preserve"> Landscape Recovery. Only the latter theoretically is locally tailored to the needs of each ‘place’ yet is in its infancy. </w:t>
      </w:r>
      <w:r>
        <w:t>P</w:t>
      </w:r>
      <w:r>
        <w:t>olic</w:t>
      </w:r>
      <w:r>
        <w:t>ies are essentially</w:t>
      </w:r>
      <w:r>
        <w:t xml:space="preserve"> determine</w:t>
      </w:r>
      <w:r>
        <w:t>d</w:t>
      </w:r>
      <w:r>
        <w:t xml:space="preserve"> nationally </w:t>
      </w:r>
      <w:r>
        <w:t xml:space="preserve">with SFI and CSHT each consisting of a complex web of </w:t>
      </w:r>
      <w:r>
        <w:t>prescriptive</w:t>
      </w:r>
      <w:r>
        <w:t xml:space="preserve"> options</w:t>
      </w:r>
      <w:r>
        <w:t xml:space="preserve">. </w:t>
      </w:r>
      <w:r>
        <w:t xml:space="preserve">The risk is that either </w:t>
      </w:r>
      <w:r>
        <w:t>the</w:t>
      </w:r>
      <w:r>
        <w:t>se</w:t>
      </w:r>
      <w:r>
        <w:t xml:space="preserve"> options </w:t>
      </w:r>
      <w:r>
        <w:t>have limited regard for</w:t>
      </w:r>
      <w:r>
        <w:t xml:space="preserve"> the circumstances or specific environmental needs of different upland areas </w:t>
      </w:r>
      <w:r>
        <w:t>(moorland for example) or that the options selected</w:t>
      </w:r>
      <w:r>
        <w:t xml:space="preserve"> by farmers fail to optimise outcomes</w:t>
      </w:r>
      <w:r>
        <w:t xml:space="preserve"> that are specifically beneficial to each area.</w:t>
      </w:r>
      <w:r>
        <w:t xml:space="preserve"> </w:t>
      </w:r>
      <w:r>
        <w:t>Therefore,</w:t>
      </w:r>
      <w:r>
        <w:t xml:space="preserve"> we welcome indications in the  recently published Farming Roadmap to 2050 that Government intends to take a spatial approach to targeting support.</w:t>
      </w:r>
    </w:p>
    <w:p w:rsidR="00000000" w:rsidP="0051597C">
      <w:pPr>
        <w:pStyle w:val="NoSpacing"/>
        <w:numPr>
          <w:ilvl w:val="1"/>
          <w:numId w:val="9"/>
        </w:numPr>
      </w:pPr>
      <w:r>
        <w:t xml:space="preserve">Many upland areas include significant common land, which has been excluded from </w:t>
      </w:r>
      <w:r>
        <w:t>SFI</w:t>
      </w:r>
      <w:r>
        <w:t>, currently</w:t>
      </w:r>
      <w:r>
        <w:t xml:space="preserve"> </w:t>
      </w:r>
      <w:r>
        <w:t xml:space="preserve">raising serious questions about the adaptability of schemes to the needs of common land. In addition, the removal of certain options from SFI (notably relating to species rich grassland) has removed important incentives </w:t>
      </w:r>
      <w:r>
        <w:t xml:space="preserve">that </w:t>
      </w:r>
      <w:r>
        <w:t>could impact adversely on the achievement of nature and biodiversity targets</w:t>
      </w:r>
      <w:r>
        <w:t xml:space="preserve">. </w:t>
      </w:r>
    </w:p>
    <w:p w:rsidR="00000000" w:rsidP="0051597C">
      <w:pPr>
        <w:pStyle w:val="NoSpacing"/>
        <w:numPr>
          <w:ilvl w:val="1"/>
          <w:numId w:val="9"/>
        </w:numPr>
      </w:pPr>
      <w:r>
        <w:t xml:space="preserve">This also hints at a lack of policy coherence and join-up within different parts of Defra. A </w:t>
      </w:r>
      <w:r w:rsidRPr="00927018">
        <w:t>recent illustration of this fragmentation is where EIP25 includes an action to “</w:t>
      </w:r>
      <w:r w:rsidRPr="00927018">
        <w:rPr>
          <w:i/>
          <w:iCs/>
        </w:rPr>
        <w:t>Encourage farmers and land managers to sustainably manage and protect their soils through agri-environment schemes…</w:t>
      </w:r>
      <w:r w:rsidRPr="00927018">
        <w:t>”; and “…</w:t>
      </w:r>
      <w:r w:rsidRPr="00927018">
        <w:rPr>
          <w:i/>
          <w:iCs/>
        </w:rPr>
        <w:t>empowering farmers and land managers to establish baselines and implement sustainable soil management practices</w:t>
      </w:r>
      <w:r w:rsidRPr="00927018">
        <w:t>”, whilst the subsequent removal of SAM1 / CSAM1 soil management plans from the Sustainable Farming Incentive in 2026 has taken away a crucial mechanism for farmers to achieve this</w:t>
      </w:r>
      <w:r>
        <w:t xml:space="preserve">. </w:t>
      </w:r>
    </w:p>
    <w:p w:rsidR="00000000" w:rsidP="00B05C3E">
      <w:pPr>
        <w:pStyle w:val="NoSpacing"/>
        <w:ind w:left="360"/>
      </w:pPr>
    </w:p>
    <w:p w:rsidR="00000000" w:rsidRPr="00B05C3E" w:rsidP="00B05C3E">
      <w:pPr>
        <w:pStyle w:val="NoSpacing"/>
        <w:ind w:left="360"/>
      </w:pPr>
    </w:p>
    <w:p w:rsidR="00000000">
      <w:pPr>
        <w:spacing w:line="276" w:lineRule="auto"/>
        <w:rPr>
          <w:rFonts w:ascii="Libre Franklin" w:hAnsi="Libre Franklin"/>
          <w:b/>
          <w:bCs/>
        </w:rPr>
      </w:pPr>
      <w:r>
        <w:rPr>
          <w:b/>
          <w:bCs/>
        </w:rPr>
        <w:br w:type="page"/>
      </w:r>
    </w:p>
    <w:p w:rsidR="00000000" w:rsidRPr="00E47EF0" w:rsidP="00B05C3E">
      <w:pPr>
        <w:pStyle w:val="NoSpacing"/>
        <w:numPr>
          <w:ilvl w:val="0"/>
          <w:numId w:val="7"/>
        </w:numPr>
        <w:rPr>
          <w:b/>
          <w:bCs/>
        </w:rPr>
      </w:pPr>
      <w:r w:rsidRPr="00E47EF0">
        <w:rPr>
          <w:b/>
          <w:bCs/>
        </w:rPr>
        <w:t>What has been the impact of agricultural policy changes (including the transition away from direct payments) on upland farming businesses, and the impact of these changes on farming profitability?</w:t>
      </w:r>
    </w:p>
    <w:p w:rsidR="00000000" w:rsidRPr="00405A9E" w:rsidP="0051597C">
      <w:pPr>
        <w:pStyle w:val="NoSpacing"/>
        <w:numPr>
          <w:ilvl w:val="1"/>
          <w:numId w:val="10"/>
        </w:numPr>
      </w:pPr>
      <w:r w:rsidRPr="00405A9E">
        <w:t xml:space="preserve">Upland farming businesses have historically been </w:t>
      </w:r>
      <w:r w:rsidRPr="00405A9E">
        <w:t>highly dependent on funding from agricultural policy</w:t>
      </w:r>
      <w:r w:rsidRPr="00405A9E">
        <w:t xml:space="preserve"> schemes for profitability. </w:t>
      </w:r>
      <w:r w:rsidRPr="00405A9E">
        <w:t xml:space="preserve">Grazing livestock in less-favoured areas </w:t>
      </w:r>
      <w:r w:rsidRPr="00405A9E">
        <w:t xml:space="preserve">(LFA) </w:t>
      </w:r>
      <w:r w:rsidRPr="00405A9E">
        <w:t xml:space="preserve">is the predominant farm type with </w:t>
      </w:r>
      <w:r w:rsidRPr="00405A9E">
        <w:t>average farm business income in 2024/25 being £40,</w:t>
      </w:r>
      <w:r w:rsidRPr="00405A9E">
        <w:t xml:space="preserve">343 of which farming activity made up -£2,706 (i.e a net loss from farming). Whilst there are large variations in profitability based on performance, typically 60-70% of farm businesses in the uplands are unprofitable without </w:t>
      </w:r>
      <w:r w:rsidRPr="00405A9E">
        <w:t xml:space="preserve">support from direct payments or agri-environment schemes. </w:t>
      </w:r>
    </w:p>
    <w:p w:rsidR="00000000" w:rsidRPr="00405A9E" w:rsidP="0051597C">
      <w:pPr>
        <w:pStyle w:val="NoSpacing"/>
        <w:numPr>
          <w:ilvl w:val="1"/>
          <w:numId w:val="10"/>
        </w:numPr>
      </w:pPr>
      <w:r w:rsidRPr="00405A9E">
        <w:t>The loss of the Basic Payment Scheme (BPS)</w:t>
      </w:r>
      <w:r w:rsidRPr="00405A9E">
        <w:t>/ delinked payments as part of the agricultural transition post-Brexit is expected to have a particularly profound impact on upland farmers</w:t>
      </w:r>
      <w:r w:rsidRPr="00405A9E">
        <w:t xml:space="preserve">, equating to c.30% of </w:t>
      </w:r>
      <w:r w:rsidRPr="00405A9E">
        <w:t xml:space="preserve">average </w:t>
      </w:r>
      <w:r w:rsidRPr="00405A9E">
        <w:t>farm business income in 24/25</w:t>
      </w:r>
      <w:r w:rsidRPr="00405A9E">
        <w:t xml:space="preserve">. </w:t>
      </w:r>
      <w:r>
        <w:t>H</w:t>
      </w:r>
      <w:r w:rsidRPr="00405A9E">
        <w:t>igh beef and lamb prices in recent years have somewhat insulated many LFA grazing farmers from</w:t>
      </w:r>
      <w:r>
        <w:t xml:space="preserve"> the gradual reduction and elimination of these payments</w:t>
      </w:r>
      <w:r>
        <w:t xml:space="preserve">, creating a significant risk </w:t>
      </w:r>
      <w:r>
        <w:t>in the event of changing market fortunes. In this event</w:t>
      </w:r>
      <w:r>
        <w:t xml:space="preserve"> extensive restructuring and consolidation of (typically smaller) farming businesses is inevit</w:t>
      </w:r>
      <w:r>
        <w:t>able.</w:t>
      </w:r>
    </w:p>
    <w:p w:rsidR="00000000" w:rsidRPr="00405A9E" w:rsidP="0051597C">
      <w:pPr>
        <w:pStyle w:val="NoSpacing"/>
        <w:numPr>
          <w:ilvl w:val="1"/>
          <w:numId w:val="10"/>
        </w:numPr>
      </w:pPr>
      <w:r w:rsidRPr="00405A9E">
        <w:t xml:space="preserve">These farms </w:t>
      </w:r>
      <w:r w:rsidRPr="00405A9E">
        <w:t xml:space="preserve">are intrinsic to the effective management of </w:t>
      </w:r>
      <w:r w:rsidRPr="00405A9E">
        <w:t xml:space="preserve">landscapes and protected/ designated sites. </w:t>
      </w:r>
      <w:r>
        <w:t>I</w:t>
      </w:r>
      <w:r>
        <w:t xml:space="preserve">f </w:t>
      </w:r>
      <w:r>
        <w:t xml:space="preserve">change is </w:t>
      </w:r>
      <w:r w:rsidRPr="00405A9E">
        <w:t xml:space="preserve">managed ineffectively, </w:t>
      </w:r>
      <w:r>
        <w:t xml:space="preserve">it </w:t>
      </w:r>
      <w:r w:rsidRPr="00405A9E">
        <w:t xml:space="preserve">could have a significantly negative impact on </w:t>
      </w:r>
      <w:r w:rsidRPr="00405A9E">
        <w:t>the environment, the economy and local communities in upland National Parks.</w:t>
      </w:r>
      <w:r>
        <w:t xml:space="preserve"> </w:t>
      </w:r>
      <w:r>
        <w:t>The</w:t>
      </w:r>
      <w:r>
        <w:t xml:space="preserve">re are risks of land being managed inappropriately </w:t>
      </w:r>
      <w:r>
        <w:t>and/</w:t>
      </w:r>
      <w:r>
        <w:t xml:space="preserve">or </w:t>
      </w:r>
      <w:r>
        <w:t>more intensively</w:t>
      </w:r>
      <w:r>
        <w:t xml:space="preserve"> as consolidating businesses seek to maximise profitability from farm</w:t>
      </w:r>
      <w:r>
        <w:t xml:space="preserve">ing activity. </w:t>
      </w:r>
    </w:p>
    <w:p w:rsidR="00000000" w:rsidP="0051597C">
      <w:pPr>
        <w:pStyle w:val="NoSpacing"/>
        <w:numPr>
          <w:ilvl w:val="1"/>
          <w:numId w:val="10"/>
        </w:numPr>
      </w:pPr>
      <w:r>
        <w:t>T</w:t>
      </w:r>
      <w:r w:rsidRPr="00213F6B">
        <w:t xml:space="preserve">he transition away </w:t>
      </w:r>
      <w:r>
        <w:t>towards</w:t>
      </w:r>
      <w:r w:rsidRPr="00213F6B">
        <w:t xml:space="preserve"> E</w:t>
      </w:r>
      <w:r>
        <w:t>LM</w:t>
      </w:r>
      <w:r w:rsidRPr="00213F6B">
        <w:t xml:space="preserve"> </w:t>
      </w:r>
      <w:r>
        <w:t>s</w:t>
      </w:r>
      <w:r w:rsidRPr="00213F6B">
        <w:t>chemes</w:t>
      </w:r>
      <w:r>
        <w:t xml:space="preserve"> has been highly u</w:t>
      </w:r>
      <w:r w:rsidRPr="00213F6B">
        <w:t>n</w:t>
      </w:r>
      <w:r>
        <w:t>predictable (beyond the certainty of loss of direct payments) a</w:t>
      </w:r>
      <w:r w:rsidRPr="00213F6B">
        <w:t>nd often poorly fitted to commons, tenancy and hill farming systems.</w:t>
      </w:r>
      <w:r>
        <w:t xml:space="preserve"> </w:t>
      </w:r>
      <w:r>
        <w:t>This</w:t>
      </w:r>
      <w:r w:rsidRPr="00E47EF0">
        <w:t xml:space="preserve"> makes long-term planning </w:t>
      </w:r>
      <w:r w:rsidRPr="00E47EF0">
        <w:t>difficult and</w:t>
      </w:r>
      <w:r>
        <w:t xml:space="preserve"> </w:t>
      </w:r>
      <w:r w:rsidRPr="00E47EF0">
        <w:t>erod</w:t>
      </w:r>
      <w:r>
        <w:t>es</w:t>
      </w:r>
      <w:r w:rsidRPr="00E47EF0">
        <w:t xml:space="preserve"> confidence</w:t>
      </w:r>
      <w:r>
        <w:t xml:space="preserve"> in the applicability of schemes</w:t>
      </w:r>
      <w:r>
        <w:t>. In turn, this c</w:t>
      </w:r>
      <w:r w:rsidRPr="00E47EF0">
        <w:t>ompounds the risk that we see a more disorderly restructuring of uplands farming with attendant consequences for the environment and local communities.</w:t>
      </w:r>
      <w:r>
        <w:t xml:space="preserve"> The recent Farming Roadmap to 2050 provides a greater degree of long-term clarity on policy direction, which we welcome.</w:t>
      </w:r>
    </w:p>
    <w:p w:rsidR="00000000" w:rsidP="0051597C">
      <w:pPr>
        <w:pStyle w:val="NoSpacing"/>
        <w:numPr>
          <w:ilvl w:val="1"/>
          <w:numId w:val="10"/>
        </w:numPr>
      </w:pPr>
      <w:r>
        <w:t>Finally,</w:t>
      </w:r>
      <w:r>
        <w:t xml:space="preserve"> it is worth noting that the changes in policy</w:t>
      </w:r>
      <w:r>
        <w:t xml:space="preserve"> </w:t>
      </w:r>
      <w:r>
        <w:t>could impact the dynamics of landlord-tenant relationships</w:t>
      </w:r>
      <w:r>
        <w:t xml:space="preserve">, which </w:t>
      </w:r>
      <w:r>
        <w:t>are</w:t>
      </w:r>
      <w:r>
        <w:t xml:space="preserve"> </w:t>
      </w:r>
      <w:r>
        <w:t>a key factor in upland management.</w:t>
      </w:r>
    </w:p>
    <w:p w:rsidR="00000000" w:rsidP="00BE667E">
      <w:pPr>
        <w:ind w:left="360"/>
      </w:pPr>
    </w:p>
    <w:p w:rsidR="00000000" w:rsidP="00BE667E">
      <w:pPr>
        <w:ind w:left="360"/>
      </w:pPr>
    </w:p>
    <w:p w:rsidR="00000000" w:rsidRPr="00B05C3E" w:rsidP="00BE667E">
      <w:pPr>
        <w:ind w:left="360"/>
      </w:pPr>
    </w:p>
    <w:p w:rsidR="00000000">
      <w:pPr>
        <w:spacing w:line="276" w:lineRule="auto"/>
        <w:rPr>
          <w:rFonts w:ascii="Libre Franklin" w:hAnsi="Libre Franklin"/>
          <w:b/>
          <w:bCs/>
        </w:rPr>
      </w:pPr>
      <w:r>
        <w:rPr>
          <w:b/>
          <w:bCs/>
        </w:rPr>
        <w:br w:type="page"/>
      </w:r>
    </w:p>
    <w:p w:rsidR="00000000" w:rsidRPr="00BE667E" w:rsidP="00B05C3E">
      <w:pPr>
        <w:pStyle w:val="NoSpacing"/>
        <w:numPr>
          <w:ilvl w:val="0"/>
          <w:numId w:val="7"/>
        </w:numPr>
        <w:rPr>
          <w:b/>
          <w:bCs/>
        </w:rPr>
      </w:pPr>
      <w:r w:rsidRPr="00BE667E">
        <w:rPr>
          <w:b/>
          <w:bCs/>
        </w:rPr>
        <w:t>To what extent do the current Environmental Land Management (ELM) schemes and other support like the Farming in Protected Landscapes (FiPL) schemes support financially and environmentally sustainable land management in the uplands?</w:t>
      </w:r>
    </w:p>
    <w:p w:rsidR="00000000" w:rsidP="00D34D5A">
      <w:pPr>
        <w:pStyle w:val="NoSpacing"/>
        <w:numPr>
          <w:ilvl w:val="1"/>
          <w:numId w:val="15"/>
        </w:numPr>
      </w:pPr>
      <w:r>
        <w:t>P</w:t>
      </w:r>
      <w:r>
        <w:t>rior to the</w:t>
      </w:r>
      <w:r>
        <w:t xml:space="preserve"> sudden</w:t>
      </w:r>
      <w:r>
        <w:t xml:space="preserve"> closure of SFI in </w:t>
      </w:r>
      <w:r>
        <w:t>March 2025</w:t>
      </w:r>
      <w:r>
        <w:t>,</w:t>
      </w:r>
      <w:r>
        <w:t xml:space="preserve"> upland areas were</w:t>
      </w:r>
      <w:r>
        <w:t xml:space="preserve"> already</w:t>
      </w:r>
      <w:r>
        <w:t xml:space="preserve"> underserved by </w:t>
      </w:r>
      <w:r>
        <w:t>SFI in terms of scale of payments relative to land area raising questions about the suitability of options, particularly moorland</w:t>
      </w:r>
      <w:r>
        <w:t>. The confirmation that SFI 26 will not be available to commons is a particular concern for</w:t>
      </w:r>
      <w:r>
        <w:t xml:space="preserve"> upland</w:t>
      </w:r>
      <w:r>
        <w:t xml:space="preserve"> </w:t>
      </w:r>
      <w:r>
        <w:t>National Parks</w:t>
      </w:r>
      <w:r>
        <w:t>,</w:t>
      </w:r>
      <w:r>
        <w:t xml:space="preserve"> as is the removal of certain SFI options that were particularly beneficial to habitats such as species-rich grassland in places like the Peak District and Yorkshire Dales.</w:t>
      </w:r>
    </w:p>
    <w:p w:rsidR="00000000" w:rsidP="00D34D5A">
      <w:pPr>
        <w:pStyle w:val="NoSpacing"/>
        <w:numPr>
          <w:ilvl w:val="1"/>
          <w:numId w:val="15"/>
        </w:numPr>
      </w:pPr>
      <w:r>
        <w:t>The Farming in Protected Landscapes</w:t>
      </w:r>
      <w:r>
        <w:t xml:space="preserve"> (FiPL) programme has been the standout success of </w:t>
      </w:r>
      <w:r>
        <w:t>current schemes</w:t>
      </w:r>
      <w:r w:rsidRPr="00A127D0">
        <w:t xml:space="preserve"> </w:t>
      </w:r>
      <w:r>
        <w:t>w</w:t>
      </w:r>
      <w:r w:rsidRPr="00A127D0">
        <w:rPr>
          <w:rStyle w:val="cf01"/>
          <w:rFonts w:ascii="Libre Franklin" w:hAnsi="Libre Franklin"/>
          <w:sz w:val="22"/>
          <w:szCs w:val="22"/>
        </w:rPr>
        <w:t>hen directed through whole-farm, place-based delivery that benefits nature, climate, access and farm resilience together</w:t>
      </w:r>
      <w:r>
        <w:t xml:space="preserve">. Independent </w:t>
      </w:r>
      <w:r>
        <w:t xml:space="preserve">evaluation of FiPL points to </w:t>
      </w:r>
      <w:r>
        <w:t>high levels of farmer satisfaction with the scheme and willingness</w:t>
      </w:r>
      <w:r>
        <w:t xml:space="preserve"> (85%)</w:t>
      </w:r>
      <w:r>
        <w:t xml:space="preserve"> to recommend to other participants</w:t>
      </w:r>
      <w:r>
        <w:t xml:space="preserve"> and engage in other Defra schemes (63%) as a result</w:t>
      </w:r>
      <w:r>
        <w:t>. The main reasons are:</w:t>
      </w:r>
    </w:p>
    <w:p w:rsidR="00000000" w:rsidP="00AD4C3C">
      <w:pPr>
        <w:pStyle w:val="NoSpacing"/>
        <w:numPr>
          <w:ilvl w:val="0"/>
          <w:numId w:val="8"/>
        </w:numPr>
        <w:ind w:left="1276"/>
      </w:pPr>
      <w:r>
        <w:t>Flexibility, ease of application and payment delivery</w:t>
      </w:r>
      <w:r>
        <w:t>,</w:t>
      </w:r>
    </w:p>
    <w:p w:rsidR="00000000" w:rsidP="00AD4C3C">
      <w:pPr>
        <w:pStyle w:val="NoSpacing"/>
        <w:numPr>
          <w:ilvl w:val="0"/>
          <w:numId w:val="8"/>
        </w:numPr>
        <w:ind w:left="1276"/>
      </w:pPr>
      <w:r>
        <w:t>Combining of local and national priorities</w:t>
      </w:r>
      <w:r>
        <w:t>,</w:t>
      </w:r>
    </w:p>
    <w:p w:rsidR="00000000" w:rsidP="00AD4C3C">
      <w:pPr>
        <w:pStyle w:val="NoSpacing"/>
        <w:numPr>
          <w:ilvl w:val="0"/>
          <w:numId w:val="8"/>
        </w:numPr>
        <w:ind w:left="1276"/>
      </w:pPr>
      <w:r>
        <w:t>The relationship and trust built with local FiPL advisers who work alongside farmers to develop successful applications that meet their needs whilst delivering important outcomes in each landscape and national priorities such as 30x30</w:t>
      </w:r>
      <w:r>
        <w:t>.</w:t>
      </w:r>
    </w:p>
    <w:p w:rsidR="00000000" w:rsidP="00D34D5A">
      <w:pPr>
        <w:pStyle w:val="NoSpacing"/>
        <w:numPr>
          <w:ilvl w:val="1"/>
          <w:numId w:val="15"/>
        </w:numPr>
      </w:pPr>
      <w:r>
        <w:t xml:space="preserve">Whilst FiPL has been tremendously effective, it is focussed on capital expenditure, with limited ongoing revenue funding to support farmers with the costs of long-term management. </w:t>
      </w:r>
      <w:r>
        <w:t>To achieve the stretching environmental targets and goals laid out in the Environment Act 2021 and E</w:t>
      </w:r>
      <w:r>
        <w:t xml:space="preserve">nvironmental </w:t>
      </w:r>
      <w:r>
        <w:t>I</w:t>
      </w:r>
      <w:r>
        <w:t xml:space="preserve">mprovement </w:t>
      </w:r>
      <w:r>
        <w:t>P</w:t>
      </w:r>
      <w:r>
        <w:t xml:space="preserve">lan </w:t>
      </w:r>
      <w:r>
        <w:t>2</w:t>
      </w:r>
      <w:r>
        <w:t>02</w:t>
      </w:r>
      <w:r>
        <w:t>5</w:t>
      </w:r>
      <w:r>
        <w:t xml:space="preserve"> (EIP25)</w:t>
      </w:r>
      <w:r>
        <w:t>, we need to go much further and faster, especially in protected landscapes.</w:t>
      </w:r>
      <w:r>
        <w:t xml:space="preserve"> </w:t>
      </w:r>
      <w:r>
        <w:t xml:space="preserve">What is needed is </w:t>
      </w:r>
      <w:r>
        <w:t xml:space="preserve">long-term management </w:t>
      </w:r>
      <w:r>
        <w:t>payments that are</w:t>
      </w:r>
      <w:r>
        <w:t xml:space="preserve"> locally tailored </w:t>
      </w:r>
      <w:r>
        <w:t>with</w:t>
      </w:r>
      <w:r>
        <w:t xml:space="preserve"> farmers </w:t>
      </w:r>
      <w:r>
        <w:t xml:space="preserve">incentivised and </w:t>
      </w:r>
      <w:r>
        <w:t xml:space="preserve">rewarded for delivering and maintaining the right action in the right place. This requires a much more </w:t>
      </w:r>
      <w:r>
        <w:t xml:space="preserve">spatial and </w:t>
      </w:r>
      <w:r>
        <w:t>place-based approach to delivery</w:t>
      </w:r>
      <w:r>
        <w:t xml:space="preserve"> working with and through protected landsc</w:t>
      </w:r>
      <w:r>
        <w:t>ape organisations like National Park Authorities.</w:t>
      </w:r>
    </w:p>
    <w:p w:rsidR="00000000" w:rsidP="00AD4C3C">
      <w:pPr>
        <w:pStyle w:val="NoSpacing"/>
        <w:numPr>
          <w:ilvl w:val="1"/>
          <w:numId w:val="15"/>
        </w:numPr>
      </w:pPr>
      <w:r>
        <w:t xml:space="preserve">Agri-environment schemes have always been disproportionately important in upland areas </w:t>
      </w:r>
      <w:r>
        <w:t>with such schemes accounting for 58% of F</w:t>
      </w:r>
      <w:r>
        <w:t xml:space="preserve">arm </w:t>
      </w:r>
      <w:r>
        <w:t>B</w:t>
      </w:r>
      <w:r>
        <w:t xml:space="preserve">usiness </w:t>
      </w:r>
      <w:r>
        <w:t>I</w:t>
      </w:r>
      <w:r>
        <w:t>ndex</w:t>
      </w:r>
      <w:r>
        <w:t xml:space="preserve"> in 2024/25</w:t>
      </w:r>
      <w:r>
        <w:t xml:space="preserve"> and over 70% of land in some upland National Parks like Exmoor and Northumberland</w:t>
      </w:r>
      <w:r>
        <w:t xml:space="preserve">. </w:t>
      </w:r>
      <w:r>
        <w:t>Many farmers in these areas are currently locked into older ‘legacy’ agri-environment schemes</w:t>
      </w:r>
      <w:r>
        <w:t xml:space="preserve">, </w:t>
      </w:r>
      <w:r>
        <w:t xml:space="preserve">which have not kept pace with changes </w:t>
      </w:r>
      <w:r>
        <w:t xml:space="preserve">to options and payments </w:t>
      </w:r>
      <w:r>
        <w:t xml:space="preserve">made to the new </w:t>
      </w:r>
      <w:r>
        <w:t xml:space="preserve">higher-level </w:t>
      </w:r>
      <w:r>
        <w:t>CSHT</w:t>
      </w:r>
      <w:r>
        <w:t xml:space="preserve">. </w:t>
      </w:r>
      <w:r>
        <w:t xml:space="preserve">Over the next 2 years many of these legacy schemes will come to an end and farmers and common-land graziers will seek to transition to </w:t>
      </w:r>
      <w:r>
        <w:t xml:space="preserve">more lucrative CSHT schemes. </w:t>
      </w:r>
      <w:r w:rsidRPr="004F55BC">
        <w:t>As</w:t>
      </w:r>
      <w:r>
        <w:t xml:space="preserve"> an example</w:t>
      </w:r>
      <w:r>
        <w:t>, in</w:t>
      </w:r>
      <w:r>
        <w:t xml:space="preserve"> </w:t>
      </w:r>
      <w:r w:rsidRPr="004F55BC">
        <w:t>March 2026, 91,115 hectares in the Lake District were still in classic schemes due to expire in 2028</w:t>
      </w:r>
      <w:r>
        <w:t xml:space="preserve">. </w:t>
      </w:r>
    </w:p>
    <w:p w:rsidR="00000000" w:rsidP="00AD4C3C">
      <w:pPr>
        <w:pStyle w:val="NoSpacing"/>
        <w:numPr>
          <w:ilvl w:val="1"/>
          <w:numId w:val="15"/>
        </w:numPr>
      </w:pPr>
      <w:r>
        <w:t>The management of this transition is disp</w:t>
      </w:r>
      <w:r>
        <w:t xml:space="preserve">roportionately important to National Parks and we are extremely concerned </w:t>
      </w:r>
      <w:r>
        <w:t xml:space="preserve">about risks </w:t>
      </w:r>
      <w:r>
        <w:t>t</w:t>
      </w:r>
      <w:r>
        <w:t>hat are posed if we get this wrong.</w:t>
      </w:r>
      <w:r>
        <w:t xml:space="preserve"> The transition will place a heavy burden on depleted area teams in Natural England and potentially inexperienced staff</w:t>
      </w:r>
      <w:r>
        <w:t>. National Park Authorities</w:t>
      </w:r>
      <w:r>
        <w:t xml:space="preserve"> currently</w:t>
      </w:r>
      <w:r>
        <w:t xml:space="preserve"> have no formal role in supporting farmers </w:t>
      </w:r>
      <w:r>
        <w:t>and commoners</w:t>
      </w:r>
      <w:r>
        <w:t xml:space="preserve"> in relation to </w:t>
      </w:r>
      <w:r>
        <w:t>agri-environment schemes</w:t>
      </w:r>
      <w:r>
        <w:t xml:space="preserve">. </w:t>
      </w:r>
      <w:r>
        <w:t>Yet we have strong,</w:t>
      </w:r>
      <w:r w:rsidRPr="00062A1D">
        <w:t xml:space="preserve"> trusted relationships with farmers and land managers and </w:t>
      </w:r>
      <w:r>
        <w:t xml:space="preserve">are </w:t>
      </w:r>
      <w:r w:rsidRPr="00062A1D">
        <w:t xml:space="preserve">therefore well placed to support </w:t>
      </w:r>
      <w:r>
        <w:t>Natural England through</w:t>
      </w:r>
      <w:r>
        <w:t>, for example</w:t>
      </w:r>
      <w:r>
        <w:t>,</w:t>
      </w:r>
      <w:r>
        <w:t xml:space="preserve"> undertaking pre-application advice and guidance.</w:t>
      </w:r>
    </w:p>
    <w:p w:rsidR="00000000" w:rsidP="00847402">
      <w:pPr>
        <w:pStyle w:val="NoSpacing"/>
        <w:numPr>
          <w:ilvl w:val="1"/>
          <w:numId w:val="15"/>
        </w:numPr>
      </w:pPr>
      <w:r>
        <w:t xml:space="preserve">Current policy and funding mechanisms </w:t>
      </w:r>
      <w:r>
        <w:t xml:space="preserve">(rightly) seek to encourage nature recovery </w:t>
      </w:r>
      <w:r>
        <w:t xml:space="preserve">but some interventions require up-front capital costs to be borne by farmers which can be hard from them to manage in terms of cash flow. </w:t>
      </w:r>
      <w:r>
        <w:t>The permanency of certain land-use changes</w:t>
      </w:r>
      <w:r>
        <w:t xml:space="preserve"> implied by policy options (e</w:t>
      </w:r>
      <w:r>
        <w:t>.</w:t>
      </w:r>
      <w:r>
        <w:t>g</w:t>
      </w:r>
      <w:r>
        <w:t>.</w:t>
      </w:r>
      <w:r>
        <w:t xml:space="preserve"> tree planting)</w:t>
      </w:r>
      <w:r>
        <w:t xml:space="preserve"> can be dissuasive for some businesses</w:t>
      </w:r>
      <w:r>
        <w:t>.</w:t>
      </w:r>
    </w:p>
    <w:p w:rsidR="00000000" w:rsidP="00847402">
      <w:pPr>
        <w:pStyle w:val="NoSpacing"/>
        <w:numPr>
          <w:ilvl w:val="1"/>
          <w:numId w:val="15"/>
        </w:numPr>
      </w:pPr>
      <w:r>
        <w:t>Getting policy right in upland protected landscapes depends on support offered through ELM schemes being:</w:t>
      </w:r>
    </w:p>
    <w:p w:rsidR="00000000" w:rsidP="00CA2EB4">
      <w:pPr>
        <w:pStyle w:val="NoSpacing"/>
        <w:numPr>
          <w:ilvl w:val="0"/>
          <w:numId w:val="8"/>
        </w:numPr>
        <w:ind w:left="1276"/>
      </w:pPr>
      <w:r>
        <w:t>Remunerative so that they provide genuine incentives to manage more land primarily for nature and biodiversity</w:t>
      </w:r>
      <w:r>
        <w:t>,</w:t>
      </w:r>
    </w:p>
    <w:p w:rsidR="00000000" w:rsidP="00CA2EB4">
      <w:pPr>
        <w:pStyle w:val="NoSpacing"/>
        <w:numPr>
          <w:ilvl w:val="0"/>
          <w:numId w:val="8"/>
        </w:numPr>
        <w:ind w:left="1276"/>
      </w:pPr>
      <w:r>
        <w:t>Spatially targeted so that payments are focussed on those areas, like protected landscapes, that have the opportunity to make the greatest contribution to achieving environmental and other targets such as 30x30</w:t>
      </w:r>
      <w:r>
        <w:t>,</w:t>
      </w:r>
    </w:p>
    <w:p w:rsidR="00000000" w:rsidP="00CA2EB4">
      <w:pPr>
        <w:pStyle w:val="NoSpacing"/>
        <w:numPr>
          <w:ilvl w:val="0"/>
          <w:numId w:val="8"/>
        </w:numPr>
        <w:ind w:left="1276"/>
      </w:pPr>
      <w:r>
        <w:t>Relevant to the key environmental outcomes in each area. This means embedd</w:t>
      </w:r>
      <w:r>
        <w:t>ing  the policy design of FiPL into mainstream ELM schemes</w:t>
      </w:r>
      <w:r>
        <w:t>.</w:t>
      </w:r>
    </w:p>
    <w:p w:rsidR="00000000" w:rsidP="00CA2EB4">
      <w:pPr>
        <w:pStyle w:val="NoSpacing"/>
        <w:numPr>
          <w:ilvl w:val="1"/>
          <w:numId w:val="19"/>
        </w:numPr>
      </w:pPr>
      <w:r>
        <w:t xml:space="preserve">Finally, an ongoing challenge relating to the current suite of schemes is their unpredictability of funding. </w:t>
      </w:r>
      <w:r>
        <w:t>The certainty of funding extends to, at most, the three</w:t>
      </w:r>
      <w:r>
        <w:t>-year cycle of the C</w:t>
      </w:r>
      <w:r>
        <w:t>omprehensive S</w:t>
      </w:r>
      <w:r>
        <w:t>pending R</w:t>
      </w:r>
      <w:r>
        <w:t xml:space="preserve">eview. As we have seen, the </w:t>
      </w:r>
      <w:r>
        <w:t>limited funding available</w:t>
      </w:r>
      <w:r>
        <w:t xml:space="preserve"> for each scheme and their competitive nature</w:t>
      </w:r>
      <w:r>
        <w:t xml:space="preserve"> also leads to </w:t>
      </w:r>
      <w:r>
        <w:t xml:space="preserve">risk </w:t>
      </w:r>
      <w:r>
        <w:t xml:space="preserve">of </w:t>
      </w:r>
      <w:r>
        <w:t xml:space="preserve">sudden </w:t>
      </w:r>
      <w:r>
        <w:t xml:space="preserve">closure when funds dry up. </w:t>
      </w:r>
      <w:r>
        <w:t xml:space="preserve">Government has committed to providing early </w:t>
      </w:r>
      <w:r>
        <w:t>indication of when budgets may be close to full utilisation to avoid unnecessary cliff edges in future which is welcome.</w:t>
      </w:r>
    </w:p>
    <w:p w:rsidR="00000000" w:rsidP="006D4045">
      <w:pPr>
        <w:pStyle w:val="NoSpacing"/>
        <w:ind w:left="360"/>
      </w:pPr>
    </w:p>
    <w:p w:rsidR="00000000" w:rsidP="006D4045">
      <w:pPr>
        <w:pStyle w:val="NoSpacing"/>
        <w:ind w:left="360"/>
      </w:pPr>
    </w:p>
    <w:p w:rsidR="00000000" w:rsidP="006D4045">
      <w:pPr>
        <w:pStyle w:val="NoSpacing"/>
        <w:ind w:left="360"/>
      </w:pPr>
    </w:p>
    <w:p w:rsidR="00000000" w:rsidRPr="00B05C3E" w:rsidP="006D4045">
      <w:pPr>
        <w:pStyle w:val="NoSpacing"/>
        <w:ind w:left="360"/>
      </w:pPr>
    </w:p>
    <w:p w:rsidR="00000000">
      <w:pPr>
        <w:spacing w:line="276" w:lineRule="auto"/>
        <w:rPr>
          <w:rFonts w:ascii="Libre Franklin" w:hAnsi="Libre Franklin"/>
          <w:b/>
          <w:bCs/>
        </w:rPr>
      </w:pPr>
      <w:r>
        <w:rPr>
          <w:b/>
          <w:bCs/>
        </w:rPr>
        <w:br w:type="page"/>
      </w:r>
    </w:p>
    <w:p w:rsidR="00000000" w:rsidRPr="00EA4611" w:rsidP="00B05C3E">
      <w:pPr>
        <w:pStyle w:val="NoSpacing"/>
        <w:numPr>
          <w:ilvl w:val="0"/>
          <w:numId w:val="7"/>
        </w:numPr>
        <w:rPr>
          <w:b/>
          <w:bCs/>
        </w:rPr>
      </w:pPr>
      <w:r w:rsidRPr="00EA4611">
        <w:rPr>
          <w:b/>
          <w:bCs/>
        </w:rPr>
        <w:t>How do legal protections for uplands areas (including designation as a National Park or Area of Outstanding Natural Beauty / Protected Landscape, and designations such as Site of Special Scientific Interest, or Special Area of Conservation) impact decision-making, land management, and outcomes?</w:t>
      </w:r>
    </w:p>
    <w:p w:rsidR="00000000" w:rsidP="00CA2EB4">
      <w:pPr>
        <w:pStyle w:val="NoSpacing"/>
        <w:numPr>
          <w:ilvl w:val="1"/>
          <w:numId w:val="22"/>
        </w:numPr>
      </w:pPr>
      <w:r>
        <w:t xml:space="preserve">Legal protections </w:t>
      </w:r>
      <w:r>
        <w:t>are essential for safeguarding nationally important habitats, landscapes, access and archaeological features</w:t>
      </w:r>
      <w:r>
        <w:t xml:space="preserve">. They are also </w:t>
      </w:r>
      <w:r>
        <w:t>important in protecting farmland from development</w:t>
      </w:r>
      <w:r>
        <w:t xml:space="preserve"> pressure and large-scale afforestation. </w:t>
      </w:r>
    </w:p>
    <w:p w:rsidR="00000000" w:rsidP="00CA2EB4">
      <w:pPr>
        <w:pStyle w:val="NoSpacing"/>
        <w:numPr>
          <w:ilvl w:val="1"/>
          <w:numId w:val="22"/>
        </w:numPr>
      </w:pPr>
      <w:r>
        <w:t xml:space="preserve">National Park designation has provided </w:t>
      </w:r>
      <w:r>
        <w:t xml:space="preserve">opportunities for upland farmers to diversify income </w:t>
      </w:r>
      <w:r>
        <w:t>(e</w:t>
      </w:r>
      <w:r>
        <w:t>.</w:t>
      </w:r>
      <w:r>
        <w:t>g</w:t>
      </w:r>
      <w:r>
        <w:t>.</w:t>
      </w:r>
      <w:r>
        <w:t xml:space="preserve"> t</w:t>
      </w:r>
      <w:r>
        <w:t>ourism</w:t>
      </w:r>
      <w:r>
        <w:t xml:space="preserve">) and access funding and resources (such as FiPL) that may not be available to farmers elsewhere. Contrary to </w:t>
      </w:r>
      <w:r>
        <w:t>a popular myth, National Park planning policies rarely impede farm diversification and development with</w:t>
      </w:r>
      <w:r>
        <w:t xml:space="preserve"> extensive permitted development rights already applying and many National Park Authorities </w:t>
      </w:r>
      <w:r>
        <w:t>exceeding national targets for customer service.</w:t>
      </w:r>
    </w:p>
    <w:p w:rsidR="00000000" w:rsidP="00CA2EB4">
      <w:pPr>
        <w:pStyle w:val="NoSpacing"/>
        <w:numPr>
          <w:ilvl w:val="1"/>
          <w:numId w:val="22"/>
        </w:numPr>
      </w:pPr>
      <w:r>
        <w:t>L</w:t>
      </w:r>
      <w:r>
        <w:t xml:space="preserve">egal </w:t>
      </w:r>
      <w:r w:rsidRPr="00CE52AA">
        <w:t>protection through statutory environmental designations such as SSSI, SAC &amp; SPA</w:t>
      </w:r>
      <w:r>
        <w:t xml:space="preserve"> does not </w:t>
      </w:r>
      <w:r>
        <w:t xml:space="preserve">of itself </w:t>
      </w:r>
      <w:r>
        <w:t>guarantee favourable management</w:t>
      </w:r>
      <w:r>
        <w:t xml:space="preserve">. National Parks have been set targets via the Protected Landscapes Targets and Outcomes Framework (PLTOF) </w:t>
      </w:r>
      <w:r>
        <w:t>which seek 80% of SSSI to be favourable condition by 204</w:t>
      </w:r>
      <w:r>
        <w:t>2. Many of these sites depend on some form of active management by farmers and land managers, which can only be achieved through active collaboration and engagement. As the Office for Environmental Protection (OEP) pointed out in</w:t>
      </w:r>
      <w:r>
        <w:t xml:space="preserve"> its work on protected sites in 202</w:t>
      </w:r>
      <w:r>
        <w:t>5, there is a gap between national ambition and local delivery, including the ne</w:t>
      </w:r>
      <w:r>
        <w:t>ed for better alignment of spatial priorities, farming incentives and the legal fram</w:t>
      </w:r>
      <w:r>
        <w:t>e</w:t>
      </w:r>
      <w:r>
        <w:t>work. The designations should serve as a basis for place-based target incentives to achieve holistic outcomes, not simply seen as constraints.</w:t>
      </w:r>
    </w:p>
    <w:p w:rsidR="00000000" w:rsidRPr="00513A25" w:rsidP="00CA2EB4">
      <w:pPr>
        <w:pStyle w:val="NoSpacing"/>
        <w:numPr>
          <w:ilvl w:val="1"/>
          <w:numId w:val="22"/>
        </w:numPr>
      </w:pPr>
      <w:r>
        <w:t xml:space="preserve">They also need to provide scope for innovation, recognising that climate will force changes upon habitats and landscape, requiring adaptive management approaches to </w:t>
      </w:r>
      <w:r>
        <w:t>ensure long-term resilience as well as nature abundance. Natural England should provide greater clarity on whether favourable condition can realistically be achieved on some protected sites in the uplands (Dartmoor</w:t>
      </w:r>
      <w:r>
        <w:t xml:space="preserve"> and the North York Moors</w:t>
      </w:r>
      <w:r>
        <w:t xml:space="preserve"> for example) </w:t>
      </w:r>
      <w:r>
        <w:t xml:space="preserve">and what land management changes may be needed to optimise land management for nature and climate resilience in the </w:t>
      </w:r>
      <w:r>
        <w:t>long run</w:t>
      </w:r>
      <w:r>
        <w:t>.</w:t>
      </w:r>
    </w:p>
    <w:p w:rsidR="00000000" w:rsidP="00B05C3E">
      <w:pPr>
        <w:pStyle w:val="NoSpacing"/>
        <w:ind w:left="360"/>
      </w:pPr>
    </w:p>
    <w:p w:rsidR="00000000" w:rsidP="00B05C3E">
      <w:pPr>
        <w:pStyle w:val="NoSpacing"/>
        <w:ind w:left="360"/>
      </w:pPr>
    </w:p>
    <w:p w:rsidR="00000000" w:rsidP="00B05C3E">
      <w:pPr>
        <w:pStyle w:val="NoSpacing"/>
        <w:ind w:left="360"/>
      </w:pPr>
    </w:p>
    <w:p w:rsidR="00000000" w:rsidRPr="00B05C3E" w:rsidP="00B05C3E">
      <w:pPr>
        <w:pStyle w:val="NoSpacing"/>
        <w:ind w:left="360"/>
      </w:pPr>
    </w:p>
    <w:p w:rsidR="00000000" w:rsidRPr="008C11AF" w:rsidP="00B05C3E">
      <w:pPr>
        <w:pStyle w:val="NoSpacing"/>
        <w:numPr>
          <w:ilvl w:val="0"/>
          <w:numId w:val="7"/>
        </w:numPr>
        <w:rPr>
          <w:b/>
          <w:bCs/>
        </w:rPr>
      </w:pPr>
      <w:r w:rsidRPr="008C11AF">
        <w:rPr>
          <w:b/>
          <w:bCs/>
        </w:rPr>
        <w:t>What improvements are needed in land use data, mapping, and modelling to support effective decision-making in the uplands? What training or other skill development options are needed to support this?</w:t>
      </w:r>
    </w:p>
    <w:p w:rsidR="00000000" w:rsidP="00CA2EB4">
      <w:pPr>
        <w:pStyle w:val="NoSpacing"/>
        <w:numPr>
          <w:ilvl w:val="1"/>
          <w:numId w:val="26"/>
        </w:numPr>
      </w:pPr>
      <w:r>
        <w:t>In some respects</w:t>
      </w:r>
      <w:r>
        <w:t>, the improvements</w:t>
      </w:r>
      <w:r>
        <w:t xml:space="preserve"> needed in relation to data are as much about ensuring that </w:t>
      </w:r>
      <w:r>
        <w:t xml:space="preserve">existing data </w:t>
      </w:r>
      <w:r>
        <w:t xml:space="preserve">is better shared and useable. </w:t>
      </w:r>
      <w:r>
        <w:t>Better access to data relating to scheme participation within protected landscapes is one example. Data also needs to be better tailored to protected landscapes (i.e</w:t>
      </w:r>
      <w:r>
        <w:t>.</w:t>
      </w:r>
      <w:r>
        <w:t xml:space="preserve"> cut to boundaries) to be more </w:t>
      </w:r>
      <w:r>
        <w:t>locally relevant</w:t>
      </w:r>
      <w:r>
        <w:t xml:space="preserve"> and support effective decision-making at </w:t>
      </w:r>
      <w:r>
        <w:t>holding, catchment and landscape-scales</w:t>
      </w:r>
      <w:r>
        <w:t>.</w:t>
      </w:r>
      <w:r>
        <w:t xml:space="preserve"> </w:t>
      </w:r>
      <w:r>
        <w:t xml:space="preserve">The Fursdon Review </w:t>
      </w:r>
      <w:r>
        <w:t xml:space="preserve">of protected site management on Dartmoor pointed to the creation of a Dartmoor observatory </w:t>
      </w:r>
      <w:r>
        <w:t>to create a shared evidence base by bringing together statutory agencie</w:t>
      </w:r>
      <w:r>
        <w:t xml:space="preserve">s, farmers, commoners, academics and environmental organisations. This </w:t>
      </w:r>
      <w:r>
        <w:t>concept should be realised and explored more broadly.</w:t>
      </w:r>
    </w:p>
    <w:p w:rsidR="00000000" w:rsidP="00CA2EB4">
      <w:pPr>
        <w:pStyle w:val="NoSpacing"/>
        <w:numPr>
          <w:ilvl w:val="1"/>
          <w:numId w:val="26"/>
        </w:numPr>
      </w:pPr>
      <w:r>
        <w:t>Local Nature Recovery Strategies are in the process of being completed across England and National Park Authorities have supported their development as supporting bodies</w:t>
      </w:r>
      <w:r>
        <w:t>. Nonetheless, National Park Management Plans, in having regard to LNRS, should be seen as a key spatial tool that influences and informs land management decisions spatially in our landscapes.</w:t>
      </w:r>
    </w:p>
    <w:p w:rsidR="00000000" w:rsidP="00CA2EB4">
      <w:pPr>
        <w:pStyle w:val="NoSpacing"/>
        <w:numPr>
          <w:ilvl w:val="1"/>
          <w:numId w:val="26"/>
        </w:numPr>
      </w:pPr>
      <w:r>
        <w:t xml:space="preserve">With the advent of geospatial technology and AI significant improvements are being made in the field of habitat mapping, monitoring and predictive modelling. All of these </w:t>
      </w:r>
      <w:r>
        <w:t xml:space="preserve">developments </w:t>
      </w:r>
      <w:r>
        <w:t>provide exciting opportunities to accelerate the optimisation of land management in an adaptive way. National Parks have been at the forefront of driving innovation in this space through the work of the Landsc</w:t>
      </w:r>
      <w:r>
        <w:t xml:space="preserve">ape Observatory </w:t>
      </w:r>
      <w:r>
        <w:fldChar w:fldCharType="begin"/>
      </w:r>
      <w:r>
        <w:instrText xml:space="preserve"> HYPERLINK "http://www.landscapeobservatory.org.uk" </w:instrText>
      </w:r>
      <w:r>
        <w:fldChar w:fldCharType="separate"/>
      </w:r>
      <w:r w:rsidRPr="00BB0ED4">
        <w:rPr>
          <w:rStyle w:val="Hyperlink"/>
        </w:rPr>
        <w:t>www.landscapeobservatory.org.uk</w:t>
      </w:r>
      <w:r>
        <w:fldChar w:fldCharType="end"/>
      </w:r>
      <w:r>
        <w:t xml:space="preserve"> </w:t>
      </w:r>
      <w:r>
        <w:t>which harnesses innovative technologies</w:t>
      </w:r>
      <w:r>
        <w:t xml:space="preserve"> and citizen science to improve the availability</w:t>
      </w:r>
      <w:r>
        <w:t>, timeliness and accuracy</w:t>
      </w:r>
      <w:r>
        <w:t xml:space="preserve"> of baseline data and habitat monitoring</w:t>
      </w:r>
      <w:r>
        <w:t xml:space="preserve">. </w:t>
      </w:r>
    </w:p>
    <w:p w:rsidR="00000000" w:rsidP="00CA2EB4">
      <w:pPr>
        <w:pStyle w:val="NoSpacing"/>
        <w:numPr>
          <w:ilvl w:val="1"/>
          <w:numId w:val="26"/>
        </w:numPr>
      </w:pPr>
      <w:r>
        <w:t>Climate change will have a significant impact on our landscapes</w:t>
      </w:r>
      <w:r>
        <w:t>, driving land use change. Modelling its plausible impact on habitats can help inform adaptive approaches to land management t</w:t>
      </w:r>
      <w:r>
        <w:t xml:space="preserve">hat support greater </w:t>
      </w:r>
      <w:r>
        <w:t>long-term resilience</w:t>
      </w:r>
      <w:r>
        <w:t xml:space="preserve"> and better management of risks such as wildfire.  </w:t>
      </w:r>
    </w:p>
    <w:p w:rsidR="00000000" w:rsidP="00CA2EB4">
      <w:pPr>
        <w:pStyle w:val="NoSpacing"/>
        <w:numPr>
          <w:ilvl w:val="1"/>
          <w:numId w:val="26"/>
        </w:numPr>
      </w:pPr>
      <w:r>
        <w:t>Skills and training of both farmers and advisers needs to integrate farm business planning</w:t>
      </w:r>
      <w:r>
        <w:t xml:space="preserve"> with environmental outcomes. </w:t>
      </w:r>
      <w:r>
        <w:t xml:space="preserve">This will be important in equipping farmers with the skills needed to make the most of business opportunities emerging from </w:t>
      </w:r>
      <w:r>
        <w:t xml:space="preserve">natural capital and other markets as well as public policy. </w:t>
      </w:r>
    </w:p>
    <w:p w:rsidR="00000000" w:rsidP="00CA2EB4">
      <w:pPr>
        <w:pStyle w:val="NoSpacing"/>
        <w:numPr>
          <w:ilvl w:val="1"/>
          <w:numId w:val="26"/>
        </w:numPr>
      </w:pPr>
      <w:r>
        <w:t xml:space="preserve">Finally, we recognise the power of </w:t>
      </w:r>
      <w:r>
        <w:t xml:space="preserve">peer-to-peer learning. Farming clusters have </w:t>
      </w:r>
      <w:r>
        <w:t xml:space="preserve">played a vital role in enabling farmers to learn new skills, explore concepts and have the confidence to put ideas into practice. The roll out of the Farm Collaboration Fund to support </w:t>
      </w:r>
      <w:r>
        <w:t>and extend these networks is welcome but we are concerned that demand is likely to outstrip the need, including in the uplands. It is also important that there is sufficient open-source applied demonstration of techniques taking place in real-farm settings across the uplands</w:t>
      </w:r>
      <w:r>
        <w:t>.</w:t>
      </w:r>
    </w:p>
    <w:p w:rsidR="00000000">
      <w:pPr>
        <w:spacing w:line="276" w:lineRule="auto"/>
        <w:rPr>
          <w:rFonts w:ascii="Libre Franklin" w:hAnsi="Libre Franklin"/>
          <w:b/>
          <w:bCs/>
        </w:rPr>
      </w:pPr>
      <w:r>
        <w:rPr>
          <w:b/>
          <w:bCs/>
        </w:rPr>
        <w:br w:type="page"/>
      </w:r>
    </w:p>
    <w:p w:rsidR="00000000" w:rsidRPr="008C11AF" w:rsidP="00B05C3E">
      <w:pPr>
        <w:pStyle w:val="NoSpacing"/>
        <w:numPr>
          <w:ilvl w:val="0"/>
          <w:numId w:val="7"/>
        </w:numPr>
        <w:rPr>
          <w:b/>
          <w:bCs/>
        </w:rPr>
      </w:pPr>
      <w:r w:rsidRPr="008C11AF">
        <w:rPr>
          <w:b/>
          <w:bCs/>
        </w:rPr>
        <w:t>How might land use and business changes in the uplands impact rural communities?</w:t>
      </w:r>
    </w:p>
    <w:p w:rsidR="00000000" w:rsidP="00CA2EB4">
      <w:pPr>
        <w:pStyle w:val="NoSpacing"/>
        <w:numPr>
          <w:ilvl w:val="1"/>
          <w:numId w:val="30"/>
        </w:numPr>
      </w:pPr>
      <w:r w:rsidRPr="00333825">
        <w:t xml:space="preserve">While the </w:t>
      </w:r>
      <w:r w:rsidRPr="00333825">
        <w:t xml:space="preserve">direct economic importance of farming may have declined </w:t>
      </w:r>
      <w:r w:rsidRPr="00333825">
        <w:t>nationally, in many upland areas it remains fundamental to land management and</w:t>
      </w:r>
      <w:r w:rsidRPr="00333825">
        <w:t xml:space="preserve"> core to the fabric of local communities</w:t>
      </w:r>
      <w:r>
        <w:t xml:space="preserve"> which is likely to be impacted by policy changes and market dynamics</w:t>
      </w:r>
      <w:r w:rsidRPr="00333825">
        <w:t xml:space="preserve">. The anticipated changes in farm businesses can be expected to have </w:t>
      </w:r>
      <w:r w:rsidRPr="00333825">
        <w:t>deep impacts downstream in local businesses and communities</w:t>
      </w:r>
      <w:r w:rsidRPr="00333825">
        <w:t xml:space="preserve"> with weaker support for allied industries and businesses that provide services to the sector. Whilst these are unlikely to disappear entirely</w:t>
      </w:r>
      <w:r w:rsidRPr="00333825">
        <w:t>, the changes will contribute to ongoing challenges associated with deep rurality in terms of access to services</w:t>
      </w:r>
      <w:r w:rsidRPr="00333825">
        <w:t xml:space="preserve"> and education as well as rural ageing and depopulation.</w:t>
      </w:r>
      <w:r>
        <w:t xml:space="preserve"> </w:t>
      </w:r>
    </w:p>
    <w:p w:rsidR="00000000" w:rsidP="009D7837">
      <w:pPr>
        <w:pStyle w:val="NoSpacing"/>
        <w:numPr>
          <w:ilvl w:val="1"/>
          <w:numId w:val="30"/>
        </w:numPr>
      </w:pPr>
      <w:r>
        <w:t xml:space="preserve">To some extent the challenges may be abated through achieving a just transition for the uplands where farmers </w:t>
      </w:r>
      <w:r>
        <w:t xml:space="preserve">continue to exercise an active economic role in local communities not just through primary production but also delivering </w:t>
      </w:r>
      <w:r>
        <w:t xml:space="preserve">environmental goods and services as well as diversification which has always had an important role in upland farm incomes. This not only depends on the </w:t>
      </w:r>
      <w:r>
        <w:t>funding via government schemes such as ELM</w:t>
      </w:r>
      <w:r>
        <w:t xml:space="preserve"> but</w:t>
      </w:r>
      <w:r>
        <w:t xml:space="preserve"> also government helping to nurture </w:t>
      </w:r>
      <w:r>
        <w:t>emergent natural capital and carbon markets</w:t>
      </w:r>
      <w:r>
        <w:t xml:space="preserve"> through clear and consistent long-term rules </w:t>
      </w:r>
      <w:r>
        <w:t xml:space="preserve">that </w:t>
      </w:r>
      <w:r>
        <w:t>enable</w:t>
      </w:r>
      <w:r>
        <w:t xml:space="preserve"> all</w:t>
      </w:r>
      <w:r>
        <w:t xml:space="preserve"> farmers, including tenants to participate</w:t>
      </w:r>
      <w:r>
        <w:t xml:space="preserve"> in them</w:t>
      </w:r>
      <w:r>
        <w:t>.</w:t>
      </w:r>
      <w:r>
        <w:t xml:space="preserve"> </w:t>
      </w:r>
    </w:p>
    <w:p w:rsidR="00000000" w:rsidRPr="00B05C3E" w:rsidP="00B05C3E">
      <w:pPr>
        <w:pStyle w:val="NoSpacing"/>
        <w:ind w:left="360"/>
      </w:pPr>
    </w:p>
    <w:p w:rsidR="00000000" w:rsidRPr="004917D8" w:rsidP="00B05C3E">
      <w:pPr>
        <w:pStyle w:val="NoSpacing"/>
        <w:numPr>
          <w:ilvl w:val="0"/>
          <w:numId w:val="7"/>
        </w:numPr>
        <w:rPr>
          <w:b/>
          <w:bCs/>
        </w:rPr>
      </w:pPr>
      <w:r w:rsidRPr="004917D8">
        <w:rPr>
          <w:b/>
          <w:bCs/>
        </w:rPr>
        <w:t>How can government policy ensure that rural communities in upland areas benefit from changes?</w:t>
      </w:r>
    </w:p>
    <w:p w:rsidR="00000000" w:rsidP="009D7837">
      <w:pPr>
        <w:pStyle w:val="NoSpacing"/>
        <w:numPr>
          <w:ilvl w:val="1"/>
          <w:numId w:val="36"/>
        </w:numPr>
      </w:pPr>
      <w:r>
        <w:t>Fundamentally, government policy should make upland protected landscapes priority areas for place-based delivery</w:t>
      </w:r>
      <w:r>
        <w:t xml:space="preserve">. As highlighted, National Park management plans already provide </w:t>
      </w:r>
      <w:r>
        <w:t>a spatial statutory f</w:t>
      </w:r>
      <w:r>
        <w:t>unction</w:t>
      </w:r>
      <w:r>
        <w:t xml:space="preserve"> to </w:t>
      </w:r>
      <w:r>
        <w:t>co-create</w:t>
      </w:r>
      <w:r>
        <w:t xml:space="preserve"> </w:t>
      </w:r>
      <w:r>
        <w:t>frameworks that take account of environmental, climate, access and local economies</w:t>
      </w:r>
      <w:r>
        <w:t xml:space="preserve">. They </w:t>
      </w:r>
      <w:r>
        <w:t xml:space="preserve">should inform the delivery of </w:t>
      </w:r>
      <w:r>
        <w:t>public policy like</w:t>
      </w:r>
      <w:r>
        <w:t xml:space="preserve"> ELM in a </w:t>
      </w:r>
      <w:r>
        <w:t xml:space="preserve">locally </w:t>
      </w:r>
      <w:r>
        <w:t>tailored way. As things stand, the delivery of government policy is largely decoupled from these plans in spite of the requirement on relevant authorities to seek to further the statutory purposes of National Parks.</w:t>
      </w:r>
      <w:r>
        <w:t xml:space="preserve"> Emerging evidence from the OEP into protected landscape points to the disconnect</w:t>
      </w:r>
      <w:r>
        <w:t xml:space="preserve"> in policy </w:t>
      </w:r>
      <w:r>
        <w:t>between spatial tools like the Land</w:t>
      </w:r>
      <w:r>
        <w:t xml:space="preserve"> U</w:t>
      </w:r>
      <w:r>
        <w:t>se Framework and policy incentives such as ELM.</w:t>
      </w:r>
      <w:r>
        <w:t xml:space="preserve"> </w:t>
      </w:r>
    </w:p>
    <w:p w:rsidR="00000000" w:rsidP="009D7837">
      <w:pPr>
        <w:pStyle w:val="NoSpacing"/>
        <w:numPr>
          <w:ilvl w:val="1"/>
          <w:numId w:val="36"/>
        </w:numPr>
      </w:pPr>
      <w:r>
        <w:t xml:space="preserve">The place-based approach to local policy development and delivery </w:t>
      </w:r>
      <w:r>
        <w:t>needs to be matched with long-term certainty around funding and scheme availability to provide confidence and predictability to farmers</w:t>
      </w:r>
      <w:r>
        <w:t xml:space="preserve">. </w:t>
      </w:r>
    </w:p>
    <w:p w:rsidR="00000000" w:rsidP="009D7837">
      <w:pPr>
        <w:pStyle w:val="NoSpacing"/>
        <w:numPr>
          <w:ilvl w:val="1"/>
          <w:numId w:val="36"/>
        </w:numPr>
      </w:pPr>
      <w:r>
        <w:t xml:space="preserve">The recent independent review into the challenges faced by upland farmers and communities by Dr Hilary Cottam offers a very thoughtful exploration of </w:t>
      </w:r>
      <w:r>
        <w:t>many of the issues highlighted by this question.</w:t>
      </w:r>
      <w:r>
        <w:t xml:space="preserve"> Fundamentally, the report </w:t>
      </w:r>
      <w:r>
        <w:t>emphasises</w:t>
      </w:r>
      <w:r>
        <w:t xml:space="preserve"> the ne</w:t>
      </w:r>
      <w:r>
        <w:t xml:space="preserve">ed to shift the paradigm towards bottom-up, community-led and place-based change rather </w:t>
      </w:r>
      <w:r w:rsidRPr="00506B01">
        <w:t>th</w:t>
      </w:r>
      <w:r w:rsidRPr="00506B01">
        <w:t xml:space="preserve">an a </w:t>
      </w:r>
      <w:r w:rsidRPr="00506B01">
        <w:t>top-down</w:t>
      </w:r>
      <w:r w:rsidRPr="00506B01">
        <w:t xml:space="preserve"> approach.</w:t>
      </w:r>
      <w:r w:rsidRPr="00506B01">
        <w:t xml:space="preserve"> </w:t>
      </w:r>
      <w:r>
        <w:t>I</w:t>
      </w:r>
      <w:r w:rsidRPr="00506B01">
        <w:t xml:space="preserve">t is vital that learning feeds quickly into national policy. The priorities it identifies are clear: stable long-term </w:t>
      </w:r>
      <w:r w:rsidRPr="00506B01">
        <w:t xml:space="preserve">support for uplands; </w:t>
      </w:r>
      <w:r>
        <w:t xml:space="preserve">building upon </w:t>
      </w:r>
      <w:r w:rsidRPr="00506B01">
        <w:t>successful programmes such as FiPL; clearer direction and continuity within ELM; stronger advisory support; addressing the challenges between landlords and tenant farmers; investment in skills and workforce development; support for diversification and resilient local food supply chains; and stronger recognition of cultural heritage within the E</w:t>
      </w:r>
      <w:r>
        <w:t>IP</w:t>
      </w:r>
      <w:r>
        <w:t>.</w:t>
      </w:r>
    </w:p>
    <w:p w:rsidR="00000000" w:rsidRPr="008D3AB0" w:rsidP="00D61B6B">
      <w:pPr>
        <w:pStyle w:val="NoSpacing"/>
        <w:ind w:left="360"/>
      </w:pPr>
      <w:r>
        <w:t>June 2026</w:t>
      </w:r>
    </w:p>
    <w:sectPr w:rsidSect="009D7837">
      <w:footerReference w:type="even" r:id="rId8"/>
      <w:footerReference w:type="default" r:id="rId9"/>
      <w:pgSz w:w="11906" w:h="16838"/>
      <w:pgMar w:top="1418" w:right="1418" w:bottom="851" w:left="1418" w:header="624" w:footer="454"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re Franklin">
    <w:altName w:val="Calibri"/>
    <w:charset w:val="00"/>
    <w:family w:val="auto"/>
    <w:pitch w:val="variable"/>
    <w:sig w:usb0="A00000FF" w:usb1="4000205B" w:usb2="00000000" w:usb3="00000000" w:csb0="00000193" w:csb1="00000000"/>
  </w:font>
  <w:font w:name="Calibri">
    <w:panose1 w:val="020F0502020204030204"/>
    <w:charset w:val="00"/>
    <w:family w:val="swiss"/>
    <w:pitch w:val="variable"/>
    <w:sig w:usb0="E4002EFF" w:usb1="C200247B" w:usb2="00000009" w:usb3="00000000" w:csb0="000001FF" w:csb1="00000000"/>
  </w:font>
  <w:font w:name="Libre Franklin Medium">
    <w:altName w:val="Calibri"/>
    <w:charset w:val="00"/>
    <w:family w:val="auto"/>
    <w:pitch w:val="variable"/>
    <w:sig w:usb0="A00000FF" w:usb1="4000205B" w:usb2="00000000" w:usb3="00000000" w:csb0="000001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rStyle w:val="PageNumber"/>
      </w:rPr>
      <w:id w:val="303436165"/>
      <w:docPartObj>
        <w:docPartGallery w:val="Page Numbers (Bottom of Page)"/>
        <w:docPartUnique/>
      </w:docPartObj>
    </w:sdtPr>
    <w:sdtContent>
      <w:p w:rsidR="00000000" w:rsidP="00A942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rsidR="00000000" w:rsidP="0074002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00000" w:rsidP="008137C9">
    <w:pPr>
      <w:pStyle w:val="Footer"/>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3BA2E63"/>
    <w:multiLevelType w:val="multilevel"/>
    <w:tmpl w:val="38E87EB6"/>
    <w:lvl w:ilvl="0">
      <w:start w:val="3"/>
      <w:numFmt w:val="decimal"/>
      <w:lvlText w:val="%1."/>
      <w:lvlJc w:val="left"/>
      <w:pPr>
        <w:ind w:left="360" w:hanging="360"/>
      </w:pPr>
      <w:rPr>
        <w:rFonts w:hint="default"/>
      </w:rPr>
    </w:lvl>
    <w:lvl w:ilvl="1">
      <w:start w:val="7"/>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6A47E89"/>
    <w:multiLevelType w:val="multilevel"/>
    <w:tmpl w:val="0809001F"/>
    <w:styleLink w:val="Style13"/>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9C60FA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5D0067E"/>
    <w:multiLevelType w:val="multilevel"/>
    <w:tmpl w:val="67160DDA"/>
    <w:styleLink w:val="Style6"/>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A6C536F"/>
    <w:multiLevelType w:val="multilevel"/>
    <w:tmpl w:val="0809001D"/>
    <w:styleLink w:val="Style9"/>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B5C5DB5"/>
    <w:multiLevelType w:val="multilevel"/>
    <w:tmpl w:val="38E87EB6"/>
    <w:styleLink w:val="Style5"/>
    <w:lvl w:ilvl="0">
      <w:start w:val="4"/>
      <w:numFmt w:val="decimal"/>
      <w:lvlText w:val="%1."/>
      <w:lvlJc w:val="left"/>
      <w:pPr>
        <w:ind w:left="360" w:hanging="360"/>
      </w:pPr>
      <w:rPr>
        <w:rFonts w:hint="default"/>
      </w:rPr>
    </w:lvl>
    <w:lvl w:ilvl="1">
      <w:start w:val="7"/>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E444174"/>
    <w:multiLevelType w:val="multilevel"/>
    <w:tmpl w:val="23A4A224"/>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FB479C3"/>
    <w:multiLevelType w:val="multilevel"/>
    <w:tmpl w:val="0809001D"/>
    <w:styleLink w:val="Style11"/>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3367D8B"/>
    <w:multiLevelType w:val="multilevel"/>
    <w:tmpl w:val="0809001F"/>
    <w:numStyleLink w:val="Style10"/>
  </w:abstractNum>
  <w:abstractNum w:abstractNumId="9">
    <w:nsid w:val="24D71739"/>
    <w:multiLevelType w:val="hybridMultilevel"/>
    <w:tmpl w:val="4F8E7C3E"/>
    <w:lvl w:ilvl="0">
      <w:start w:val="1"/>
      <w:numFmt w:val="lowerLetter"/>
      <w:pStyle w:val="abAlphabeticalList"/>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25D75AD8"/>
    <w:multiLevelType w:val="multilevel"/>
    <w:tmpl w:val="67160DDA"/>
    <w:numStyleLink w:val="Style6"/>
  </w:abstractNum>
  <w:abstractNum w:abstractNumId="11">
    <w:nsid w:val="27132AEE"/>
    <w:multiLevelType w:val="hybridMultilevel"/>
    <w:tmpl w:val="A71A1E5C"/>
    <w:lvl w:ilvl="0">
      <w:start w:val="1"/>
      <w:numFmt w:val="bullet"/>
      <w:pStyle w:val="BulletPoints"/>
      <w:lvlText w:val=""/>
      <w:lvlJc w:val="left"/>
      <w:pPr>
        <w:ind w:left="644" w:hanging="360"/>
      </w:pPr>
      <w:rPr>
        <w:rFonts w:ascii="Symbol" w:hAnsi="Symbol" w:hint="default"/>
      </w:rPr>
    </w:lvl>
    <w:lvl w:ilvl="1" w:tentative="1">
      <w:start w:val="1"/>
      <w:numFmt w:val="bullet"/>
      <w:lvlText w:val="o"/>
      <w:lvlJc w:val="left"/>
      <w:pPr>
        <w:ind w:left="1364" w:hanging="360"/>
      </w:pPr>
      <w:rPr>
        <w:rFonts w:ascii="Courier New" w:hAnsi="Courier New" w:cs="Courier New" w:hint="default"/>
      </w:rPr>
    </w:lvl>
    <w:lvl w:ilvl="2" w:tentative="1">
      <w:start w:val="1"/>
      <w:numFmt w:val="bullet"/>
      <w:lvlText w:val=""/>
      <w:lvlJc w:val="left"/>
      <w:pPr>
        <w:ind w:left="2084" w:hanging="360"/>
      </w:pPr>
      <w:rPr>
        <w:rFonts w:ascii="Wingdings" w:hAnsi="Wingdings" w:hint="default"/>
      </w:rPr>
    </w:lvl>
    <w:lvl w:ilvl="3" w:tentative="1">
      <w:start w:val="1"/>
      <w:numFmt w:val="bullet"/>
      <w:lvlText w:val=""/>
      <w:lvlJc w:val="left"/>
      <w:pPr>
        <w:ind w:left="2804" w:hanging="360"/>
      </w:pPr>
      <w:rPr>
        <w:rFonts w:ascii="Symbol" w:hAnsi="Symbol" w:hint="default"/>
      </w:rPr>
    </w:lvl>
    <w:lvl w:ilvl="4" w:tentative="1">
      <w:start w:val="1"/>
      <w:numFmt w:val="bullet"/>
      <w:lvlText w:val="o"/>
      <w:lvlJc w:val="left"/>
      <w:pPr>
        <w:ind w:left="3524" w:hanging="360"/>
      </w:pPr>
      <w:rPr>
        <w:rFonts w:ascii="Courier New" w:hAnsi="Courier New" w:cs="Courier New" w:hint="default"/>
      </w:rPr>
    </w:lvl>
    <w:lvl w:ilvl="5" w:tentative="1">
      <w:start w:val="1"/>
      <w:numFmt w:val="bullet"/>
      <w:lvlText w:val=""/>
      <w:lvlJc w:val="left"/>
      <w:pPr>
        <w:ind w:left="4244" w:hanging="360"/>
      </w:pPr>
      <w:rPr>
        <w:rFonts w:ascii="Wingdings" w:hAnsi="Wingdings" w:hint="default"/>
      </w:rPr>
    </w:lvl>
    <w:lvl w:ilvl="6" w:tentative="1">
      <w:start w:val="1"/>
      <w:numFmt w:val="bullet"/>
      <w:lvlText w:val=""/>
      <w:lvlJc w:val="left"/>
      <w:pPr>
        <w:ind w:left="4964" w:hanging="360"/>
      </w:pPr>
      <w:rPr>
        <w:rFonts w:ascii="Symbol" w:hAnsi="Symbol" w:hint="default"/>
      </w:rPr>
    </w:lvl>
    <w:lvl w:ilvl="7" w:tentative="1">
      <w:start w:val="1"/>
      <w:numFmt w:val="bullet"/>
      <w:lvlText w:val="o"/>
      <w:lvlJc w:val="left"/>
      <w:pPr>
        <w:ind w:left="5684" w:hanging="360"/>
      </w:pPr>
      <w:rPr>
        <w:rFonts w:ascii="Courier New" w:hAnsi="Courier New" w:cs="Courier New" w:hint="default"/>
      </w:rPr>
    </w:lvl>
    <w:lvl w:ilvl="8" w:tentative="1">
      <w:start w:val="1"/>
      <w:numFmt w:val="bullet"/>
      <w:lvlText w:val=""/>
      <w:lvlJc w:val="left"/>
      <w:pPr>
        <w:ind w:left="6404" w:hanging="360"/>
      </w:pPr>
      <w:rPr>
        <w:rFonts w:ascii="Wingdings" w:hAnsi="Wingdings" w:hint="default"/>
      </w:rPr>
    </w:lvl>
  </w:abstractNum>
  <w:abstractNum w:abstractNumId="12">
    <w:nsid w:val="2CCD7C7B"/>
    <w:multiLevelType w:val="hybridMultilevel"/>
    <w:tmpl w:val="EB5CD212"/>
    <w:lvl w:ilvl="0">
      <w:start w:val="1"/>
      <w:numFmt w:val="decimal"/>
      <w:pStyle w:val="Numberedlist"/>
      <w:lvlText w:val="%1."/>
      <w:lvlJc w:val="left"/>
      <w:pPr>
        <w:ind w:left="1069"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2FAB6B71"/>
    <w:multiLevelType w:val="multilevel"/>
    <w:tmpl w:val="0809001F"/>
    <w:numStyleLink w:val="Style8"/>
  </w:abstractNum>
  <w:abstractNum w:abstractNumId="14">
    <w:nsid w:val="315C562A"/>
    <w:multiLevelType w:val="hybridMultilevel"/>
    <w:tmpl w:val="258A7ED8"/>
    <w:lvl w:ilvl="0">
      <w:start w:val="0"/>
      <w:numFmt w:val="bullet"/>
      <w:lvlText w:val="-"/>
      <w:lvlJc w:val="left"/>
      <w:pPr>
        <w:ind w:left="720" w:hanging="360"/>
      </w:pPr>
      <w:rPr>
        <w:rFonts w:ascii="Libre Franklin" w:hAnsi="Libre Franklin" w:eastAsiaTheme="minorHAnsi" w:cstheme="minorBidi"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387B7DC1"/>
    <w:multiLevelType w:val="multilevel"/>
    <w:tmpl w:val="67160DDA"/>
    <w:numStyleLink w:val="Style6"/>
  </w:abstractNum>
  <w:abstractNum w:abstractNumId="16">
    <w:nsid w:val="3AF76262"/>
    <w:multiLevelType w:val="multilevel"/>
    <w:tmpl w:val="23A4A224"/>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0E84F8D"/>
    <w:multiLevelType w:val="multilevel"/>
    <w:tmpl w:val="0809001F"/>
    <w:numStyleLink w:val="Style2"/>
  </w:abstractNum>
  <w:abstractNum w:abstractNumId="18">
    <w:nsid w:val="45BE3F1C"/>
    <w:multiLevelType w:val="multilevel"/>
    <w:tmpl w:val="0809001F"/>
    <w:numStyleLink w:val="Style2"/>
  </w:abstractNum>
  <w:abstractNum w:abstractNumId="19">
    <w:nsid w:val="464F0967"/>
    <w:multiLevelType w:val="hybridMultilevel"/>
    <w:tmpl w:val="BD2E0A4C"/>
    <w:lvl w:ilvl="0">
      <w:start w:val="1"/>
      <w:numFmt w:val="lowerRoman"/>
      <w:pStyle w:val="iiiRomannumberallist"/>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48F3628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C5E7588"/>
    <w:multiLevelType w:val="multilevel"/>
    <w:tmpl w:val="0809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5FC6E18"/>
    <w:multiLevelType w:val="multilevel"/>
    <w:tmpl w:val="38E87EB6"/>
    <w:numStyleLink w:val="Style5"/>
  </w:abstractNum>
  <w:abstractNum w:abstractNumId="23">
    <w:nsid w:val="58A57AD0"/>
    <w:multiLevelType w:val="multilevel"/>
    <w:tmpl w:val="097E9B72"/>
    <w:styleLink w:val="Style4"/>
    <w:lvl w:ilvl="0">
      <w:start w:val="3"/>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59556B55"/>
    <w:multiLevelType w:val="multilevel"/>
    <w:tmpl w:val="0809001F"/>
    <w:numStyleLink w:val="Style13"/>
  </w:abstractNum>
  <w:abstractNum w:abstractNumId="25">
    <w:nsid w:val="675B5EF9"/>
    <w:multiLevelType w:val="multilevel"/>
    <w:tmpl w:val="60C61FF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nsid w:val="6A1B5DC4"/>
    <w:multiLevelType w:val="multilevel"/>
    <w:tmpl w:val="0809001F"/>
    <w:styleLink w:val="Style8"/>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FE87357"/>
    <w:multiLevelType w:val="hybridMultilevel"/>
    <w:tmpl w:val="7BE81390"/>
    <w:lvl w:ilvl="0">
      <w:start w:val="0"/>
      <w:numFmt w:val="bullet"/>
      <w:pStyle w:val="Bulletpointalternative"/>
      <w:lvlText w:val="-"/>
      <w:lvlJc w:val="left"/>
      <w:pPr>
        <w:ind w:left="720" w:hanging="360"/>
      </w:pPr>
      <w:rPr>
        <w:rFonts w:ascii="Libre Franklin Medium" w:hAnsi="Libre Franklin Medium" w:eastAsiaTheme="minorHAnsi" w:cstheme="minorBid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8">
    <w:nsid w:val="71330CE3"/>
    <w:multiLevelType w:val="hybridMultilevel"/>
    <w:tmpl w:val="682CDCBE"/>
    <w:lvl w:ilvl="0">
      <w:start w:val="1"/>
      <w:numFmt w:val="bullet"/>
      <w:pStyle w:val="Bulletpoint0"/>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9">
    <w:nsid w:val="71C71D06"/>
    <w:multiLevelType w:val="multilevel"/>
    <w:tmpl w:val="0809001F"/>
    <w:numStyleLink w:val="Style10"/>
  </w:abstractNum>
  <w:abstractNum w:abstractNumId="30">
    <w:nsid w:val="71EC469A"/>
    <w:multiLevelType w:val="multilevel"/>
    <w:tmpl w:val="0809001D"/>
    <w:styleLink w:val="Style7"/>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72AD2AAD"/>
    <w:multiLevelType w:val="multilevel"/>
    <w:tmpl w:val="0809001F"/>
    <w:styleLink w:val="Style10"/>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74471292"/>
    <w:multiLevelType w:val="multilevel"/>
    <w:tmpl w:val="0809001F"/>
    <w:numStyleLink w:val="Style2"/>
  </w:abstractNum>
  <w:abstractNum w:abstractNumId="33">
    <w:nsid w:val="74F82635"/>
    <w:multiLevelType w:val="multilevel"/>
    <w:tmpl w:val="0809001D"/>
    <w:styleLink w:val="Style3"/>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760D2C2B"/>
    <w:multiLevelType w:val="multilevel"/>
    <w:tmpl w:val="0809001F"/>
    <w:numStyleLink w:val="Style8"/>
  </w:abstractNum>
  <w:abstractNum w:abstractNumId="35">
    <w:nsid w:val="7AEC7C25"/>
    <w:multiLevelType w:val="multilevel"/>
    <w:tmpl w:val="74148E8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7FDB438F"/>
    <w:multiLevelType w:val="multilevel"/>
    <w:tmpl w:val="0809001D"/>
    <w:styleLink w:val="Style12"/>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12"/>
  </w:num>
  <w:num w:numId="3">
    <w:abstractNumId w:val="28"/>
  </w:num>
  <w:num w:numId="4">
    <w:abstractNumId w:val="27"/>
  </w:num>
  <w:num w:numId="5">
    <w:abstractNumId w:val="9"/>
  </w:num>
  <w:num w:numId="6">
    <w:abstractNumId w:val="19"/>
  </w:num>
  <w:num w:numId="7">
    <w:abstractNumId w:val="25"/>
  </w:num>
  <w:num w:numId="8">
    <w:abstractNumId w:val="14"/>
  </w:num>
  <w:num w:numId="9">
    <w:abstractNumId w:val="20"/>
  </w:num>
  <w:num w:numId="10">
    <w:abstractNumId w:val="17"/>
  </w:num>
  <w:num w:numId="11">
    <w:abstractNumId w:val="21"/>
  </w:num>
  <w:num w:numId="12">
    <w:abstractNumId w:val="18"/>
  </w:num>
  <w:num w:numId="13">
    <w:abstractNumId w:val="33"/>
  </w:num>
  <w:num w:numId="14">
    <w:abstractNumId w:val="2"/>
  </w:num>
  <w:num w:numId="15">
    <w:abstractNumId w:val="16"/>
  </w:num>
  <w:num w:numId="16">
    <w:abstractNumId w:val="23"/>
  </w:num>
  <w:num w:numId="17">
    <w:abstractNumId w:val="35"/>
  </w:num>
  <w:num w:numId="18">
    <w:abstractNumId w:val="6"/>
  </w:num>
  <w:num w:numId="19">
    <w:abstractNumId w:val="0"/>
  </w:num>
  <w:num w:numId="20">
    <w:abstractNumId w:val="5"/>
  </w:num>
  <w:num w:numId="21">
    <w:abstractNumId w:val="22"/>
  </w:num>
  <w:num w:numId="22">
    <w:abstractNumId w:val="10"/>
  </w:num>
  <w:num w:numId="23">
    <w:abstractNumId w:val="3"/>
  </w:num>
  <w:num w:numId="24">
    <w:abstractNumId w:val="15"/>
  </w:num>
  <w:num w:numId="25">
    <w:abstractNumId w:val="30"/>
  </w:num>
  <w:num w:numId="26">
    <w:abstractNumId w:val="13"/>
  </w:num>
  <w:num w:numId="27">
    <w:abstractNumId w:val="26"/>
  </w:num>
  <w:num w:numId="28">
    <w:abstractNumId w:val="34"/>
  </w:num>
  <w:num w:numId="29">
    <w:abstractNumId w:val="4"/>
  </w:num>
  <w:num w:numId="30">
    <w:abstractNumId w:val="8"/>
  </w:num>
  <w:num w:numId="31">
    <w:abstractNumId w:val="31"/>
  </w:num>
  <w:num w:numId="32">
    <w:abstractNumId w:val="29"/>
  </w:num>
  <w:num w:numId="33">
    <w:abstractNumId w:val="7"/>
  </w:num>
  <w:num w:numId="34">
    <w:abstractNumId w:val="32"/>
  </w:num>
  <w:num w:numId="35">
    <w:abstractNumId w:val="36"/>
  </w:num>
  <w:num w:numId="36">
    <w:abstractNumId w:val="24"/>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024"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0"/>
  <w:doNotTrackMov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mathPr>
  <w:themeFontLang w:val="en-GB"/>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4" w:qFormat="1"/>
    <w:lsdException w:name="heading 2" w:semiHidden="1" w:uiPriority="7"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semiHidden="1" w:unhideWhenUsed="1"/>
    <w:lsdException w:name="index heading" w:semiHidden="1" w:unhideWhenUsed="1"/>
    <w:lsdException w:name="caption" w:semiHidden="1" w:uiPriority="17" w:unhideWhenUsed="1" w:qFormat="1"/>
    <w:lsdException w:name="table of figures" w:semiHidden="1" w:unhideWhenUsed="1"/>
    <w:lsdException w:name="envelope address" w:locked="1" w:semiHidden="1" w:unhideWhenUsed="1"/>
    <w:lsdException w:name="envelope return" w:semiHidden="1" w:unhideWhenUsed="1"/>
    <w:lsdException w:name="footnote reference" w:semiHidden="1" w:unhideWhenUsed="1"/>
    <w:lsdException w:name="annotation reference" w:locked="1"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atentStyles>
  <w:style w:type="paragraph" w:default="1" w:styleId="Normal">
    <w:name w:val="Normal"/>
    <w:rsid w:val="0053130B"/>
    <w:pPr>
      <w:spacing w:line="240" w:lineRule="auto"/>
    </w:pPr>
    <w:rPr>
      <w:rFonts w:ascii="Libre Franklin Medium" w:hAnsi="Libre Franklin Medium"/>
    </w:rPr>
  </w:style>
  <w:style w:type="paragraph" w:styleId="Heading1">
    <w:name w:val="heading 1"/>
    <w:basedOn w:val="Normal"/>
    <w:next w:val="Normal"/>
    <w:link w:val="Heading1Char"/>
    <w:uiPriority w:val="4"/>
    <w:qFormat/>
    <w:rsid w:val="008D3AB0"/>
    <w:pPr>
      <w:keepNext/>
      <w:keepLines/>
      <w:spacing w:before="200" w:after="240"/>
      <w:outlineLvl w:val="0"/>
    </w:pPr>
    <w:rPr>
      <w:rFonts w:ascii="Libre Franklin" w:hAnsi="Libre Franklin" w:eastAsiaTheme="majorEastAsia" w:cstheme="majorBidi"/>
      <w:b/>
      <w:color w:val="77002D"/>
      <w:sz w:val="32"/>
      <w:szCs w:val="32"/>
    </w:rPr>
  </w:style>
  <w:style w:type="paragraph" w:styleId="Heading2">
    <w:name w:val="heading 2"/>
    <w:basedOn w:val="Normal"/>
    <w:next w:val="Normal"/>
    <w:link w:val="Heading2Char"/>
    <w:uiPriority w:val="7"/>
    <w:unhideWhenUsed/>
    <w:qFormat/>
    <w:rsid w:val="008D3AB0"/>
    <w:pPr>
      <w:keepNext/>
      <w:keepLines/>
      <w:spacing w:before="200" w:after="240"/>
      <w:outlineLvl w:val="1"/>
    </w:pPr>
    <w:rPr>
      <w:rFonts w:ascii="Libre Franklin" w:hAnsi="Libre Franklin" w:eastAsiaTheme="majorEastAsia" w:cstheme="majorBidi"/>
      <w:b/>
      <w:bCs/>
      <w:color w:val="77002D"/>
      <w:sz w:val="28"/>
      <w:szCs w:val="26"/>
    </w:rPr>
  </w:style>
  <w:style w:type="paragraph" w:styleId="Heading3">
    <w:name w:val="heading 3"/>
    <w:basedOn w:val="Normal"/>
    <w:next w:val="Normal"/>
    <w:link w:val="Heading3Char"/>
    <w:uiPriority w:val="9"/>
    <w:unhideWhenUsed/>
    <w:qFormat/>
    <w:rsid w:val="008D3AB0"/>
    <w:pPr>
      <w:keepNext/>
      <w:keepLines/>
      <w:spacing w:before="200" w:after="240"/>
      <w:outlineLvl w:val="2"/>
    </w:pPr>
    <w:rPr>
      <w:rFonts w:ascii="Libre Franklin" w:hAnsi="Libre Franklin" w:eastAsiaTheme="majorEastAsia" w:cstheme="majorBidi"/>
      <w:b/>
      <w:bCs/>
      <w:color w:val="77002D"/>
    </w:rPr>
  </w:style>
  <w:style w:type="paragraph" w:styleId="Heading4">
    <w:name w:val="heading 4"/>
    <w:basedOn w:val="Normal"/>
    <w:next w:val="Normal"/>
    <w:link w:val="Heading4Char"/>
    <w:uiPriority w:val="9"/>
    <w:unhideWhenUsed/>
    <w:rsid w:val="006E56A6"/>
    <w:pPr>
      <w:keepNext/>
      <w:keepLines/>
      <w:spacing w:before="200" w:after="0"/>
      <w:outlineLvl w:val="3"/>
    </w:pPr>
    <w:rPr>
      <w:rFonts w:eastAsiaTheme="majorEastAsia" w:cstheme="majorBidi"/>
      <w:b/>
      <w:bCs/>
      <w:iCs/>
    </w:rPr>
  </w:style>
  <w:style w:type="paragraph" w:styleId="Heading5">
    <w:name w:val="heading 5"/>
    <w:basedOn w:val="Normal"/>
    <w:next w:val="Normal"/>
    <w:link w:val="Heading5Char"/>
    <w:uiPriority w:val="9"/>
    <w:unhideWhenUsed/>
    <w:rsid w:val="003631DA"/>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05C3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05C3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05C3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05C3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rsid w:val="00BF2F36"/>
    <w:pPr>
      <w:ind w:left="720"/>
      <w:contextualSpacing/>
    </w:pPr>
  </w:style>
  <w:style w:type="paragraph" w:styleId="Header">
    <w:name w:val="header"/>
    <w:basedOn w:val="Normal"/>
    <w:link w:val="HeaderChar"/>
    <w:uiPriority w:val="99"/>
    <w:unhideWhenUsed/>
    <w:rsid w:val="007D27F3"/>
    <w:pPr>
      <w:tabs>
        <w:tab w:val="center" w:pos="4513"/>
        <w:tab w:val="right" w:pos="9026"/>
      </w:tabs>
      <w:spacing w:after="0"/>
    </w:pPr>
  </w:style>
  <w:style w:type="character" w:customStyle="1" w:styleId="HeaderChar">
    <w:name w:val="Header Char"/>
    <w:basedOn w:val="DefaultParagraphFont"/>
    <w:link w:val="Header"/>
    <w:uiPriority w:val="99"/>
    <w:rsid w:val="007D27F3"/>
  </w:style>
  <w:style w:type="paragraph" w:styleId="Footer">
    <w:name w:val="footer"/>
    <w:basedOn w:val="Normal"/>
    <w:link w:val="FooterChar"/>
    <w:uiPriority w:val="99"/>
    <w:unhideWhenUsed/>
    <w:rsid w:val="007D27F3"/>
    <w:pPr>
      <w:tabs>
        <w:tab w:val="center" w:pos="4513"/>
        <w:tab w:val="right" w:pos="9026"/>
      </w:tabs>
      <w:spacing w:after="0"/>
    </w:pPr>
  </w:style>
  <w:style w:type="character" w:customStyle="1" w:styleId="FooterChar">
    <w:name w:val="Footer Char"/>
    <w:basedOn w:val="DefaultParagraphFont"/>
    <w:link w:val="Footer"/>
    <w:uiPriority w:val="99"/>
    <w:rsid w:val="00632C27"/>
    <w:rPr>
      <w:rFonts w:ascii="Libre Franklin Medium" w:hAnsi="Libre Franklin Medium"/>
    </w:rPr>
  </w:style>
  <w:style w:type="paragraph" w:styleId="BalloonText">
    <w:name w:val="Balloon Text"/>
    <w:basedOn w:val="Normal"/>
    <w:link w:val="BalloonTextChar"/>
    <w:uiPriority w:val="99"/>
    <w:semiHidden/>
    <w:unhideWhenUsed/>
    <w:rsid w:val="00127A06"/>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7A06"/>
    <w:rPr>
      <w:rFonts w:ascii="Tahoma" w:hAnsi="Tahoma" w:cs="Tahoma"/>
      <w:sz w:val="16"/>
      <w:szCs w:val="16"/>
    </w:rPr>
  </w:style>
  <w:style w:type="character" w:styleId="CommentReference">
    <w:name w:val="annotation reference"/>
    <w:basedOn w:val="DefaultParagraphFont"/>
    <w:uiPriority w:val="99"/>
    <w:semiHidden/>
    <w:unhideWhenUsed/>
    <w:locked/>
    <w:rsid w:val="004B0F15"/>
    <w:rPr>
      <w:sz w:val="16"/>
      <w:szCs w:val="16"/>
    </w:rPr>
  </w:style>
  <w:style w:type="paragraph" w:styleId="CommentText">
    <w:name w:val="annotation text"/>
    <w:basedOn w:val="Normal"/>
    <w:link w:val="CommentTextChar"/>
    <w:uiPriority w:val="99"/>
    <w:unhideWhenUsed/>
    <w:locked/>
    <w:rsid w:val="004B0F15"/>
    <w:rPr>
      <w:sz w:val="20"/>
      <w:szCs w:val="20"/>
    </w:rPr>
  </w:style>
  <w:style w:type="character" w:customStyle="1" w:styleId="CommentTextChar">
    <w:name w:val="Comment Text Char"/>
    <w:basedOn w:val="DefaultParagraphFont"/>
    <w:link w:val="CommentText"/>
    <w:uiPriority w:val="99"/>
    <w:rsid w:val="004B0F15"/>
    <w:rPr>
      <w:sz w:val="20"/>
      <w:szCs w:val="20"/>
    </w:rPr>
  </w:style>
  <w:style w:type="paragraph" w:styleId="CommentSubject">
    <w:name w:val="annotation subject"/>
    <w:basedOn w:val="CommentText"/>
    <w:next w:val="CommentText"/>
    <w:link w:val="CommentSubjectChar"/>
    <w:uiPriority w:val="99"/>
    <w:semiHidden/>
    <w:unhideWhenUsed/>
    <w:rsid w:val="004B0F15"/>
    <w:rPr>
      <w:b/>
      <w:bCs/>
    </w:rPr>
  </w:style>
  <w:style w:type="character" w:customStyle="1" w:styleId="CommentSubjectChar">
    <w:name w:val="Comment Subject Char"/>
    <w:basedOn w:val="CommentTextChar"/>
    <w:link w:val="CommentSubject"/>
    <w:uiPriority w:val="99"/>
    <w:semiHidden/>
    <w:rsid w:val="004B0F15"/>
    <w:rPr>
      <w:b/>
      <w:bCs/>
      <w:sz w:val="20"/>
      <w:szCs w:val="20"/>
    </w:rPr>
  </w:style>
  <w:style w:type="paragraph" w:styleId="FootnoteText">
    <w:name w:val="footnote text"/>
    <w:basedOn w:val="Normal"/>
    <w:link w:val="FootnoteTextChar"/>
    <w:uiPriority w:val="99"/>
    <w:semiHidden/>
    <w:unhideWhenUsed/>
    <w:rsid w:val="00473624"/>
    <w:pPr>
      <w:spacing w:after="0"/>
    </w:pPr>
    <w:rPr>
      <w:sz w:val="20"/>
      <w:szCs w:val="20"/>
    </w:rPr>
  </w:style>
  <w:style w:type="character" w:customStyle="1" w:styleId="FootnoteTextChar">
    <w:name w:val="Footnote Text Char"/>
    <w:basedOn w:val="DefaultParagraphFont"/>
    <w:link w:val="FootnoteText"/>
    <w:uiPriority w:val="99"/>
    <w:semiHidden/>
    <w:rsid w:val="00473624"/>
    <w:rPr>
      <w:sz w:val="20"/>
      <w:szCs w:val="20"/>
    </w:rPr>
  </w:style>
  <w:style w:type="character" w:styleId="FootnoteReference">
    <w:name w:val="footnote reference"/>
    <w:basedOn w:val="DefaultParagraphFont"/>
    <w:uiPriority w:val="99"/>
    <w:semiHidden/>
    <w:unhideWhenUsed/>
    <w:rsid w:val="00473624"/>
    <w:rPr>
      <w:vertAlign w:val="superscript"/>
    </w:rPr>
  </w:style>
  <w:style w:type="character" w:styleId="Hyperlink">
    <w:name w:val="Hyperlink"/>
    <w:basedOn w:val="DefaultParagraphFont"/>
    <w:uiPriority w:val="99"/>
    <w:unhideWhenUsed/>
    <w:rsid w:val="00E506EA"/>
    <w:rPr>
      <w:rFonts w:ascii="Libre Franklin" w:hAnsi="Libre Franklin"/>
      <w:color w:val="auto"/>
      <w:sz w:val="22"/>
      <w:u w:val="single"/>
    </w:rPr>
  </w:style>
  <w:style w:type="table" w:styleId="TableGrid">
    <w:name w:val="Table Grid"/>
    <w:basedOn w:val="TableNormal"/>
    <w:uiPriority w:val="59"/>
    <w:unhideWhenUsed/>
    <w:rsid w:val="008F74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4"/>
    <w:rsid w:val="008D3AB0"/>
    <w:rPr>
      <w:rFonts w:ascii="Libre Franklin" w:hAnsi="Libre Franklin" w:eastAsiaTheme="majorEastAsia" w:cstheme="majorBidi"/>
      <w:b/>
      <w:color w:val="77002D"/>
      <w:sz w:val="32"/>
      <w:szCs w:val="32"/>
    </w:rPr>
  </w:style>
  <w:style w:type="paragraph" w:styleId="TOCHeading">
    <w:name w:val="TOC Heading"/>
    <w:basedOn w:val="Heading1"/>
    <w:next w:val="Normal"/>
    <w:uiPriority w:val="39"/>
    <w:unhideWhenUsed/>
    <w:rsid w:val="00082398"/>
    <w:pPr>
      <w:spacing w:line="259" w:lineRule="auto"/>
      <w:outlineLvl w:val="9"/>
    </w:pPr>
    <w:rPr>
      <w:lang w:val="en-US"/>
    </w:rPr>
  </w:style>
  <w:style w:type="paragraph" w:styleId="TOC1">
    <w:name w:val="toc 1"/>
    <w:basedOn w:val="Normal"/>
    <w:next w:val="Normal"/>
    <w:autoRedefine/>
    <w:uiPriority w:val="39"/>
    <w:unhideWhenUsed/>
    <w:rsid w:val="00082398"/>
    <w:pPr>
      <w:spacing w:after="100"/>
    </w:pPr>
  </w:style>
  <w:style w:type="paragraph" w:styleId="Revision">
    <w:name w:val="Revision"/>
    <w:hidden/>
    <w:uiPriority w:val="99"/>
    <w:semiHidden/>
    <w:rsid w:val="00C25021"/>
    <w:pPr>
      <w:spacing w:after="0" w:line="240" w:lineRule="auto"/>
    </w:pPr>
  </w:style>
  <w:style w:type="character" w:customStyle="1" w:styleId="Heading2Char">
    <w:name w:val="Heading 2 Char"/>
    <w:basedOn w:val="DefaultParagraphFont"/>
    <w:link w:val="Heading2"/>
    <w:uiPriority w:val="7"/>
    <w:rsid w:val="008D3AB0"/>
    <w:rPr>
      <w:rFonts w:ascii="Libre Franklin" w:hAnsi="Libre Franklin" w:eastAsiaTheme="majorEastAsia" w:cstheme="majorBidi"/>
      <w:b/>
      <w:bCs/>
      <w:color w:val="77002D"/>
      <w:sz w:val="28"/>
      <w:szCs w:val="26"/>
    </w:rPr>
  </w:style>
  <w:style w:type="character" w:customStyle="1" w:styleId="Heading3Char">
    <w:name w:val="Heading 3 Char"/>
    <w:basedOn w:val="DefaultParagraphFont"/>
    <w:link w:val="Heading3"/>
    <w:uiPriority w:val="9"/>
    <w:rsid w:val="008D3AB0"/>
    <w:rPr>
      <w:rFonts w:ascii="Libre Franklin" w:hAnsi="Libre Franklin" w:eastAsiaTheme="majorEastAsia" w:cstheme="majorBidi"/>
      <w:b/>
      <w:bCs/>
      <w:color w:val="77002D"/>
    </w:rPr>
  </w:style>
  <w:style w:type="paragraph" w:styleId="Caption">
    <w:name w:val="caption"/>
    <w:basedOn w:val="Normal"/>
    <w:next w:val="Normal"/>
    <w:link w:val="CaptionChar"/>
    <w:uiPriority w:val="99"/>
    <w:qFormat/>
    <w:rsid w:val="008D3AB0"/>
    <w:rPr>
      <w:rFonts w:ascii="Libre Franklin" w:hAnsi="Libre Franklin"/>
      <w:bCs/>
      <w:color w:val="000000" w:themeColor="text1"/>
      <w:szCs w:val="18"/>
    </w:rPr>
  </w:style>
  <w:style w:type="paragraph" w:styleId="TOC3">
    <w:name w:val="toc 3"/>
    <w:basedOn w:val="Normal"/>
    <w:next w:val="Normal"/>
    <w:autoRedefine/>
    <w:uiPriority w:val="39"/>
    <w:unhideWhenUsed/>
    <w:rsid w:val="00DF21CF"/>
    <w:pPr>
      <w:spacing w:after="100"/>
      <w:ind w:left="440"/>
    </w:pPr>
  </w:style>
  <w:style w:type="paragraph" w:styleId="TOC2">
    <w:name w:val="toc 2"/>
    <w:basedOn w:val="Normal"/>
    <w:next w:val="Normal"/>
    <w:autoRedefine/>
    <w:uiPriority w:val="39"/>
    <w:unhideWhenUsed/>
    <w:rsid w:val="00DF21CF"/>
    <w:pPr>
      <w:spacing w:after="100"/>
      <w:ind w:left="220"/>
    </w:pPr>
  </w:style>
  <w:style w:type="character" w:customStyle="1" w:styleId="Heading4Char">
    <w:name w:val="Heading 4 Char"/>
    <w:basedOn w:val="DefaultParagraphFont"/>
    <w:link w:val="Heading4"/>
    <w:uiPriority w:val="9"/>
    <w:rsid w:val="006E56A6"/>
    <w:rPr>
      <w:rFonts w:ascii="Libre Franklin" w:hAnsi="Libre Franklin" w:eastAsiaTheme="majorEastAsia" w:cstheme="majorBidi"/>
      <w:b/>
      <w:bCs/>
      <w:iCs/>
    </w:rPr>
  </w:style>
  <w:style w:type="character" w:styleId="SubtleReference">
    <w:name w:val="Subtle Reference"/>
    <w:aliases w:val="Reference"/>
    <w:basedOn w:val="DefaultParagraphFont"/>
    <w:uiPriority w:val="31"/>
    <w:rsid w:val="00C04A4F"/>
    <w:rPr>
      <w:rFonts w:ascii="Libre Franklin" w:hAnsi="Libre Franklin"/>
      <w:smallCaps/>
      <w:color w:val="000000" w:themeColor="text1"/>
      <w:sz w:val="20"/>
      <w:u w:val="single"/>
    </w:rPr>
  </w:style>
  <w:style w:type="paragraph" w:styleId="Title">
    <w:name w:val="Title"/>
    <w:aliases w:val="Title 1"/>
    <w:basedOn w:val="Heading1"/>
    <w:next w:val="Normal"/>
    <w:link w:val="TitleChar"/>
    <w:uiPriority w:val="9"/>
    <w:qFormat/>
    <w:rsid w:val="00F9467B"/>
    <w:pPr>
      <w:spacing w:after="300"/>
      <w:contextualSpacing/>
    </w:pPr>
    <w:rPr>
      <w:b w:val="0"/>
      <w:color w:val="000000" w:themeColor="text1"/>
      <w:spacing w:val="5"/>
      <w:kern w:val="28"/>
      <w:sz w:val="52"/>
      <w:szCs w:val="52"/>
    </w:rPr>
  </w:style>
  <w:style w:type="character" w:customStyle="1" w:styleId="TitleChar">
    <w:name w:val="Title Char"/>
    <w:aliases w:val="Title 1 Char"/>
    <w:basedOn w:val="DefaultParagraphFont"/>
    <w:link w:val="Title"/>
    <w:uiPriority w:val="9"/>
    <w:rsid w:val="00F9467B"/>
    <w:rPr>
      <w:rFonts w:ascii="Libre Franklin Medium" w:hAnsi="Libre Franklin Medium" w:eastAsiaTheme="majorEastAsia" w:cstheme="majorBidi"/>
      <w:color w:val="000000" w:themeColor="text1"/>
      <w:spacing w:val="5"/>
      <w:kern w:val="28"/>
      <w:sz w:val="52"/>
      <w:szCs w:val="52"/>
    </w:rPr>
  </w:style>
  <w:style w:type="paragraph" w:styleId="NoSpacing">
    <w:name w:val="No Spacing"/>
    <w:aliases w:val="Normal 1.15 spacing"/>
    <w:link w:val="NoSpacingChar"/>
    <w:uiPriority w:val="1"/>
    <w:qFormat/>
    <w:rsid w:val="008D3AB0"/>
    <w:rPr>
      <w:rFonts w:ascii="Libre Franklin" w:hAnsi="Libre Franklin"/>
    </w:rPr>
  </w:style>
  <w:style w:type="paragraph" w:styleId="Subtitle">
    <w:name w:val="Subtitle"/>
    <w:aliases w:val="Title 2 Dusk"/>
    <w:basedOn w:val="Normal"/>
    <w:next w:val="Normal"/>
    <w:link w:val="SubtitleChar"/>
    <w:uiPriority w:val="11"/>
    <w:qFormat/>
    <w:rsid w:val="008D3AB0"/>
    <w:pPr>
      <w:numPr>
        <w:ilvl w:val="1"/>
      </w:numPr>
    </w:pPr>
    <w:rPr>
      <w:rFonts w:ascii="Libre Franklin" w:hAnsi="Libre Franklin" w:eastAsiaTheme="majorEastAsia" w:cstheme="majorBidi"/>
      <w:iCs/>
      <w:color w:val="77002D"/>
      <w:spacing w:val="15"/>
      <w:sz w:val="52"/>
      <w:szCs w:val="24"/>
    </w:rPr>
  </w:style>
  <w:style w:type="character" w:customStyle="1" w:styleId="SubtitleChar">
    <w:name w:val="Subtitle Char"/>
    <w:aliases w:val="Title 2 Dusk Char"/>
    <w:basedOn w:val="DefaultParagraphFont"/>
    <w:link w:val="Subtitle"/>
    <w:uiPriority w:val="11"/>
    <w:rsid w:val="008D3AB0"/>
    <w:rPr>
      <w:rFonts w:ascii="Libre Franklin" w:hAnsi="Libre Franklin" w:eastAsiaTheme="majorEastAsia" w:cstheme="majorBidi"/>
      <w:iCs/>
      <w:color w:val="77002D"/>
      <w:spacing w:val="15"/>
      <w:sz w:val="52"/>
      <w:szCs w:val="24"/>
    </w:rPr>
  </w:style>
  <w:style w:type="paragraph" w:customStyle="1" w:styleId="Normal15linespacing">
    <w:name w:val="Normal 1.5 line spacing"/>
    <w:basedOn w:val="Normal"/>
    <w:rsid w:val="00632C27"/>
    <w:pPr>
      <w:spacing w:after="120" w:line="360" w:lineRule="auto"/>
    </w:pPr>
    <w:rPr>
      <w:color w:val="000000" w:themeColor="text1"/>
    </w:rPr>
  </w:style>
  <w:style w:type="character" w:customStyle="1" w:styleId="Heading5Char">
    <w:name w:val="Heading 5 Char"/>
    <w:basedOn w:val="DefaultParagraphFont"/>
    <w:link w:val="Heading5"/>
    <w:uiPriority w:val="9"/>
    <w:rsid w:val="003631DA"/>
    <w:rPr>
      <w:rFonts w:asciiTheme="majorHAnsi" w:eastAsiaTheme="majorEastAsia" w:hAnsiTheme="majorHAnsi" w:cstheme="majorBidi"/>
      <w:color w:val="243F60" w:themeColor="accent1" w:themeShade="7F"/>
    </w:rPr>
  </w:style>
  <w:style w:type="character" w:styleId="SubtleEmphasis">
    <w:name w:val="Subtle Emphasis"/>
    <w:basedOn w:val="DefaultParagraphFont"/>
    <w:uiPriority w:val="19"/>
    <w:rsid w:val="00632C27"/>
    <w:rPr>
      <w:i/>
      <w:iCs/>
      <w:color w:val="808080" w:themeColor="text1" w:themeTint="7F"/>
    </w:rPr>
  </w:style>
  <w:style w:type="character" w:styleId="PageNumber">
    <w:name w:val="page number"/>
    <w:basedOn w:val="DefaultParagraphFont"/>
    <w:uiPriority w:val="99"/>
    <w:semiHidden/>
    <w:unhideWhenUsed/>
    <w:rsid w:val="00740021"/>
  </w:style>
  <w:style w:type="paragraph" w:customStyle="1" w:styleId="BulletPoints">
    <w:name w:val="Bullet Points"/>
    <w:basedOn w:val="NoSpacing"/>
    <w:link w:val="BulletPointsChar"/>
    <w:rsid w:val="00C04A4F"/>
    <w:pPr>
      <w:numPr>
        <w:numId w:val="1"/>
      </w:numPr>
      <w:spacing w:after="120" w:line="240" w:lineRule="auto"/>
      <w:ind w:left="641" w:hanging="357"/>
    </w:pPr>
  </w:style>
  <w:style w:type="paragraph" w:customStyle="1" w:styleId="BulletPoint">
    <w:name w:val="Bullet Point"/>
    <w:basedOn w:val="BulletPoints"/>
    <w:link w:val="BulletPointChar"/>
    <w:rsid w:val="00C04A4F"/>
    <w:pPr>
      <w:ind w:left="714"/>
    </w:pPr>
  </w:style>
  <w:style w:type="character" w:customStyle="1" w:styleId="NoSpacingChar">
    <w:name w:val="No Spacing Char"/>
    <w:aliases w:val="Normal 1.15 spacing Char"/>
    <w:basedOn w:val="DefaultParagraphFont"/>
    <w:link w:val="NoSpacing"/>
    <w:uiPriority w:val="1"/>
    <w:rsid w:val="008D3AB0"/>
    <w:rPr>
      <w:rFonts w:ascii="Libre Franklin" w:hAnsi="Libre Franklin"/>
    </w:rPr>
  </w:style>
  <w:style w:type="character" w:customStyle="1" w:styleId="BulletPointsChar">
    <w:name w:val="Bullet Points Char"/>
    <w:basedOn w:val="NoSpacingChar"/>
    <w:link w:val="BulletPoints"/>
    <w:rsid w:val="00C04A4F"/>
    <w:rPr>
      <w:rFonts w:ascii="Libre Franklin" w:hAnsi="Libre Franklin"/>
    </w:rPr>
  </w:style>
  <w:style w:type="paragraph" w:customStyle="1" w:styleId="Style1">
    <w:name w:val="Style1"/>
    <w:basedOn w:val="BulletPoint"/>
    <w:rsid w:val="00C04A4F"/>
    <w:rPr>
      <w:rFonts w:ascii="Symbol" w:hAnsi="Symbol"/>
    </w:rPr>
  </w:style>
  <w:style w:type="character" w:customStyle="1" w:styleId="BulletPointChar">
    <w:name w:val="Bullet Point Char"/>
    <w:basedOn w:val="BulletPointsChar"/>
    <w:link w:val="BulletPoint"/>
    <w:rsid w:val="00C04A4F"/>
    <w:rPr>
      <w:rFonts w:ascii="Libre Franklin" w:hAnsi="Libre Franklin"/>
    </w:rPr>
  </w:style>
  <w:style w:type="paragraph" w:customStyle="1" w:styleId="BulletList">
    <w:name w:val="Bullet List"/>
    <w:basedOn w:val="Style1"/>
    <w:uiPriority w:val="1"/>
    <w:rsid w:val="00C04A4F"/>
  </w:style>
  <w:style w:type="paragraph" w:customStyle="1" w:styleId="Numberedlist">
    <w:name w:val="Numbered list"/>
    <w:basedOn w:val="ListParagraph"/>
    <w:link w:val="NumberedlistChar"/>
    <w:uiPriority w:val="97"/>
    <w:qFormat/>
    <w:rsid w:val="008D3AB0"/>
    <w:pPr>
      <w:numPr>
        <w:numId w:val="2"/>
      </w:numPr>
      <w:tabs>
        <w:tab w:val="left" w:pos="0"/>
      </w:tabs>
      <w:spacing w:after="120" w:line="276" w:lineRule="auto"/>
      <w:ind w:left="357" w:hanging="357"/>
      <w:contextualSpacing w:val="0"/>
    </w:pPr>
    <w:rPr>
      <w:rFonts w:ascii="Libre Franklin" w:hAnsi="Libre Franklin"/>
    </w:rPr>
  </w:style>
  <w:style w:type="character" w:customStyle="1" w:styleId="ListParagraphChar">
    <w:name w:val="List Paragraph Char"/>
    <w:basedOn w:val="DefaultParagraphFont"/>
    <w:link w:val="ListParagraph"/>
    <w:uiPriority w:val="34"/>
    <w:rsid w:val="00A350D7"/>
    <w:rPr>
      <w:rFonts w:ascii="Libre Franklin Medium" w:hAnsi="Libre Franklin Medium"/>
    </w:rPr>
  </w:style>
  <w:style w:type="character" w:customStyle="1" w:styleId="NumberedlistChar">
    <w:name w:val="Numbered list Char"/>
    <w:basedOn w:val="ListParagraphChar"/>
    <w:link w:val="Numberedlist"/>
    <w:uiPriority w:val="97"/>
    <w:rsid w:val="008D3AB0"/>
    <w:rPr>
      <w:rFonts w:ascii="Libre Franklin" w:hAnsi="Libre Franklin"/>
    </w:rPr>
  </w:style>
  <w:style w:type="paragraph" w:styleId="Quote">
    <w:name w:val="Quote"/>
    <w:basedOn w:val="Normal"/>
    <w:next w:val="Normal"/>
    <w:link w:val="QuoteChar"/>
    <w:uiPriority w:val="29"/>
    <w:rsid w:val="008B33B5"/>
    <w:rPr>
      <w:i/>
      <w:iCs/>
      <w:color w:val="000000" w:themeColor="text1"/>
    </w:rPr>
  </w:style>
  <w:style w:type="character" w:customStyle="1" w:styleId="QuoteChar">
    <w:name w:val="Quote Char"/>
    <w:basedOn w:val="DefaultParagraphFont"/>
    <w:link w:val="Quote"/>
    <w:uiPriority w:val="29"/>
    <w:rsid w:val="008B33B5"/>
    <w:rPr>
      <w:rFonts w:ascii="Libre Franklin Medium" w:hAnsi="Libre Franklin Medium"/>
      <w:i/>
      <w:iCs/>
      <w:color w:val="000000" w:themeColor="text1"/>
    </w:rPr>
  </w:style>
  <w:style w:type="paragraph" w:customStyle="1" w:styleId="Bulletpoint0">
    <w:name w:val="Bullet point"/>
    <w:basedOn w:val="Numberedlist"/>
    <w:link w:val="BulletpointChar0"/>
    <w:uiPriority w:val="97"/>
    <w:qFormat/>
    <w:rsid w:val="008D3AB0"/>
    <w:pPr>
      <w:numPr>
        <w:numId w:val="3"/>
      </w:numPr>
      <w:ind w:left="357" w:hanging="357"/>
    </w:pPr>
  </w:style>
  <w:style w:type="character" w:styleId="Strong">
    <w:name w:val="Strong"/>
    <w:basedOn w:val="DefaultParagraphFont"/>
    <w:uiPriority w:val="22"/>
    <w:rsid w:val="004A501C"/>
    <w:rPr>
      <w:b/>
      <w:bCs/>
    </w:rPr>
  </w:style>
  <w:style w:type="character" w:customStyle="1" w:styleId="CaptionChar">
    <w:name w:val="Caption Char"/>
    <w:basedOn w:val="DefaultParagraphFont"/>
    <w:link w:val="Caption"/>
    <w:uiPriority w:val="99"/>
    <w:rsid w:val="008D3AB0"/>
    <w:rPr>
      <w:rFonts w:ascii="Libre Franklin" w:hAnsi="Libre Franklin"/>
      <w:bCs/>
      <w:color w:val="000000" w:themeColor="text1"/>
      <w:szCs w:val="18"/>
    </w:rPr>
  </w:style>
  <w:style w:type="character" w:customStyle="1" w:styleId="BulletpointChar0">
    <w:name w:val="Bullet point Char"/>
    <w:basedOn w:val="CaptionChar"/>
    <w:link w:val="Bulletpoint0"/>
    <w:uiPriority w:val="97"/>
    <w:rsid w:val="008D3AB0"/>
    <w:rPr>
      <w:rFonts w:ascii="Libre Franklin" w:hAnsi="Libre Franklin"/>
      <w:bCs w:val="0"/>
      <w:color w:val="000000" w:themeColor="text1"/>
      <w:szCs w:val="18"/>
    </w:rPr>
  </w:style>
  <w:style w:type="paragraph" w:customStyle="1" w:styleId="Bold">
    <w:name w:val="Bold"/>
    <w:basedOn w:val="NoSpacing"/>
    <w:link w:val="BoldChar"/>
    <w:uiPriority w:val="1"/>
    <w:qFormat/>
    <w:rsid w:val="008D3AB0"/>
    <w:rPr>
      <w:b/>
      <w:snapToGrid w:val="0"/>
    </w:rPr>
  </w:style>
  <w:style w:type="character" w:customStyle="1" w:styleId="BoldChar">
    <w:name w:val="Bold Char"/>
    <w:basedOn w:val="NoSpacingChar"/>
    <w:link w:val="Bold"/>
    <w:uiPriority w:val="1"/>
    <w:rsid w:val="008D3AB0"/>
    <w:rPr>
      <w:rFonts w:ascii="Libre Franklin" w:hAnsi="Libre Franklin"/>
      <w:b/>
      <w:snapToGrid w:val="0"/>
    </w:rPr>
  </w:style>
  <w:style w:type="paragraph" w:customStyle="1" w:styleId="Bulletpointalternative">
    <w:name w:val="Bullet point alternative"/>
    <w:basedOn w:val="NoSpacing"/>
    <w:link w:val="BulletpointalternativeChar"/>
    <w:uiPriority w:val="97"/>
    <w:qFormat/>
    <w:rsid w:val="008B118F"/>
    <w:pPr>
      <w:numPr>
        <w:numId w:val="4"/>
      </w:numPr>
      <w:spacing w:after="120"/>
      <w:ind w:left="357" w:hanging="357"/>
    </w:pPr>
    <w:rPr>
      <w:snapToGrid w:val="0"/>
    </w:rPr>
  </w:style>
  <w:style w:type="character" w:customStyle="1" w:styleId="BulletpointalternativeChar">
    <w:name w:val="Bullet point alternative Char"/>
    <w:basedOn w:val="NoSpacingChar"/>
    <w:link w:val="Bulletpointalternative"/>
    <w:uiPriority w:val="97"/>
    <w:rsid w:val="006F1BC3"/>
    <w:rPr>
      <w:rFonts w:ascii="Libre Franklin" w:hAnsi="Libre Franklin"/>
      <w:snapToGrid w:val="0"/>
    </w:rPr>
  </w:style>
  <w:style w:type="paragraph" w:customStyle="1" w:styleId="abAlphabeticalList">
    <w:name w:val="a) b) Alphabetical List"/>
    <w:basedOn w:val="Bulletpointalternative"/>
    <w:link w:val="abAlphabeticalListChar"/>
    <w:uiPriority w:val="98"/>
    <w:qFormat/>
    <w:rsid w:val="009A3C59"/>
    <w:pPr>
      <w:numPr>
        <w:numId w:val="5"/>
      </w:numPr>
      <w:ind w:left="357" w:hanging="357"/>
    </w:pPr>
  </w:style>
  <w:style w:type="paragraph" w:customStyle="1" w:styleId="iiiRomannumberallist">
    <w:name w:val="i. ii. Roman numberal list"/>
    <w:basedOn w:val="abAlphabeticalList"/>
    <w:link w:val="iiiRomannumberallistChar"/>
    <w:uiPriority w:val="98"/>
    <w:qFormat/>
    <w:rsid w:val="009A3C59"/>
    <w:pPr>
      <w:numPr>
        <w:numId w:val="6"/>
      </w:numPr>
      <w:ind w:left="357" w:hanging="357"/>
    </w:pPr>
  </w:style>
  <w:style w:type="character" w:customStyle="1" w:styleId="abAlphabeticalListChar">
    <w:name w:val="a) b) Alphabetical List Char"/>
    <w:basedOn w:val="BulletpointalternativeChar"/>
    <w:link w:val="abAlphabeticalList"/>
    <w:uiPriority w:val="98"/>
    <w:rsid w:val="006F1BC3"/>
    <w:rPr>
      <w:rFonts w:ascii="Libre Franklin" w:hAnsi="Libre Franklin"/>
      <w:snapToGrid w:val="0"/>
    </w:rPr>
  </w:style>
  <w:style w:type="character" w:customStyle="1" w:styleId="iiiRomannumberallistChar">
    <w:name w:val="i. ii. Roman numberal list Char"/>
    <w:basedOn w:val="abAlphabeticalListChar"/>
    <w:link w:val="iiiRomannumberallist"/>
    <w:uiPriority w:val="98"/>
    <w:rsid w:val="006F1BC3"/>
    <w:rPr>
      <w:rFonts w:ascii="Libre Franklin" w:hAnsi="Libre Franklin"/>
      <w:snapToGrid w:val="0"/>
    </w:rPr>
  </w:style>
  <w:style w:type="character" w:customStyle="1" w:styleId="Heading6Char">
    <w:name w:val="Heading 6 Char"/>
    <w:basedOn w:val="DefaultParagraphFont"/>
    <w:link w:val="Heading6"/>
    <w:uiPriority w:val="9"/>
    <w:semiHidden/>
    <w:rsid w:val="00B05C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5C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5C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5C3E"/>
    <w:rPr>
      <w:rFonts w:eastAsiaTheme="majorEastAsia" w:cstheme="majorBidi"/>
      <w:color w:val="272727" w:themeColor="text1" w:themeTint="D8"/>
    </w:rPr>
  </w:style>
  <w:style w:type="character" w:styleId="IntenseEmphasis">
    <w:name w:val="Intense Emphasis"/>
    <w:basedOn w:val="DefaultParagraphFont"/>
    <w:uiPriority w:val="21"/>
    <w:rsid w:val="00B05C3E"/>
    <w:rPr>
      <w:i/>
      <w:iCs/>
      <w:color w:val="365F91" w:themeColor="accent1" w:themeShade="BF"/>
    </w:rPr>
  </w:style>
  <w:style w:type="paragraph" w:styleId="IntenseQuote">
    <w:name w:val="Intense Quote"/>
    <w:basedOn w:val="Normal"/>
    <w:next w:val="Normal"/>
    <w:link w:val="IntenseQuoteChar"/>
    <w:uiPriority w:val="30"/>
    <w:rsid w:val="00B05C3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05C3E"/>
    <w:rPr>
      <w:rFonts w:ascii="Libre Franklin Medium" w:hAnsi="Libre Franklin Medium"/>
      <w:i/>
      <w:iCs/>
      <w:color w:val="365F91" w:themeColor="accent1" w:themeShade="BF"/>
    </w:rPr>
  </w:style>
  <w:style w:type="character" w:styleId="IntenseReference">
    <w:name w:val="Intense Reference"/>
    <w:basedOn w:val="DefaultParagraphFont"/>
    <w:uiPriority w:val="32"/>
    <w:rsid w:val="00B05C3E"/>
    <w:rPr>
      <w:b/>
      <w:bCs/>
      <w:smallCaps/>
      <w:color w:val="365F91" w:themeColor="accent1" w:themeShade="BF"/>
      <w:spacing w:val="5"/>
    </w:rPr>
  </w:style>
  <w:style w:type="character" w:customStyle="1" w:styleId="UnresolvedMention1">
    <w:name w:val="Unresolved Mention1"/>
    <w:basedOn w:val="DefaultParagraphFont"/>
    <w:uiPriority w:val="99"/>
    <w:semiHidden/>
    <w:unhideWhenUsed/>
    <w:rsid w:val="001A2267"/>
    <w:rPr>
      <w:color w:val="605E5C"/>
      <w:shd w:val="clear" w:color="auto" w:fill="E1DFDD"/>
    </w:rPr>
  </w:style>
  <w:style w:type="character" w:customStyle="1" w:styleId="cf01">
    <w:name w:val="cf01"/>
    <w:basedOn w:val="DefaultParagraphFont"/>
    <w:rsid w:val="00DA7DD0"/>
    <w:rPr>
      <w:rFonts w:ascii="Segoe UI" w:hAnsi="Segoe UI" w:cs="Segoe UI" w:hint="default"/>
      <w:sz w:val="18"/>
      <w:szCs w:val="18"/>
    </w:rPr>
  </w:style>
  <w:style w:type="numbering" w:customStyle="1" w:styleId="Style2">
    <w:name w:val="Style2"/>
    <w:uiPriority w:val="99"/>
    <w:rsid w:val="0051597C"/>
    <w:pPr>
      <w:numPr>
        <w:numId w:val="11"/>
      </w:numPr>
    </w:pPr>
  </w:style>
  <w:style w:type="numbering" w:customStyle="1" w:styleId="Style3">
    <w:name w:val="Style3"/>
    <w:uiPriority w:val="99"/>
    <w:rsid w:val="0051597C"/>
    <w:pPr>
      <w:numPr>
        <w:numId w:val="13"/>
      </w:numPr>
    </w:pPr>
  </w:style>
  <w:style w:type="numbering" w:customStyle="1" w:styleId="Style4">
    <w:name w:val="Style4"/>
    <w:uiPriority w:val="99"/>
    <w:rsid w:val="0051597C"/>
    <w:pPr>
      <w:numPr>
        <w:numId w:val="16"/>
      </w:numPr>
    </w:pPr>
  </w:style>
  <w:style w:type="numbering" w:customStyle="1" w:styleId="Style5">
    <w:name w:val="Style5"/>
    <w:uiPriority w:val="99"/>
    <w:rsid w:val="00CA2EB4"/>
    <w:pPr>
      <w:numPr>
        <w:numId w:val="20"/>
      </w:numPr>
    </w:pPr>
  </w:style>
  <w:style w:type="numbering" w:customStyle="1" w:styleId="Style6">
    <w:name w:val="Style6"/>
    <w:uiPriority w:val="99"/>
    <w:rsid w:val="00CA2EB4"/>
    <w:pPr>
      <w:numPr>
        <w:numId w:val="23"/>
      </w:numPr>
    </w:pPr>
  </w:style>
  <w:style w:type="numbering" w:customStyle="1" w:styleId="Style7">
    <w:name w:val="Style7"/>
    <w:uiPriority w:val="99"/>
    <w:rsid w:val="00CA2EB4"/>
    <w:pPr>
      <w:numPr>
        <w:numId w:val="25"/>
      </w:numPr>
    </w:pPr>
  </w:style>
  <w:style w:type="numbering" w:customStyle="1" w:styleId="Style8">
    <w:name w:val="Style8"/>
    <w:uiPriority w:val="99"/>
    <w:rsid w:val="00CA2EB4"/>
    <w:pPr>
      <w:numPr>
        <w:numId w:val="27"/>
      </w:numPr>
    </w:pPr>
  </w:style>
  <w:style w:type="numbering" w:customStyle="1" w:styleId="Style9">
    <w:name w:val="Style9"/>
    <w:uiPriority w:val="99"/>
    <w:rsid w:val="00CA2EB4"/>
    <w:pPr>
      <w:numPr>
        <w:numId w:val="29"/>
      </w:numPr>
    </w:pPr>
  </w:style>
  <w:style w:type="numbering" w:customStyle="1" w:styleId="Style10">
    <w:name w:val="Style10"/>
    <w:uiPriority w:val="99"/>
    <w:rsid w:val="00CA2EB4"/>
    <w:pPr>
      <w:numPr>
        <w:numId w:val="31"/>
      </w:numPr>
    </w:pPr>
  </w:style>
  <w:style w:type="numbering" w:customStyle="1" w:styleId="Style11">
    <w:name w:val="Style11"/>
    <w:uiPriority w:val="99"/>
    <w:rsid w:val="009D7837"/>
    <w:pPr>
      <w:numPr>
        <w:numId w:val="33"/>
      </w:numPr>
    </w:pPr>
  </w:style>
  <w:style w:type="numbering" w:customStyle="1" w:styleId="Style12">
    <w:name w:val="Style12"/>
    <w:uiPriority w:val="99"/>
    <w:rsid w:val="009D7837"/>
    <w:pPr>
      <w:numPr>
        <w:numId w:val="35"/>
      </w:numPr>
    </w:pPr>
  </w:style>
  <w:style w:type="numbering" w:customStyle="1" w:styleId="Style13">
    <w:name w:val="Style13"/>
    <w:uiPriority w:val="99"/>
    <w:rsid w:val="009D7837"/>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&#65279;<?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&#65279;<?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17C2B3C6FE2E478752684538CF8179" ma:contentTypeVersion="15" ma:contentTypeDescription="Create a new document." ma:contentTypeScope="" ma:versionID="34b762f226444d1fd611480f9b513648">
  <xsd:schema xmlns:xsd="http://www.w3.org/2001/XMLSchema" xmlns:xs="http://www.w3.org/2001/XMLSchema" xmlns:p="http://schemas.microsoft.com/office/2006/metadata/properties" xmlns:ns2="8feb23fe-df6e-49cd-8782-edd8a7e0a6a8" xmlns:ns3="950cc686-1c41-4be8-8bb6-80381b2d52f1" targetNamespace="http://schemas.microsoft.com/office/2006/metadata/properties" ma:root="true" ma:fieldsID="85edea4197593edfb6f1716cf49b36cd" ns2:_="" ns3:_="">
    <xsd:import namespace="8feb23fe-df6e-49cd-8782-edd8a7e0a6a8"/>
    <xsd:import namespace="950cc686-1c41-4be8-8bb6-80381b2d52f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eb23fe-df6e-49cd-8782-edd8a7e0a6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e974674-8bc0-4c26-976e-9f65aa933c6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0cc686-1c41-4be8-8bb6-80381b2d52f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40aa2d4-8c18-4b70-8cd1-ff36534b3644}" ma:internalName="TaxCatchAll" ma:showField="CatchAllData" ma:web="950cc686-1c41-4be8-8bb6-80381b2d52f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feb23fe-df6e-49cd-8782-edd8a7e0a6a8">
      <Terms xmlns="http://schemas.microsoft.com/office/infopath/2007/PartnerControls"/>
    </lcf76f155ced4ddcb4097134ff3c332f>
    <TaxCatchAll xmlns="950cc686-1c41-4be8-8bb6-80381b2d52f1" xsi:nil="true"/>
  </documentManagement>
</p:properties>
</file>

<file path=customXml/itemProps1.xml><?xml version="1.0" encoding="utf-8"?>
<ds:datastoreItem xmlns:ds="http://schemas.openxmlformats.org/officeDocument/2006/customXml" ds:itemID="{95E275DC-9AA2-4211-BEF8-E9B1183665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eb23fe-df6e-49cd-8782-edd8a7e0a6a8"/>
    <ds:schemaRef ds:uri="950cc686-1c41-4be8-8bb6-80381b2d5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217EBF-524A-43A0-8456-18BAF1DE5277}">
  <ds:schemaRefs>
    <ds:schemaRef ds:uri="http://schemas.openxmlformats.org/officeDocument/2006/bibliography"/>
  </ds:schemaRefs>
</ds:datastoreItem>
</file>

<file path=customXml/itemProps3.xml><?xml version="1.0" encoding="utf-8"?>
<ds:datastoreItem xmlns:ds="http://schemas.openxmlformats.org/officeDocument/2006/customXml" ds:itemID="{6A9575AC-8FCD-4B7F-91A1-612FE29EC1BC}">
  <ds:schemaRefs>
    <ds:schemaRef ds:uri="http://schemas.microsoft.com/sharepoint/v3/contenttype/forms"/>
  </ds:schemaRefs>
</ds:datastoreItem>
</file>

<file path=customXml/itemProps4.xml><?xml version="1.0" encoding="utf-8"?>
<ds:datastoreItem xmlns:ds="http://schemas.openxmlformats.org/officeDocument/2006/customXml" ds:itemID="{D56AE5C7-B255-4770-8C09-7C0A78609969}">
  <ds:schemaRefs>
    <ds:schemaRef ds:uri="http://schemas.microsoft.com/office/2006/metadata/properties"/>
    <ds:schemaRef ds:uri="http://schemas.microsoft.com/office/infopath/2007/PartnerControls"/>
    <ds:schemaRef ds:uri="8feb23fe-df6e-49cd-8782-edd8a7e0a6a8"/>
    <ds:schemaRef ds:uri="950cc686-1c41-4be8-8bb6-80381b2d52f1"/>
  </ds:schemaRefs>
</ds:datastoreItem>
</file>

<file path=docMetadata/LabelInfo.xml><?xml version="1.0" encoding="utf-8"?>
<clbl:labelList xmlns:clbl="http://schemas.microsoft.com/office/2020/mipLabelMetadata">
  <clbl:label id="{a8f77787-5df4-43b6-a2a8-8d8b678a318b}" enabled="1" method="Standard" siteId="{1ce6dd9e-b337-4088-be5e-8dbbec04b34a}" contentBits="0" removed="0"/>
</clbl:labelList>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evidence - LUN0059</dc:title>
  <cp:revision>0</cp:revision>
</cp:coreProperties>
</file>