
<file path=[Content_Types].xml><?xml version="1.0" encoding="utf-8"?>
<Types xmlns="http://schemas.openxmlformats.org/package/2006/content-types">
  <Default Extension="rels" ContentType="application/vnd.openxmlformats-package.relationships+xml"/>
  <Default Extension="xml" ContentType="application/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microsoft.com/office/2020/02/relationships/classificationlabels" Target="docMetadata/LabelInfo.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3.4.0.0 -->
  <w:body>
    <w:p w:rsidR="00000000" w:rsidRPr="00AF64A3" w:rsidP="00130CC2">
      <w:pPr>
        <w:jc w:val="center"/>
        <w:rPr>
          <w:rFonts w:ascii="Arial" w:hAnsi="Arial" w:cs="Arial"/>
          <w:b/>
          <w:bCs/>
          <w:sz w:val="20"/>
          <w:szCs w:val="20"/>
        </w:rPr>
      </w:pPr>
      <w:r>
        <w:rPr>
          <w:rFonts w:ascii="Arial" w:hAnsi="Arial" w:cs="Arial"/>
          <w:b/>
          <w:bCs/>
          <w:sz w:val="20"/>
          <w:szCs w:val="20"/>
        </w:rPr>
        <w:t xml:space="preserve">Written evidence submitted by </w:t>
      </w:r>
      <w:r w:rsidRPr="00130CC2">
        <w:rPr>
          <w:rFonts w:ascii="Arial" w:hAnsi="Arial" w:cs="Arial"/>
          <w:b/>
          <w:bCs/>
          <w:sz w:val="20"/>
          <w:szCs w:val="20"/>
        </w:rPr>
        <w:t>Rare Breeds Survival Trust</w:t>
      </w:r>
      <w:r>
        <w:rPr>
          <w:rFonts w:ascii="Arial" w:hAnsi="Arial" w:cs="Arial"/>
          <w:b/>
          <w:bCs/>
          <w:sz w:val="20"/>
          <w:szCs w:val="20"/>
        </w:rPr>
        <w:t xml:space="preserve"> (LUN0057)</w:t>
      </w:r>
    </w:p>
    <w:p w:rsidR="00000000" w:rsidRPr="00AF64A3" w:rsidP="00AF64A3">
      <w:pPr>
        <w:rPr>
          <w:rFonts w:ascii="Arial" w:hAnsi="Arial" w:cs="Arial"/>
          <w:b/>
          <w:bCs/>
          <w:sz w:val="20"/>
          <w:szCs w:val="20"/>
        </w:rPr>
      </w:pPr>
      <w:r w:rsidRPr="00AF64A3">
        <w:rPr>
          <w:rFonts w:ascii="Arial" w:hAnsi="Arial" w:cs="Arial"/>
          <w:b/>
          <w:bCs/>
          <w:sz w:val="20"/>
          <w:szCs w:val="20"/>
        </w:rPr>
        <w:t>1. How effectively do current policies balance competing demands in the uplands, including food production, nature recovery, climate mitigation, water management, and public access, and where do the key tensions remain?</w:t>
      </w:r>
    </w:p>
    <w:p w:rsidR="00000000" w:rsidRPr="00AF64A3" w:rsidP="00AF64A3">
      <w:pPr>
        <w:rPr>
          <w:rFonts w:ascii="Arial" w:hAnsi="Arial" w:cs="Arial"/>
          <w:sz w:val="20"/>
          <w:szCs w:val="20"/>
        </w:rPr>
      </w:pPr>
      <w:r w:rsidRPr="00AF64A3">
        <w:rPr>
          <w:rFonts w:ascii="Arial" w:hAnsi="Arial" w:cs="Arial"/>
          <w:sz w:val="20"/>
          <w:szCs w:val="20"/>
        </w:rPr>
        <w:t>RBST recognises the increasing range of demands placed on upland landscapes and supports the principle that food production, biodiversity recovery, climate mitigation, water management and public access should be delivered in an integrated manner. However, current policy does not always achieve an effective balance between these objectives.</w:t>
      </w:r>
    </w:p>
    <w:p w:rsidR="00000000" w:rsidRPr="00AF64A3" w:rsidP="00AF64A3">
      <w:pPr>
        <w:rPr>
          <w:rFonts w:ascii="Arial" w:hAnsi="Arial" w:cs="Arial"/>
          <w:sz w:val="20"/>
          <w:szCs w:val="20"/>
        </w:rPr>
      </w:pPr>
      <w:r w:rsidRPr="00AF64A3">
        <w:rPr>
          <w:rFonts w:ascii="Arial" w:hAnsi="Arial" w:cs="Arial"/>
          <w:sz w:val="20"/>
          <w:szCs w:val="20"/>
        </w:rPr>
        <w:t>A key tension remains between land use policies that favour reducing livestock numbers and the ecological reality that many valued upland habitats and species are dependent upon appropriate grazing management. Semi-natural grasslands, upland heath, species-rich pastures and other priority habitats have often been shaped and maintained through centuries of grazing by native livestock breeds. In some cases, policies focused solely on carbon sequestration or woodland expansion risk overlooking the importance of continued grazing management and the contribution of livestock systems to habitat condition.</w:t>
      </w:r>
    </w:p>
    <w:p w:rsidR="00000000" w:rsidRPr="00AF64A3" w:rsidP="00AF64A3">
      <w:pPr>
        <w:rPr>
          <w:rFonts w:ascii="Arial" w:hAnsi="Arial" w:cs="Arial"/>
          <w:sz w:val="20"/>
          <w:szCs w:val="20"/>
        </w:rPr>
      </w:pPr>
      <w:r w:rsidRPr="00AF64A3">
        <w:rPr>
          <w:rFonts w:ascii="Arial" w:hAnsi="Arial" w:cs="Arial"/>
          <w:sz w:val="20"/>
          <w:szCs w:val="20"/>
        </w:rPr>
        <w:t>Native breeds are particularly important in this context. They are often uniquely adapted to harsh upland environments, capable of utilising marginal land and maintaining habitats that would otherwise become scrubbed over or lose ecological diversity. The environmental benefits delivered by these systems are not always adequately recognised within policy design.</w:t>
      </w:r>
    </w:p>
    <w:p w:rsidR="00000000" w:rsidRPr="00AF64A3" w:rsidP="00AF64A3">
      <w:pPr>
        <w:rPr>
          <w:rFonts w:ascii="Arial" w:hAnsi="Arial" w:cs="Arial"/>
          <w:sz w:val="20"/>
          <w:szCs w:val="20"/>
        </w:rPr>
      </w:pPr>
      <w:r w:rsidRPr="00AF64A3">
        <w:rPr>
          <w:rFonts w:ascii="Arial" w:hAnsi="Arial" w:cs="Arial"/>
          <w:sz w:val="20"/>
          <w:szCs w:val="20"/>
        </w:rPr>
        <w:t>Current policy frameworks place considerable emphasis on biodiversity, carbon storage and water management, but give relatively little attention to livestock genetic diversity. Yet genetic diversity within farmed livestock populations is a critical component of resilience in agricultural systems and should be considered alongside other environmental objectives. Maintaining a range of locally adapted native breeds strengthens the capacity of farming systems to respond to climate change, emerging diseases and changing market conditions.</w:t>
      </w:r>
    </w:p>
    <w:p w:rsidR="00000000" w:rsidRPr="00AF64A3" w:rsidP="00AF64A3">
      <w:pPr>
        <w:rPr>
          <w:rFonts w:ascii="Arial" w:hAnsi="Arial" w:cs="Arial"/>
          <w:sz w:val="20"/>
          <w:szCs w:val="20"/>
        </w:rPr>
      </w:pPr>
      <w:r w:rsidRPr="00AF64A3">
        <w:rPr>
          <w:rFonts w:ascii="Arial" w:hAnsi="Arial" w:cs="Arial"/>
          <w:sz w:val="20"/>
          <w:szCs w:val="20"/>
        </w:rPr>
        <w:t>RBST believes that livestock genetic diversity should be formally recognised as a public good within agricultural and environmental policy. Native livestock breeds represent an irreplaceable national resource, providing traits for climate adaptation, disease resilience and the sustainable management of marginal land. The benefits of maintaining these genetic resources accrue to society as a whole and are not fully rewarded through agricultural markets.</w:t>
      </w:r>
    </w:p>
    <w:p w:rsidR="00000000" w:rsidRPr="00AF64A3" w:rsidP="00AF64A3">
      <w:pPr>
        <w:rPr>
          <w:rFonts w:ascii="Arial" w:hAnsi="Arial" w:cs="Arial"/>
          <w:sz w:val="20"/>
          <w:szCs w:val="20"/>
        </w:rPr>
      </w:pPr>
      <w:r w:rsidRPr="00AF64A3">
        <w:rPr>
          <w:rFonts w:ascii="Arial" w:hAnsi="Arial" w:cs="Arial"/>
          <w:sz w:val="20"/>
          <w:szCs w:val="20"/>
        </w:rPr>
        <w:t>Future policy should place greater emphasis on multifunctional land management that recognises the complementary role of sustainable livestock grazing alongside environmental objectives. Food production should not be viewed as separate from nature recovery, but as a mechanism for delivering it where appropriate grazing systems are employed.</w:t>
      </w:r>
    </w:p>
    <w:p w:rsidR="00000000" w:rsidRPr="00AF64A3" w:rsidP="00AF64A3">
      <w:pPr>
        <w:rPr>
          <w:rFonts w:ascii="Arial" w:hAnsi="Arial" w:cs="Arial"/>
          <w:b/>
          <w:bCs/>
          <w:sz w:val="20"/>
          <w:szCs w:val="20"/>
        </w:rPr>
      </w:pPr>
      <w:r w:rsidRPr="00AF64A3">
        <w:rPr>
          <w:rFonts w:ascii="Arial" w:hAnsi="Arial" w:cs="Arial"/>
          <w:b/>
          <w:bCs/>
          <w:sz w:val="20"/>
          <w:szCs w:val="20"/>
        </w:rPr>
        <w:t>2. What has been the impact of agricultural policy changes (including the transition away from direct payments) on upland farming businesses, and the impact of these changes on farming profitability?</w:t>
      </w:r>
    </w:p>
    <w:p w:rsidR="00000000" w:rsidRPr="00AF64A3" w:rsidP="00AF64A3">
      <w:pPr>
        <w:rPr>
          <w:rFonts w:ascii="Arial" w:hAnsi="Arial" w:cs="Arial"/>
          <w:sz w:val="20"/>
          <w:szCs w:val="20"/>
        </w:rPr>
      </w:pPr>
      <w:r w:rsidRPr="00AF64A3">
        <w:rPr>
          <w:rFonts w:ascii="Arial" w:hAnsi="Arial" w:cs="Arial"/>
          <w:sz w:val="20"/>
          <w:szCs w:val="20"/>
        </w:rPr>
        <w:t>The transition away from direct payments has created significant uncertainty for many upland farming businesses. These businesses typically operate on narrow margins, face higher production costs and have fewer opportunities to increase output than lowland enterprises.</w:t>
      </w:r>
    </w:p>
    <w:p w:rsidR="00000000" w:rsidRPr="00AF64A3" w:rsidP="00AF64A3">
      <w:pPr>
        <w:rPr>
          <w:rFonts w:ascii="Arial" w:hAnsi="Arial" w:cs="Arial"/>
          <w:sz w:val="20"/>
          <w:szCs w:val="20"/>
        </w:rPr>
      </w:pPr>
      <w:r w:rsidRPr="00AF64A3">
        <w:rPr>
          <w:rFonts w:ascii="Arial" w:hAnsi="Arial" w:cs="Arial"/>
          <w:sz w:val="20"/>
          <w:szCs w:val="20"/>
        </w:rPr>
        <w:t>For many upland livestock farms, direct payments formed a substantial component of farm income. Their removal has increased financial pressure and accelerated concerns regarding business viability, succession planning and long-term investment. This is particularly significant for farms maintaining native breeds, which often provide environmental and genetic conservation benefits that are not fully reflected in market returns.</w:t>
      </w:r>
    </w:p>
    <w:p w:rsidR="00000000" w:rsidRPr="00AF64A3" w:rsidP="00AF64A3">
      <w:pPr>
        <w:rPr>
          <w:rFonts w:ascii="Arial" w:hAnsi="Arial" w:cs="Arial"/>
          <w:sz w:val="20"/>
          <w:szCs w:val="20"/>
        </w:rPr>
      </w:pPr>
      <w:r w:rsidRPr="00AF64A3">
        <w:rPr>
          <w:rFonts w:ascii="Arial" w:hAnsi="Arial" w:cs="Arial"/>
          <w:sz w:val="20"/>
          <w:szCs w:val="20"/>
        </w:rPr>
        <w:t xml:space="preserve">The abrupt closure of the Sustainable Farming Incentive (SFI) in March 2025 before many farmers had the opportunity to apply for newly announced upland actions had a particularly adverse impact on confidence within the uplands. Many farmers had invested considerable time in understanding how </w:t>
      </w:r>
      <w:r w:rsidRPr="00AF64A3">
        <w:rPr>
          <w:rFonts w:ascii="Arial" w:hAnsi="Arial" w:cs="Arial"/>
          <w:sz w:val="20"/>
          <w:szCs w:val="20"/>
        </w:rPr>
        <w:t>their businesses might transition towards environmental delivery under the new policy framework, only to find access to the scheme unexpectedly withdrawn. As a result, many upland farmers lost faith in the reliability of the scheme and reverted to pursuing increased agricultural production where possible, believing that this offered them greater control and certainty over their businesses than reliance on government support programmes whose future appeared uncertain.</w:t>
      </w:r>
    </w:p>
    <w:p w:rsidR="00000000" w:rsidRPr="00AF64A3" w:rsidP="00AF64A3">
      <w:pPr>
        <w:rPr>
          <w:rFonts w:ascii="Arial" w:hAnsi="Arial" w:cs="Arial"/>
          <w:sz w:val="20"/>
          <w:szCs w:val="20"/>
        </w:rPr>
      </w:pPr>
      <w:r w:rsidRPr="00AF64A3">
        <w:rPr>
          <w:rFonts w:ascii="Arial" w:hAnsi="Arial" w:cs="Arial"/>
          <w:sz w:val="20"/>
          <w:szCs w:val="20"/>
        </w:rPr>
        <w:t>There is evidence that some farmers are reducing livestock numbers or considering exiting farming altogether. Such changes may have unintended consequences for biodiversity, landscape management and the maintenance of traditional farming systems.</w:t>
      </w:r>
    </w:p>
    <w:p w:rsidR="00000000" w:rsidRPr="00AF64A3" w:rsidP="00AF64A3">
      <w:pPr>
        <w:rPr>
          <w:rFonts w:ascii="Arial" w:hAnsi="Arial" w:cs="Arial"/>
          <w:sz w:val="20"/>
          <w:szCs w:val="20"/>
        </w:rPr>
      </w:pPr>
      <w:r w:rsidRPr="00AF64A3">
        <w:rPr>
          <w:rFonts w:ascii="Arial" w:hAnsi="Arial" w:cs="Arial"/>
          <w:sz w:val="20"/>
          <w:szCs w:val="20"/>
        </w:rPr>
        <w:t>RBST is particularly concerned that declining economic viability could lead to further reductions in populations of native breeds that are closely associated with upland farming systems. Many native breeds depend upon active commercial use by farmers for their long-term survival. Where policy changes reduce the viability of these systems, valuable genetic resources may be lost. This would represent not only a loss of agricultural heritage but also a reduction in the genetic resources available to support future climate adaptation, disease resilience and food security.</w:t>
      </w:r>
    </w:p>
    <w:p w:rsidR="00000000" w:rsidRPr="00AF64A3" w:rsidP="00AF64A3">
      <w:pPr>
        <w:rPr>
          <w:rFonts w:ascii="Arial" w:hAnsi="Arial" w:cs="Arial"/>
          <w:sz w:val="20"/>
          <w:szCs w:val="20"/>
        </w:rPr>
      </w:pPr>
      <w:r w:rsidRPr="00AF64A3">
        <w:rPr>
          <w:rFonts w:ascii="Arial" w:hAnsi="Arial" w:cs="Arial"/>
          <w:sz w:val="20"/>
          <w:szCs w:val="20"/>
        </w:rPr>
        <w:t>The loss of economically viable upland farming businesses therefore threatens both environmental outcomes and the conservation of nationally important livestock genetic resources. This reinforces the need to recognise livestock genetic diversity as a public good that merits direct policy support.</w:t>
      </w:r>
    </w:p>
    <w:p w:rsidR="00000000" w:rsidRPr="00AF64A3" w:rsidP="00AF64A3">
      <w:pPr>
        <w:rPr>
          <w:rFonts w:ascii="Arial" w:hAnsi="Arial" w:cs="Arial"/>
          <w:b/>
          <w:bCs/>
          <w:sz w:val="20"/>
          <w:szCs w:val="20"/>
        </w:rPr>
      </w:pPr>
      <w:r w:rsidRPr="00AF64A3">
        <w:rPr>
          <w:rFonts w:ascii="Arial" w:hAnsi="Arial" w:cs="Arial"/>
          <w:b/>
          <w:bCs/>
          <w:sz w:val="20"/>
          <w:szCs w:val="20"/>
        </w:rPr>
        <w:t>3. To what extent do the current Environmental Land Management (ELM) schemes and other support like the Farming in Protected Landscapes (FiPL) schemes support financially and environmentally sustainable land management in the uplands?</w:t>
      </w:r>
    </w:p>
    <w:p w:rsidR="00000000" w:rsidRPr="00AF64A3" w:rsidP="00AF64A3">
      <w:pPr>
        <w:rPr>
          <w:rFonts w:ascii="Arial" w:hAnsi="Arial" w:cs="Arial"/>
          <w:sz w:val="20"/>
          <w:szCs w:val="20"/>
        </w:rPr>
      </w:pPr>
      <w:r w:rsidRPr="00AF64A3">
        <w:rPr>
          <w:rFonts w:ascii="Arial" w:hAnsi="Arial" w:cs="Arial"/>
          <w:sz w:val="20"/>
          <w:szCs w:val="20"/>
        </w:rPr>
        <w:t>ELM and FiPL schemes have the potential to support more sustainable land management and have funded a range of positive environmental outcomes. However, uptake and effectiveness remain constrained by complexity, uncertainty and concerns regarding the adequacy of payment rates.</w:t>
      </w:r>
    </w:p>
    <w:p w:rsidR="00000000" w:rsidRPr="00AF64A3" w:rsidP="00AF64A3">
      <w:pPr>
        <w:rPr>
          <w:rFonts w:ascii="Arial" w:hAnsi="Arial" w:cs="Arial"/>
          <w:sz w:val="20"/>
          <w:szCs w:val="20"/>
        </w:rPr>
      </w:pPr>
      <w:r w:rsidRPr="00AF64A3">
        <w:rPr>
          <w:rFonts w:ascii="Arial" w:hAnsi="Arial" w:cs="Arial"/>
          <w:sz w:val="20"/>
          <w:szCs w:val="20"/>
        </w:rPr>
        <w:t>RBST considers ELM to be of fundamental importance to the future of upland farming. The scheme supports the types of sustainable, extensive livestock systems within which native breeds often thrive and which deliver a range of environmental public goods. We were particularly pleased to see the retention of the Native Breeds at Risk actions (SPM3 and SPM5) within SFI 2026 and welcomed the Government's statement that "we are keeping these actions to help show the government's commitment to supporting the preservation of native breeds." This recognition of livestock genetic diversity as a public benefit is extremely important and provides an encouraging foundation on which future policy can build.</w:t>
      </w:r>
    </w:p>
    <w:p w:rsidR="00000000" w:rsidRPr="00AF64A3" w:rsidP="00AF64A3">
      <w:pPr>
        <w:rPr>
          <w:rFonts w:ascii="Arial" w:hAnsi="Arial" w:cs="Arial"/>
          <w:sz w:val="20"/>
          <w:szCs w:val="20"/>
        </w:rPr>
      </w:pPr>
      <w:r w:rsidRPr="00AF64A3">
        <w:rPr>
          <w:rFonts w:ascii="Arial" w:hAnsi="Arial" w:cs="Arial"/>
          <w:sz w:val="20"/>
          <w:szCs w:val="20"/>
        </w:rPr>
        <w:t>Native breeds often provide cost-effective conservation grazing, support biodiversity outcomes and maintain valuable livestock genetic resources. Current schemes generally focus on habitat outcomes rather than the livestock systems required to deliver them. This can create a disconnect whereby environmental objectives are supported but the viability of the grazing systems underpinning those outcomes is not adequately secured.</w:t>
      </w:r>
    </w:p>
    <w:p w:rsidR="00000000" w:rsidRPr="00AF64A3" w:rsidP="00AF64A3">
      <w:pPr>
        <w:rPr>
          <w:rFonts w:ascii="Arial" w:hAnsi="Arial" w:cs="Arial"/>
          <w:sz w:val="20"/>
          <w:szCs w:val="20"/>
        </w:rPr>
      </w:pPr>
      <w:r w:rsidRPr="00AF64A3">
        <w:rPr>
          <w:rFonts w:ascii="Arial" w:hAnsi="Arial" w:cs="Arial"/>
          <w:sz w:val="20"/>
          <w:szCs w:val="20"/>
        </w:rPr>
        <w:t>RBST would welcome the continued explicit recognition of livestock genetic diversity within ELM and related schemes. The conservation of native livestock breeds delivers public benefits comparable to those associated with wildlife conservation, including resilience, adaptation capacity and the preservation of nationally important genetic resources. Livestock genetic diversity should therefore be recognised as a public good and incorporated within environmental land management objectives and payment mechanisms.</w:t>
      </w:r>
    </w:p>
    <w:p w:rsidR="00000000" w:rsidRPr="00AF64A3" w:rsidP="00AF64A3">
      <w:pPr>
        <w:rPr>
          <w:rFonts w:ascii="Arial" w:hAnsi="Arial" w:cs="Arial"/>
          <w:sz w:val="20"/>
          <w:szCs w:val="20"/>
        </w:rPr>
      </w:pPr>
      <w:r w:rsidRPr="00AF64A3">
        <w:rPr>
          <w:rFonts w:ascii="Arial" w:hAnsi="Arial" w:cs="Arial"/>
          <w:sz w:val="20"/>
          <w:szCs w:val="20"/>
        </w:rPr>
        <w:t>A continuing concern is the delay in making SFI fully available on common land. This has prevented many upland farmers from accessing support specifically intended for the farming systems that dominate large areas of the uplands. Given the importance of commons to both environmental management and native breed grazing systems, this delay represents a significant gap in policy delivery.</w:t>
      </w:r>
    </w:p>
    <w:p w:rsidR="00000000" w:rsidRPr="00AF64A3" w:rsidP="00AF64A3">
      <w:pPr>
        <w:rPr>
          <w:rFonts w:ascii="Arial" w:hAnsi="Arial" w:cs="Arial"/>
          <w:sz w:val="20"/>
          <w:szCs w:val="20"/>
        </w:rPr>
      </w:pPr>
      <w:r w:rsidRPr="00AF64A3">
        <w:rPr>
          <w:rFonts w:ascii="Arial" w:hAnsi="Arial" w:cs="Arial"/>
          <w:sz w:val="20"/>
          <w:szCs w:val="20"/>
        </w:rPr>
        <w:t>The recent difficulties surrounding agri-environment agreements on Dartmoor demonstrate the importance of ensuring that environmental schemes properly recognise the value of grazing livestock and the public benefits they provide. RBST believes that the availability of dedicated native breed payments could have helped address some of the tensions that emerged by providing a clearer recognition of the contribution made by grazing livestock to habitat management and environmental outcomes.</w:t>
      </w:r>
    </w:p>
    <w:p w:rsidR="00000000" w:rsidRPr="00AF64A3" w:rsidP="00AF64A3">
      <w:pPr>
        <w:rPr>
          <w:rFonts w:ascii="Arial" w:hAnsi="Arial" w:cs="Arial"/>
          <w:sz w:val="20"/>
          <w:szCs w:val="20"/>
        </w:rPr>
      </w:pPr>
      <w:r w:rsidRPr="00AF64A3">
        <w:rPr>
          <w:rFonts w:ascii="Arial" w:hAnsi="Arial" w:cs="Arial"/>
          <w:sz w:val="20"/>
          <w:szCs w:val="20"/>
        </w:rPr>
        <w:t>FiPL has also proved extremely valuable. The scheme has demonstrated a welcome degree of flexibility and has supported a range of practical investments that strengthen the viability of native breed enterprises. Examples include support for wool processing equipment, meat vending machines and other initiatives that help farmers capture greater value from sustainable livestock systems. Such investments contribute not only to environmental objectives but also to the economic resilience of rural businesses and communities.</w:t>
      </w:r>
    </w:p>
    <w:p w:rsidR="00000000" w:rsidRPr="00AF64A3" w:rsidP="00AF64A3">
      <w:pPr>
        <w:rPr>
          <w:rFonts w:ascii="Arial" w:hAnsi="Arial" w:cs="Arial"/>
          <w:sz w:val="20"/>
          <w:szCs w:val="20"/>
        </w:rPr>
      </w:pPr>
      <w:r w:rsidRPr="00AF64A3">
        <w:rPr>
          <w:rFonts w:ascii="Arial" w:hAnsi="Arial" w:cs="Arial"/>
          <w:sz w:val="20"/>
          <w:szCs w:val="20"/>
        </w:rPr>
        <w:t>Long-term confidence remains essential. Farmers require clear signals that environmental management agreements will remain stable, accessible and adequately funded over time.</w:t>
      </w:r>
    </w:p>
    <w:p w:rsidR="00000000" w:rsidRPr="00AF64A3" w:rsidP="00AF64A3">
      <w:pPr>
        <w:rPr>
          <w:rFonts w:ascii="Arial" w:hAnsi="Arial" w:cs="Arial"/>
          <w:b/>
          <w:bCs/>
          <w:sz w:val="20"/>
          <w:szCs w:val="20"/>
        </w:rPr>
      </w:pPr>
      <w:r w:rsidRPr="00AF64A3">
        <w:rPr>
          <w:rFonts w:ascii="Arial" w:hAnsi="Arial" w:cs="Arial"/>
          <w:b/>
          <w:bCs/>
          <w:sz w:val="20"/>
          <w:szCs w:val="20"/>
        </w:rPr>
        <w:t>4. How do legal protections for uplands areas (including designation as a National Park or Area of Outstanding Natural Beauty / Protected Landscape, and designations such as Site of Special Scientific Interest, or Special Area of Conservation) impact decision-making, land management, and outcomes?</w:t>
      </w:r>
    </w:p>
    <w:p w:rsidR="00000000" w:rsidRPr="00AF64A3" w:rsidP="00AF64A3">
      <w:pPr>
        <w:rPr>
          <w:rFonts w:ascii="Arial" w:hAnsi="Arial" w:cs="Arial"/>
          <w:sz w:val="20"/>
          <w:szCs w:val="20"/>
        </w:rPr>
      </w:pPr>
      <w:r w:rsidRPr="00AF64A3">
        <w:rPr>
          <w:rFonts w:ascii="Arial" w:hAnsi="Arial" w:cs="Arial"/>
          <w:sz w:val="20"/>
          <w:szCs w:val="20"/>
        </w:rPr>
        <w:t>Protected landscape and nature conservation designations play an important role in safeguarding nationally important habitats, species and landscapes. Many designated upland sites owe their ecological character to historic grazing regimes and traditional livestock management.</w:t>
      </w:r>
    </w:p>
    <w:p w:rsidR="00000000" w:rsidRPr="00AF64A3" w:rsidP="00AF64A3">
      <w:pPr>
        <w:rPr>
          <w:rFonts w:ascii="Arial" w:hAnsi="Arial" w:cs="Arial"/>
          <w:sz w:val="20"/>
          <w:szCs w:val="20"/>
        </w:rPr>
      </w:pPr>
      <w:r w:rsidRPr="00AF64A3">
        <w:rPr>
          <w:rFonts w:ascii="Arial" w:hAnsi="Arial" w:cs="Arial"/>
          <w:sz w:val="20"/>
          <w:szCs w:val="20"/>
        </w:rPr>
        <w:t>RBST supports the objectives of these designations but notes that management prescriptions do not always sufficiently recognise the role of grazing livestock and breed selection in achieving conservation outcomes. There can be a tendency to focus on livestock numbers rather than grazing behaviour, seasonal use, breed characteristics and management approach.</w:t>
      </w:r>
    </w:p>
    <w:p w:rsidR="00000000" w:rsidP="00AF64A3">
      <w:pPr>
        <w:rPr>
          <w:rFonts w:ascii="Arial" w:hAnsi="Arial" w:cs="Arial"/>
          <w:sz w:val="20"/>
          <w:szCs w:val="20"/>
        </w:rPr>
      </w:pPr>
      <w:r w:rsidRPr="00AF64A3">
        <w:rPr>
          <w:rFonts w:ascii="Arial" w:hAnsi="Arial" w:cs="Arial"/>
          <w:sz w:val="20"/>
          <w:szCs w:val="20"/>
        </w:rPr>
        <w:t>Native breeds often offer practical advantages in conservation management due to their hardiness, foraging behaviour and ability to thrive in extensive systems. More flexible management approaches that recognise these attributes could improve outcomes for both biodiversity and farming businesses.</w:t>
      </w:r>
    </w:p>
    <w:p w:rsidR="00000000" w:rsidRPr="00AF64A3" w:rsidP="00AF64A3">
      <w:pPr>
        <w:rPr>
          <w:rFonts w:ascii="Arial" w:hAnsi="Arial" w:cs="Arial"/>
          <w:sz w:val="20"/>
          <w:szCs w:val="20"/>
        </w:rPr>
      </w:pPr>
      <w:r w:rsidRPr="00B269AB">
        <w:rPr>
          <w:rFonts w:ascii="Arial" w:hAnsi="Arial" w:cs="Arial"/>
          <w:sz w:val="20"/>
          <w:szCs w:val="20"/>
        </w:rPr>
        <w:t xml:space="preserve">There is a risk that decision-making within protected landscapes is framed as a choice between productive farming and environmental protection. Many native breed systems show that this is a false </w:t>
      </w:r>
      <w:r>
        <w:rPr>
          <w:rFonts w:ascii="Arial" w:hAnsi="Arial" w:cs="Arial"/>
          <w:sz w:val="20"/>
          <w:szCs w:val="20"/>
        </w:rPr>
        <w:t>dichotomy</w:t>
      </w:r>
      <w:r w:rsidRPr="00B269AB">
        <w:rPr>
          <w:rFonts w:ascii="Arial" w:hAnsi="Arial" w:cs="Arial"/>
          <w:sz w:val="20"/>
          <w:szCs w:val="20"/>
        </w:rPr>
        <w:t xml:space="preserve">: sensitive grazing, including conservation grazing, can deliver habitat, landscape and biodiversity outcomes while remaining part of a viable farming system. </w:t>
      </w:r>
      <w:r>
        <w:rPr>
          <w:rFonts w:ascii="Arial" w:hAnsi="Arial" w:cs="Arial"/>
          <w:sz w:val="20"/>
          <w:szCs w:val="20"/>
        </w:rPr>
        <w:t>Livestock, particularly n</w:t>
      </w:r>
      <w:r w:rsidRPr="00B269AB">
        <w:rPr>
          <w:rFonts w:ascii="Arial" w:hAnsi="Arial" w:cs="Arial"/>
          <w:sz w:val="20"/>
          <w:szCs w:val="20"/>
        </w:rPr>
        <w:t>ative breeds</w:t>
      </w:r>
      <w:r>
        <w:rPr>
          <w:rFonts w:ascii="Arial" w:hAnsi="Arial" w:cs="Arial"/>
          <w:sz w:val="20"/>
          <w:szCs w:val="20"/>
        </w:rPr>
        <w:t>,</w:t>
      </w:r>
      <w:r w:rsidRPr="00B269AB">
        <w:rPr>
          <w:rFonts w:ascii="Arial" w:hAnsi="Arial" w:cs="Arial"/>
          <w:sz w:val="20"/>
          <w:szCs w:val="20"/>
        </w:rPr>
        <w:t xml:space="preserve"> should therefore be considered not simply as a pressure to be managed, but as part of the solution</w:t>
      </w:r>
      <w:r>
        <w:rPr>
          <w:rFonts w:ascii="Arial" w:hAnsi="Arial" w:cs="Arial"/>
          <w:sz w:val="20"/>
          <w:szCs w:val="20"/>
        </w:rPr>
        <w:t>.</w:t>
      </w:r>
    </w:p>
    <w:p w:rsidR="00000000" w:rsidP="00AF64A3">
      <w:pPr>
        <w:rPr>
          <w:rFonts w:ascii="Arial" w:hAnsi="Arial" w:cs="Arial"/>
          <w:sz w:val="20"/>
          <w:szCs w:val="20"/>
        </w:rPr>
      </w:pPr>
      <w:r w:rsidRPr="00AF64A3">
        <w:rPr>
          <w:rFonts w:ascii="Arial" w:hAnsi="Arial" w:cs="Arial"/>
          <w:sz w:val="20"/>
          <w:szCs w:val="20"/>
        </w:rPr>
        <w:t>Decision-making processes should seek to ensure that environmental objectives are delivered in partnership with farming communities and that conservation management remains compatible with economically viable livestock systems. In doing so, policymakers should recognise that the continued use of native breeds contributes not only to habitat management but also to the conservation of livestock genetic diversity, a valuable national resource in its own right.</w:t>
      </w:r>
    </w:p>
    <w:p w:rsidR="00000000" w:rsidRPr="00AF64A3" w:rsidP="00AF64A3">
      <w:pPr>
        <w:rPr>
          <w:rFonts w:ascii="Arial" w:hAnsi="Arial" w:cs="Arial"/>
          <w:b/>
          <w:bCs/>
          <w:sz w:val="20"/>
          <w:szCs w:val="20"/>
        </w:rPr>
      </w:pPr>
      <w:r w:rsidRPr="00AF64A3">
        <w:rPr>
          <w:rFonts w:ascii="Arial" w:hAnsi="Arial" w:cs="Arial"/>
          <w:b/>
          <w:bCs/>
          <w:sz w:val="20"/>
          <w:szCs w:val="20"/>
        </w:rPr>
        <w:t>5. What improvements are needed in land use data, mapping, and modelling to support effective decision-making in the uplands? What training or other skill development options are needed to support this?</w:t>
      </w:r>
    </w:p>
    <w:p w:rsidR="00000000" w:rsidRPr="00AF64A3" w:rsidP="00AF64A3">
      <w:pPr>
        <w:rPr>
          <w:rFonts w:ascii="Arial" w:hAnsi="Arial" w:cs="Arial"/>
          <w:sz w:val="20"/>
          <w:szCs w:val="20"/>
        </w:rPr>
      </w:pPr>
      <w:r w:rsidRPr="00AF64A3">
        <w:rPr>
          <w:rFonts w:ascii="Arial" w:hAnsi="Arial" w:cs="Arial"/>
          <w:sz w:val="20"/>
          <w:szCs w:val="20"/>
        </w:rPr>
        <w:t>Current land use models and mapping tools often fail to capture the complexity and multifunctionality of upland farming systems. Greater integration of ecological, agricultural, cultural and socio-economic data is needed.</w:t>
      </w:r>
    </w:p>
    <w:p w:rsidR="00000000" w:rsidRPr="00AF64A3" w:rsidP="00AF64A3">
      <w:pPr>
        <w:rPr>
          <w:rFonts w:ascii="Arial" w:hAnsi="Arial" w:cs="Arial"/>
          <w:sz w:val="20"/>
          <w:szCs w:val="20"/>
        </w:rPr>
      </w:pPr>
      <w:r w:rsidRPr="00AF64A3">
        <w:rPr>
          <w:rFonts w:ascii="Arial" w:hAnsi="Arial" w:cs="Arial"/>
          <w:sz w:val="20"/>
          <w:szCs w:val="20"/>
        </w:rPr>
        <w:t xml:space="preserve">In particular, improved evidence is required on the role of grazing livestock in habitat management, carbon cycling, wildfire risk reduction and ecosystem resilience. More detailed information on </w:t>
      </w:r>
      <w:r w:rsidRPr="00AF64A3">
        <w:rPr>
          <w:rFonts w:ascii="Arial" w:hAnsi="Arial" w:cs="Arial"/>
          <w:sz w:val="20"/>
          <w:szCs w:val="20"/>
        </w:rPr>
        <w:t>livestock genetic diversity and breed distribution would also help inform policy development and risk assessment.</w:t>
      </w:r>
    </w:p>
    <w:p w:rsidR="00000000" w:rsidRPr="00AF64A3" w:rsidP="00AF64A3">
      <w:pPr>
        <w:rPr>
          <w:rFonts w:ascii="Arial" w:hAnsi="Arial" w:cs="Arial"/>
          <w:sz w:val="20"/>
          <w:szCs w:val="20"/>
        </w:rPr>
      </w:pPr>
      <w:r w:rsidRPr="00AF64A3">
        <w:rPr>
          <w:rFonts w:ascii="Arial" w:hAnsi="Arial" w:cs="Arial"/>
          <w:sz w:val="20"/>
          <w:szCs w:val="20"/>
        </w:rPr>
        <w:t>Improvements are needed in the collection and utilisation of data relating to livestock genetic resources. Better mapping of native breed populations, their distribution and conservation status would support more informed decision-making and allow policymakers to assess the impact of land use change on the UK's farm animal genetic resources.</w:t>
      </w:r>
    </w:p>
    <w:p w:rsidR="00000000" w:rsidP="00AF64A3">
      <w:pPr>
        <w:rPr>
          <w:rFonts w:ascii="Arial" w:hAnsi="Arial" w:cs="Arial"/>
          <w:sz w:val="20"/>
          <w:szCs w:val="20"/>
        </w:rPr>
      </w:pPr>
      <w:r w:rsidRPr="00AF64A3">
        <w:rPr>
          <w:rFonts w:ascii="Arial" w:hAnsi="Arial" w:cs="Arial"/>
          <w:sz w:val="20"/>
          <w:szCs w:val="20"/>
        </w:rPr>
        <w:t>RBST believes that livestock genetic diversity should be considered alongside natural capital and biodiversity metrics when assessing land use change, environmental delivery and long-term resilience. Native breeds represent a strategic national resource and should be incorporated more explicitly into natural capital assessments and land use planning processes.</w:t>
      </w:r>
    </w:p>
    <w:p w:rsidR="00000000" w:rsidP="00AF64A3">
      <w:pPr>
        <w:rPr>
          <w:rFonts w:ascii="Arial" w:hAnsi="Arial" w:cs="Arial"/>
          <w:sz w:val="20"/>
          <w:szCs w:val="20"/>
        </w:rPr>
      </w:pPr>
      <w:r w:rsidRPr="00A42F80">
        <w:rPr>
          <w:rFonts w:ascii="Arial" w:hAnsi="Arial" w:cs="Arial"/>
          <w:sz w:val="20"/>
          <w:szCs w:val="20"/>
        </w:rPr>
        <w:t>Land use data, mapping and modelling should support a systems view of upland management rather than relying too heavily on fixed prescriptions. Upland outcomes are shaped by the interaction between soils, vegetation, grazing behaviour, climate, water, biodiversity and farm viability. Interventions, including the use of native breeds, should therefore be assessed in context: not simply as isolated actions, but by how they influence the functioning and resilience of the wider system over time. This would support more adaptive and locally appropriate decision-making than prescriptive approaches based on static assumptions.</w:t>
      </w:r>
    </w:p>
    <w:p w:rsidR="00000000" w:rsidRPr="00AF64A3" w:rsidP="00AF64A3">
      <w:pPr>
        <w:rPr>
          <w:rFonts w:ascii="Arial" w:hAnsi="Arial" w:cs="Arial"/>
          <w:sz w:val="20"/>
          <w:szCs w:val="20"/>
        </w:rPr>
      </w:pPr>
      <w:r w:rsidRPr="00AF64A3">
        <w:rPr>
          <w:rFonts w:ascii="Arial" w:hAnsi="Arial" w:cs="Arial"/>
          <w:sz w:val="20"/>
          <w:szCs w:val="20"/>
        </w:rPr>
        <w:t>Training needs include support for farmers, advisers and policymakers to better understand grazing ecology, conservation grazing techniques, livestock genetic resources and integrated land management approaches. Knowledge exchange between conservation bodies and farming practitioners should be strengthened.</w:t>
      </w:r>
    </w:p>
    <w:p w:rsidR="00000000" w:rsidRPr="00AF64A3" w:rsidP="00AF64A3">
      <w:pPr>
        <w:rPr>
          <w:rFonts w:ascii="Arial" w:hAnsi="Arial" w:cs="Arial"/>
          <w:b/>
          <w:bCs/>
          <w:sz w:val="20"/>
          <w:szCs w:val="20"/>
        </w:rPr>
      </w:pPr>
      <w:r w:rsidRPr="00AF64A3">
        <w:rPr>
          <w:rFonts w:ascii="Arial" w:hAnsi="Arial" w:cs="Arial"/>
          <w:b/>
          <w:bCs/>
          <w:sz w:val="20"/>
          <w:szCs w:val="20"/>
        </w:rPr>
        <w:t>6. How might land use and business changes in the uplands impact rural communities?</w:t>
      </w:r>
    </w:p>
    <w:p w:rsidR="00000000" w:rsidP="00AF64A3">
      <w:pPr>
        <w:rPr>
          <w:rFonts w:ascii="Arial" w:hAnsi="Arial" w:cs="Arial"/>
          <w:sz w:val="20"/>
          <w:szCs w:val="20"/>
        </w:rPr>
      </w:pPr>
      <w:r w:rsidRPr="00AF64A3">
        <w:rPr>
          <w:rFonts w:ascii="Arial" w:hAnsi="Arial" w:cs="Arial"/>
          <w:sz w:val="20"/>
          <w:szCs w:val="20"/>
        </w:rPr>
        <w:t>Changes in upland land use have significant implications for rural communities. Farming businesses often underpin local employment, support supply chains and contribute to the social and cultural identity of upland areas.</w:t>
      </w:r>
    </w:p>
    <w:p w:rsidR="00000000" w:rsidRPr="00AF64A3" w:rsidP="00AF64A3">
      <w:pPr>
        <w:rPr>
          <w:rFonts w:ascii="Arial" w:hAnsi="Arial" w:cs="Arial"/>
          <w:sz w:val="20"/>
          <w:szCs w:val="20"/>
        </w:rPr>
      </w:pPr>
      <w:r w:rsidRPr="00F72752">
        <w:rPr>
          <w:rFonts w:ascii="Arial" w:hAnsi="Arial" w:cs="Arial"/>
          <w:sz w:val="20"/>
          <w:szCs w:val="20"/>
        </w:rPr>
        <w:t xml:space="preserve">Land use change in the uplands should be considered from a whole-system perspective. Interventions are </w:t>
      </w:r>
      <w:r>
        <w:rPr>
          <w:rFonts w:ascii="Arial" w:hAnsi="Arial" w:cs="Arial"/>
          <w:sz w:val="20"/>
          <w:szCs w:val="20"/>
        </w:rPr>
        <w:t xml:space="preserve">often </w:t>
      </w:r>
      <w:r>
        <w:rPr>
          <w:rFonts w:ascii="Arial" w:hAnsi="Arial" w:cs="Arial"/>
          <w:sz w:val="20"/>
          <w:szCs w:val="20"/>
        </w:rPr>
        <w:t>rightly</w:t>
      </w:r>
      <w:r w:rsidRPr="00F72752">
        <w:rPr>
          <w:rFonts w:ascii="Arial" w:hAnsi="Arial" w:cs="Arial"/>
          <w:sz w:val="20"/>
          <w:szCs w:val="20"/>
        </w:rPr>
        <w:t xml:space="preserve"> framed around simple principles</w:t>
      </w:r>
      <w:r>
        <w:rPr>
          <w:rFonts w:ascii="Arial" w:hAnsi="Arial" w:cs="Arial"/>
          <w:sz w:val="20"/>
          <w:szCs w:val="20"/>
        </w:rPr>
        <w:t xml:space="preserve"> </w:t>
      </w:r>
      <w:r>
        <w:rPr>
          <w:rFonts w:ascii="Arial" w:hAnsi="Arial" w:cs="Arial"/>
          <w:sz w:val="20"/>
          <w:szCs w:val="20"/>
        </w:rPr>
        <w:t>but must</w:t>
      </w:r>
      <w:r w:rsidRPr="00F72752">
        <w:rPr>
          <w:rFonts w:ascii="Arial" w:hAnsi="Arial" w:cs="Arial"/>
          <w:sz w:val="20"/>
          <w:szCs w:val="20"/>
        </w:rPr>
        <w:t xml:space="preserve"> fully </w:t>
      </w:r>
      <w:r>
        <w:rPr>
          <w:rFonts w:ascii="Arial" w:hAnsi="Arial" w:cs="Arial"/>
          <w:sz w:val="20"/>
          <w:szCs w:val="20"/>
        </w:rPr>
        <w:t>consider</w:t>
      </w:r>
      <w:r w:rsidRPr="00F72752">
        <w:rPr>
          <w:rFonts w:ascii="Arial" w:hAnsi="Arial" w:cs="Arial"/>
          <w:sz w:val="20"/>
          <w:szCs w:val="20"/>
        </w:rPr>
        <w:t xml:space="preserve"> the wider consequences for habitats, native breeds, farm businesses, local supply chains, skills, culture and community resilience. </w:t>
      </w:r>
      <w:r>
        <w:rPr>
          <w:rFonts w:ascii="Arial" w:hAnsi="Arial" w:cs="Arial"/>
          <w:sz w:val="20"/>
          <w:szCs w:val="20"/>
        </w:rPr>
        <w:t xml:space="preserve">  Noting that these impacts may not be consistent across differing contexts.</w:t>
      </w:r>
    </w:p>
    <w:p w:rsidR="00000000" w:rsidRPr="00AF64A3" w:rsidP="00AF64A3">
      <w:pPr>
        <w:rPr>
          <w:rFonts w:ascii="Arial" w:hAnsi="Arial" w:cs="Arial"/>
          <w:sz w:val="20"/>
          <w:szCs w:val="20"/>
        </w:rPr>
      </w:pPr>
      <w:r w:rsidRPr="00AF64A3">
        <w:rPr>
          <w:rFonts w:ascii="Arial" w:hAnsi="Arial" w:cs="Arial"/>
          <w:sz w:val="20"/>
          <w:szCs w:val="20"/>
        </w:rPr>
        <w:t>Where policy changes result in reduced livestock farming activity, there is a risk of wider economic and social impacts, including loss of employment, reduced demand for local services and declining opportunities for younger generations to remain within farming.</w:t>
      </w:r>
    </w:p>
    <w:p w:rsidR="00000000" w:rsidRPr="00AF64A3" w:rsidP="00AF64A3">
      <w:pPr>
        <w:rPr>
          <w:rFonts w:ascii="Arial" w:hAnsi="Arial" w:cs="Arial"/>
          <w:sz w:val="20"/>
          <w:szCs w:val="20"/>
        </w:rPr>
      </w:pPr>
      <w:r w:rsidRPr="00AF64A3">
        <w:rPr>
          <w:rFonts w:ascii="Arial" w:hAnsi="Arial" w:cs="Arial"/>
          <w:sz w:val="20"/>
          <w:szCs w:val="20"/>
        </w:rPr>
        <w:t>Traditional livestock systems are also closely linked to local knowledge, cultural heritage and the continued management of valued landscapes. Many native breeds are integral to the history and identity of particular upland regions. The decline of native breed populations would therefore represent a loss of cultural capital as well as agricultural biodiversity and genetic diversity.</w:t>
      </w:r>
    </w:p>
    <w:p w:rsidR="00000000" w:rsidRPr="00AF64A3" w:rsidP="00AF64A3">
      <w:pPr>
        <w:rPr>
          <w:rFonts w:ascii="Arial" w:hAnsi="Arial" w:cs="Arial"/>
          <w:sz w:val="20"/>
          <w:szCs w:val="20"/>
        </w:rPr>
      </w:pPr>
      <w:r w:rsidRPr="00AF64A3">
        <w:rPr>
          <w:rFonts w:ascii="Arial" w:hAnsi="Arial" w:cs="Arial"/>
          <w:sz w:val="20"/>
          <w:szCs w:val="20"/>
        </w:rPr>
        <w:t>A transition that focuses solely on environmental outputs without maintaining viable farming businesses risks undermining the communities that have historically managed these landscapes. Successful environmental outcomes depend upon retaining the people, skills and farming systems that sustain them.</w:t>
      </w:r>
    </w:p>
    <w:p w:rsidR="00000000" w:rsidRPr="00AF64A3" w:rsidP="00AF64A3">
      <w:pPr>
        <w:rPr>
          <w:rFonts w:ascii="Arial" w:hAnsi="Arial" w:cs="Arial"/>
          <w:b/>
          <w:bCs/>
          <w:sz w:val="20"/>
          <w:szCs w:val="20"/>
        </w:rPr>
      </w:pPr>
      <w:r w:rsidRPr="00AF64A3">
        <w:rPr>
          <w:rFonts w:ascii="Arial" w:hAnsi="Arial" w:cs="Arial"/>
          <w:b/>
          <w:bCs/>
          <w:sz w:val="20"/>
          <w:szCs w:val="20"/>
        </w:rPr>
        <w:t>7. How can government policy ensure that rural communities in upland areas benefit from changes?</w:t>
      </w:r>
    </w:p>
    <w:p w:rsidR="00000000" w:rsidRPr="00AF64A3" w:rsidP="00AF64A3">
      <w:pPr>
        <w:rPr>
          <w:rFonts w:ascii="Arial" w:hAnsi="Arial" w:cs="Arial"/>
          <w:sz w:val="20"/>
          <w:szCs w:val="20"/>
        </w:rPr>
      </w:pPr>
      <w:r w:rsidRPr="00AF64A3">
        <w:rPr>
          <w:rFonts w:ascii="Arial" w:hAnsi="Arial" w:cs="Arial"/>
          <w:sz w:val="20"/>
          <w:szCs w:val="20"/>
        </w:rPr>
        <w:t>Government policy should ensure that environmental objectives are pursued alongside thriving rural economies and communities.</w:t>
      </w:r>
    </w:p>
    <w:p w:rsidR="00000000" w:rsidP="00AF64A3">
      <w:pPr>
        <w:rPr>
          <w:rFonts w:ascii="Arial" w:hAnsi="Arial" w:cs="Arial"/>
          <w:sz w:val="20"/>
          <w:szCs w:val="20"/>
        </w:rPr>
      </w:pPr>
      <w:r w:rsidRPr="00AF64A3">
        <w:rPr>
          <w:rFonts w:ascii="Arial" w:hAnsi="Arial" w:cs="Arial"/>
          <w:sz w:val="20"/>
          <w:szCs w:val="20"/>
        </w:rPr>
        <w:t>This requires support mechanisms that reward active land management, sustain farming employment and recognise the contribution of traditional livestock systems. Farmers should be viewed as partners in environmental delivery rather than simply recipients of regulation or environmental payments.</w:t>
      </w:r>
    </w:p>
    <w:p w:rsidR="00000000" w:rsidRPr="00AF64A3" w:rsidP="00AF64A3">
      <w:pPr>
        <w:rPr>
          <w:rFonts w:ascii="Arial" w:hAnsi="Arial" w:cs="Arial"/>
          <w:sz w:val="20"/>
          <w:szCs w:val="20"/>
        </w:rPr>
      </w:pPr>
      <w:r w:rsidRPr="004C38EC">
        <w:rPr>
          <w:rFonts w:ascii="Arial" w:hAnsi="Arial" w:cs="Arial"/>
          <w:sz w:val="20"/>
          <w:szCs w:val="20"/>
        </w:rPr>
        <w:t>Government intervention is likely to be more resilient where it is strategic rather than overly prescriptive. Policy should set clear desired outcomes</w:t>
      </w:r>
      <w:r>
        <w:rPr>
          <w:rFonts w:ascii="Arial" w:hAnsi="Arial" w:cs="Arial"/>
          <w:sz w:val="20"/>
          <w:szCs w:val="20"/>
        </w:rPr>
        <w:t xml:space="preserve">, </w:t>
      </w:r>
      <w:r w:rsidRPr="004C38EC">
        <w:rPr>
          <w:rFonts w:ascii="Arial" w:hAnsi="Arial" w:cs="Arial"/>
          <w:sz w:val="20"/>
          <w:szCs w:val="20"/>
        </w:rPr>
        <w:t>for example for biodiversity, genetic diversity, climate resilience, water management and rural viability</w:t>
      </w:r>
      <w:r>
        <w:rPr>
          <w:rFonts w:ascii="Arial" w:hAnsi="Arial" w:cs="Arial"/>
          <w:sz w:val="20"/>
          <w:szCs w:val="20"/>
        </w:rPr>
        <w:t xml:space="preserve">, </w:t>
      </w:r>
      <w:r w:rsidRPr="004C38EC">
        <w:rPr>
          <w:rFonts w:ascii="Arial" w:hAnsi="Arial" w:cs="Arial"/>
          <w:sz w:val="20"/>
          <w:szCs w:val="20"/>
        </w:rPr>
        <w:t xml:space="preserve">but allow land managers flexibility to decide how best to deliver them </w:t>
      </w:r>
      <w:r>
        <w:rPr>
          <w:rFonts w:ascii="Arial" w:hAnsi="Arial" w:cs="Arial"/>
          <w:sz w:val="20"/>
          <w:szCs w:val="20"/>
        </w:rPr>
        <w:t xml:space="preserve">recognising the costs associated with the additional level of risk. </w:t>
      </w:r>
      <w:r w:rsidRPr="004C38EC">
        <w:rPr>
          <w:rFonts w:ascii="Arial" w:hAnsi="Arial" w:cs="Arial"/>
          <w:sz w:val="20"/>
          <w:szCs w:val="20"/>
        </w:rPr>
        <w:t>In the uplands, contextual fit is critical: the same prescription may produce very different outcomes depending on geography, breed, grazing system, community infrastructure and business model.</w:t>
      </w:r>
    </w:p>
    <w:p w:rsidR="00000000" w:rsidRPr="00AF64A3" w:rsidP="00AF64A3">
      <w:pPr>
        <w:rPr>
          <w:rFonts w:ascii="Arial" w:hAnsi="Arial" w:cs="Arial"/>
          <w:sz w:val="20"/>
          <w:szCs w:val="20"/>
        </w:rPr>
      </w:pPr>
      <w:r w:rsidRPr="00AF64A3">
        <w:rPr>
          <w:rFonts w:ascii="Arial" w:hAnsi="Arial" w:cs="Arial"/>
          <w:sz w:val="20"/>
          <w:szCs w:val="20"/>
        </w:rPr>
        <w:t>RBST recommends:</w:t>
      </w:r>
    </w:p>
    <w:p w:rsidR="00000000" w:rsidRPr="00AF64A3" w:rsidP="00AF64A3">
      <w:pPr>
        <w:numPr>
          <w:ilvl w:val="0"/>
          <w:numId w:val="2"/>
        </w:numPr>
        <w:rPr>
          <w:rFonts w:ascii="Arial" w:hAnsi="Arial" w:cs="Arial"/>
          <w:sz w:val="20"/>
          <w:szCs w:val="20"/>
        </w:rPr>
      </w:pPr>
      <w:r w:rsidRPr="00AF64A3">
        <w:rPr>
          <w:rFonts w:ascii="Arial" w:hAnsi="Arial" w:cs="Arial"/>
          <w:sz w:val="20"/>
          <w:szCs w:val="20"/>
        </w:rPr>
        <w:t>Formal recognition of livestock genetic diversity as a public good within agricultural and environmental policy frameworks.</w:t>
      </w:r>
    </w:p>
    <w:p w:rsidR="00000000" w:rsidRPr="00AF64A3" w:rsidP="00AF64A3">
      <w:pPr>
        <w:numPr>
          <w:ilvl w:val="0"/>
          <w:numId w:val="2"/>
        </w:numPr>
        <w:rPr>
          <w:rFonts w:ascii="Arial" w:hAnsi="Arial" w:cs="Arial"/>
          <w:sz w:val="20"/>
          <w:szCs w:val="20"/>
        </w:rPr>
      </w:pPr>
      <w:r w:rsidRPr="00AF64A3">
        <w:rPr>
          <w:rFonts w:ascii="Arial" w:hAnsi="Arial" w:cs="Arial"/>
          <w:sz w:val="20"/>
          <w:szCs w:val="20"/>
        </w:rPr>
        <w:t>Greater support for native breed grazing systems that deliver biodiversity, landscape, climate and water management outcomes.</w:t>
      </w:r>
    </w:p>
    <w:p w:rsidR="00000000" w:rsidRPr="00AF64A3" w:rsidP="00AF64A3">
      <w:pPr>
        <w:numPr>
          <w:ilvl w:val="0"/>
          <w:numId w:val="2"/>
        </w:numPr>
        <w:rPr>
          <w:rFonts w:ascii="Arial" w:hAnsi="Arial" w:cs="Arial"/>
          <w:sz w:val="20"/>
          <w:szCs w:val="20"/>
        </w:rPr>
      </w:pPr>
      <w:r w:rsidRPr="00AF64A3">
        <w:rPr>
          <w:rFonts w:ascii="Arial" w:hAnsi="Arial" w:cs="Arial"/>
          <w:sz w:val="20"/>
          <w:szCs w:val="20"/>
        </w:rPr>
        <w:t>Integration of livestock genetic diversity objectives within Environmental Land Management schemes and other public funding mechanisms.</w:t>
      </w:r>
    </w:p>
    <w:p w:rsidR="00000000" w:rsidRPr="00AF64A3" w:rsidP="00AF64A3">
      <w:pPr>
        <w:numPr>
          <w:ilvl w:val="0"/>
          <w:numId w:val="2"/>
        </w:numPr>
        <w:rPr>
          <w:rFonts w:ascii="Arial" w:hAnsi="Arial" w:cs="Arial"/>
          <w:sz w:val="20"/>
          <w:szCs w:val="20"/>
        </w:rPr>
      </w:pPr>
      <w:r w:rsidRPr="00AF64A3">
        <w:rPr>
          <w:rFonts w:ascii="Arial" w:hAnsi="Arial" w:cs="Arial"/>
          <w:sz w:val="20"/>
          <w:szCs w:val="20"/>
        </w:rPr>
        <w:t>Long-term funding certainty for environmental management agreements.</w:t>
      </w:r>
    </w:p>
    <w:p w:rsidR="00000000" w:rsidRPr="00AF64A3" w:rsidP="00AF64A3">
      <w:pPr>
        <w:numPr>
          <w:ilvl w:val="0"/>
          <w:numId w:val="2"/>
        </w:numPr>
        <w:rPr>
          <w:rFonts w:ascii="Arial" w:hAnsi="Arial" w:cs="Arial"/>
          <w:sz w:val="20"/>
          <w:szCs w:val="20"/>
        </w:rPr>
      </w:pPr>
      <w:r w:rsidRPr="00AF64A3">
        <w:rPr>
          <w:rFonts w:ascii="Arial" w:hAnsi="Arial" w:cs="Arial"/>
          <w:sz w:val="20"/>
          <w:szCs w:val="20"/>
        </w:rPr>
        <w:t>Investment in local processing infrastructure, including small abattoirs, which are essential for extensive livestock systems and native breed producers.</w:t>
      </w:r>
    </w:p>
    <w:p w:rsidR="00000000" w:rsidRPr="00AF64A3" w:rsidP="00AF64A3">
      <w:pPr>
        <w:numPr>
          <w:ilvl w:val="0"/>
          <w:numId w:val="2"/>
        </w:numPr>
        <w:rPr>
          <w:rFonts w:ascii="Arial" w:hAnsi="Arial" w:cs="Arial"/>
          <w:sz w:val="20"/>
          <w:szCs w:val="20"/>
        </w:rPr>
      </w:pPr>
      <w:r w:rsidRPr="00AF64A3">
        <w:rPr>
          <w:rFonts w:ascii="Arial" w:hAnsi="Arial" w:cs="Arial"/>
          <w:sz w:val="20"/>
          <w:szCs w:val="20"/>
        </w:rPr>
        <w:t>Support for skills, training and succession within upland farming communities.</w:t>
      </w:r>
    </w:p>
    <w:p w:rsidR="00000000" w:rsidP="00AF64A3">
      <w:pPr>
        <w:numPr>
          <w:ilvl w:val="0"/>
          <w:numId w:val="2"/>
        </w:numPr>
        <w:rPr>
          <w:rFonts w:ascii="Arial" w:hAnsi="Arial" w:cs="Arial"/>
          <w:sz w:val="20"/>
          <w:szCs w:val="20"/>
        </w:rPr>
      </w:pPr>
      <w:r w:rsidRPr="00AF64A3">
        <w:rPr>
          <w:rFonts w:ascii="Arial" w:hAnsi="Arial" w:cs="Arial"/>
          <w:sz w:val="20"/>
          <w:szCs w:val="20"/>
        </w:rPr>
        <w:t>Development of markets that reward sustainably produced products from native breeds and extensive grazing systems.</w:t>
      </w:r>
    </w:p>
    <w:p w:rsidR="00000000" w:rsidRPr="00AF64A3" w:rsidP="00AF64A3">
      <w:pPr>
        <w:rPr>
          <w:rFonts w:ascii="Arial" w:hAnsi="Arial" w:cs="Arial"/>
          <w:sz w:val="20"/>
          <w:szCs w:val="20"/>
        </w:rPr>
      </w:pPr>
      <w:r w:rsidRPr="006E1C58">
        <w:rPr>
          <w:rFonts w:ascii="Arial" w:hAnsi="Arial" w:cs="Arial"/>
          <w:sz w:val="20"/>
          <w:szCs w:val="20"/>
        </w:rPr>
        <w:t>Intervention should empower farmers and land managers to deliver shared public objectives in ways that fit their local context, rather than imposing detailed prescriptions that may fail to reflect practical, ecological or economic reality.</w:t>
      </w:r>
      <w:r w:rsidRPr="00AF64A3">
        <w:rPr>
          <w:rFonts w:ascii="Arial" w:hAnsi="Arial" w:cs="Arial"/>
          <w:sz w:val="20"/>
          <w:szCs w:val="20"/>
        </w:rPr>
        <w:t>RBST would particularly emphasise the importance of maintaining the local abattoir network. Sustainable upland livestock farming depends upon access to local abattoirs capable of processing small numbers of animals from diverse species and breeds. Without such facilities, transport distances increase, costs rise, marketing opportunities are reduced and the viability of many native breed enterprises is undermined.</w:t>
      </w:r>
    </w:p>
    <w:p w:rsidR="00000000" w:rsidRPr="00AF64A3" w:rsidP="00AF64A3">
      <w:pPr>
        <w:rPr>
          <w:rFonts w:ascii="Arial" w:hAnsi="Arial" w:cs="Arial"/>
          <w:sz w:val="20"/>
          <w:szCs w:val="20"/>
        </w:rPr>
      </w:pPr>
      <w:r w:rsidRPr="00AF64A3">
        <w:rPr>
          <w:rFonts w:ascii="Arial" w:hAnsi="Arial" w:cs="Arial"/>
          <w:sz w:val="20"/>
          <w:szCs w:val="20"/>
        </w:rPr>
        <w:t>Local abattoirs are a critical component of sustainable food systems, enabling farmers to market high-quality local produce, maintain shorter supply chains and realise the full value of extensive grazing systems. Their continued decline represents a strategic risk to both environmental and agricultural policy objectives.</w:t>
      </w:r>
    </w:p>
    <w:p w:rsidR="00000000" w:rsidP="00AF64A3">
      <w:pPr>
        <w:rPr>
          <w:rFonts w:ascii="Arial" w:hAnsi="Arial" w:cs="Arial"/>
          <w:sz w:val="20"/>
          <w:szCs w:val="20"/>
        </w:rPr>
      </w:pPr>
      <w:r w:rsidRPr="00AF64A3">
        <w:rPr>
          <w:rFonts w:ascii="Arial" w:hAnsi="Arial" w:cs="Arial"/>
          <w:sz w:val="20"/>
          <w:szCs w:val="20"/>
        </w:rPr>
        <w:t>RBST has been encouraged by the Food Standards Agency's recognition of the public benefits provided by smaller abattoirs and its desire to reduce the regulatory fee burden they face. However, this issue ultimately requires strategic leadership from Defra itself. The local abattoir network should be recognised as nationally important infrastructure underpinning sustainable livestock farming, environmental land management, rural economic resilience and the conservation of native livestock breeds.</w:t>
      </w:r>
    </w:p>
    <w:p w:rsidR="00130CC2" w:rsidRPr="00AF64A3" w:rsidP="00AF64A3">
      <w:pPr>
        <w:rPr>
          <w:rFonts w:ascii="Arial" w:hAnsi="Arial" w:cs="Arial"/>
          <w:sz w:val="20"/>
          <w:szCs w:val="20"/>
        </w:rPr>
      </w:pPr>
      <w:r>
        <w:rPr>
          <w:rFonts w:ascii="Arial" w:hAnsi="Arial" w:cs="Arial"/>
          <w:sz w:val="20"/>
          <w:szCs w:val="20"/>
        </w:rPr>
        <w:t>June 2026</w:t>
      </w:r>
    </w:p>
    <w:sectPr w:rsidSect="00130CC2">
      <w:pgSz w:w="11906" w:h="16838"/>
      <w:pgMar w:top="1440"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4C341AF2"/>
    <w:multiLevelType w:val="multilevel"/>
    <w:tmpl w:val="D54C6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1514BDC"/>
    <w:multiLevelType w:val="multilevel"/>
    <w:tmpl w:val="11FAF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mathPr>
  <w:themeFontLang w:val="en-GB"/>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GB"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link w:val="Heading1Char"/>
    <w:uiPriority w:val="9"/>
    <w:qFormat/>
    <w:rsid w:val="00AF64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64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64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64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64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64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64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64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64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64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64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64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64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64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64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64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64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64A3"/>
    <w:rPr>
      <w:rFonts w:eastAsiaTheme="majorEastAsia" w:cstheme="majorBidi"/>
      <w:color w:val="272727" w:themeColor="text1" w:themeTint="D8"/>
    </w:rPr>
  </w:style>
  <w:style w:type="paragraph" w:styleId="Title">
    <w:name w:val="Title"/>
    <w:basedOn w:val="Normal"/>
    <w:next w:val="Normal"/>
    <w:link w:val="TitleChar"/>
    <w:uiPriority w:val="10"/>
    <w:qFormat/>
    <w:rsid w:val="00AF64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64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64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64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64A3"/>
    <w:pPr>
      <w:spacing w:before="160"/>
      <w:jc w:val="center"/>
    </w:pPr>
    <w:rPr>
      <w:i/>
      <w:iCs/>
      <w:color w:val="404040" w:themeColor="text1" w:themeTint="BF"/>
    </w:rPr>
  </w:style>
  <w:style w:type="character" w:customStyle="1" w:styleId="QuoteChar">
    <w:name w:val="Quote Char"/>
    <w:basedOn w:val="DefaultParagraphFont"/>
    <w:link w:val="Quote"/>
    <w:uiPriority w:val="29"/>
    <w:rsid w:val="00AF64A3"/>
    <w:rPr>
      <w:i/>
      <w:iCs/>
      <w:color w:val="404040" w:themeColor="text1" w:themeTint="BF"/>
    </w:rPr>
  </w:style>
  <w:style w:type="paragraph" w:styleId="ListParagraph">
    <w:name w:val="List Paragraph"/>
    <w:basedOn w:val="Normal"/>
    <w:uiPriority w:val="34"/>
    <w:qFormat/>
    <w:rsid w:val="00AF64A3"/>
    <w:pPr>
      <w:ind w:left="720"/>
      <w:contextualSpacing/>
    </w:pPr>
  </w:style>
  <w:style w:type="character" w:styleId="IntenseEmphasis">
    <w:name w:val="Intense Emphasis"/>
    <w:basedOn w:val="DefaultParagraphFont"/>
    <w:uiPriority w:val="21"/>
    <w:qFormat/>
    <w:rsid w:val="00AF64A3"/>
    <w:rPr>
      <w:i/>
      <w:iCs/>
      <w:color w:val="0F4761" w:themeColor="accent1" w:themeShade="BF"/>
    </w:rPr>
  </w:style>
  <w:style w:type="paragraph" w:styleId="IntenseQuote">
    <w:name w:val="Intense Quote"/>
    <w:basedOn w:val="Normal"/>
    <w:next w:val="Normal"/>
    <w:link w:val="IntenseQuoteChar"/>
    <w:uiPriority w:val="30"/>
    <w:qFormat/>
    <w:rsid w:val="00AF64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64A3"/>
    <w:rPr>
      <w:i/>
      <w:iCs/>
      <w:color w:val="0F4761" w:themeColor="accent1" w:themeShade="BF"/>
    </w:rPr>
  </w:style>
  <w:style w:type="character" w:styleId="IntenseReference">
    <w:name w:val="Intense Reference"/>
    <w:basedOn w:val="DefaultParagraphFont"/>
    <w:uiPriority w:val="32"/>
    <w:qFormat/>
    <w:rsid w:val="00AF64A3"/>
    <w:rPr>
      <w:b/>
      <w:bCs/>
      <w:smallCaps/>
      <w:color w:val="0F4761" w:themeColor="accent1" w:themeShade="BF"/>
      <w:spacing w:val="5"/>
    </w:rPr>
  </w:style>
  <w:style w:type="paragraph" w:styleId="Revision">
    <w:name w:val="Revision"/>
    <w:hidden/>
    <w:uiPriority w:val="99"/>
    <w:semiHidden/>
    <w:rsid w:val="00157F07"/>
    <w:pPr>
      <w:spacing w:after="0" w:line="240" w:lineRule="auto"/>
    </w:pPr>
  </w:style>
  <w:style w:type="character" w:styleId="CommentReference">
    <w:name w:val="annotation reference"/>
    <w:basedOn w:val="DefaultParagraphFont"/>
    <w:uiPriority w:val="99"/>
    <w:semiHidden/>
    <w:unhideWhenUsed/>
    <w:rsid w:val="009172A1"/>
    <w:rPr>
      <w:sz w:val="16"/>
      <w:szCs w:val="16"/>
    </w:rPr>
  </w:style>
  <w:style w:type="paragraph" w:styleId="CommentText">
    <w:name w:val="annotation text"/>
    <w:basedOn w:val="Normal"/>
    <w:link w:val="CommentTextChar"/>
    <w:uiPriority w:val="99"/>
    <w:unhideWhenUsed/>
    <w:rsid w:val="009172A1"/>
    <w:pPr>
      <w:spacing w:line="240" w:lineRule="auto"/>
    </w:pPr>
    <w:rPr>
      <w:sz w:val="20"/>
      <w:szCs w:val="20"/>
    </w:rPr>
  </w:style>
  <w:style w:type="character" w:customStyle="1" w:styleId="CommentTextChar">
    <w:name w:val="Comment Text Char"/>
    <w:basedOn w:val="DefaultParagraphFont"/>
    <w:link w:val="CommentText"/>
    <w:uiPriority w:val="99"/>
    <w:rsid w:val="009172A1"/>
    <w:rPr>
      <w:sz w:val="20"/>
      <w:szCs w:val="20"/>
    </w:rPr>
  </w:style>
  <w:style w:type="paragraph" w:styleId="CommentSubject">
    <w:name w:val="annotation subject"/>
    <w:basedOn w:val="CommentText"/>
    <w:next w:val="CommentText"/>
    <w:link w:val="CommentSubjectChar"/>
    <w:uiPriority w:val="99"/>
    <w:semiHidden/>
    <w:unhideWhenUsed/>
    <w:rsid w:val="009172A1"/>
    <w:rPr>
      <w:b/>
      <w:bCs/>
    </w:rPr>
  </w:style>
  <w:style w:type="character" w:customStyle="1" w:styleId="CommentSubjectChar">
    <w:name w:val="Comment Subject Char"/>
    <w:basedOn w:val="CommentTextChar"/>
    <w:link w:val="CommentSubject"/>
    <w:uiPriority w:val="99"/>
    <w:semiHidden/>
    <w:rsid w:val="009172A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theme" Target="theme/theme1.xml" /><Relationship Id="rId5" Type="http://schemas.openxmlformats.org/officeDocument/2006/relationships/numbering" Target="numbering.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a8f77787-5df4-43b6-a2a8-8d8b678a318b}" enabled="1" method="Standard" siteId="{1ce6dd9e-b337-4088-be5e-8dbbec04b34a}" contentBits="0" removed="0"/>
</clbl:labelList>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Written evidence - LUN0057</dc:title>
  <cp:revision>0</cp:revision>
</cp:coreProperties>
</file>