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691A" w:rsidP="00767152">
      <w:pPr>
        <w:jc w:val="center"/>
        <w:rPr>
          <w:b/>
          <w:bCs/>
        </w:rPr>
      </w:pPr>
      <w:r w:rsidRPr="00767152">
        <w:rPr>
          <w:b/>
          <w:bCs/>
        </w:rPr>
        <w:t xml:space="preserve">Written evidence submitted by </w:t>
      </w:r>
      <w:r w:rsidRPr="00767152">
        <w:rPr>
          <w:b/>
          <w:bCs/>
        </w:rPr>
        <w:t>Nature Friendly Farming Network</w:t>
      </w:r>
      <w:r w:rsidRPr="00767152">
        <w:rPr>
          <w:b/>
          <w:bCs/>
        </w:rPr>
        <w:t xml:space="preserve"> (LUN0056)</w:t>
      </w:r>
    </w:p>
    <w:p w:rsidR="00767152" w:rsidRPr="00767152" w:rsidP="00767152">
      <w:pPr>
        <w:jc w:val="center"/>
        <w:rPr>
          <w:b/>
          <w:bCs/>
        </w:rPr>
      </w:pPr>
    </w:p>
    <w:p w:rsidR="0013691A">
      <w:pPr>
        <w:rPr>
          <w:b/>
          <w:bCs/>
        </w:rPr>
      </w:pPr>
      <w:r>
        <w:rPr>
          <w:b/>
          <w:bCs/>
        </w:rPr>
        <w:t>Executive Summary:</w:t>
      </w:r>
    </w:p>
    <w:p w:rsidR="0013691A">
      <w:pPr>
        <w:rPr>
          <w:color w:val="1F1F1F"/>
          <w:highlight w:val="white"/>
        </w:rPr>
      </w:pPr>
      <w:r>
        <w:rPr>
          <w:color w:val="1F1F1F"/>
          <w:highlight w:val="white"/>
        </w:rPr>
        <w:t>The NFFN advocates for a move away from "siloed" decision-making, arguing that upland land is inherently multifunctional. Policies should no longer compartmentalise land as either "for food" or "for nature," and instead recognise the interdependencies between food production and ecosystem services like carbon sequestration, biodiversity, and flood management, and ensure fair returns for the private and public goods farmland produces. There have been positive indications from Government recently, through the Land Use Framework for England and the Farming Roadmap, that policy-making will facilitate better, joined-up delivery on farmland, driving benefits for farm businesses, the natural environment and the sector’s resilience to shocks and a changing climate. Upland farming is uniquely placed to deliver exceptional levels of environmental public goods as part of multi functional farm businesses, but urgent changes are needed to incentivise and fairly reward public good delivery up the hill and improve rates of market return for the food these systems produce.</w:t>
      </w:r>
    </w:p>
    <w:p w:rsidR="0013691A">
      <w:pPr>
        <w:shd w:val="clear" w:color="auto" w:fill="FFFFFF"/>
        <w:rPr>
          <w:color w:val="1F1F1F"/>
        </w:rPr>
      </w:pPr>
    </w:p>
    <w:p w:rsidR="0013691A">
      <w:pPr>
        <w:rPr>
          <w:b/>
          <w:bCs/>
          <w:color w:val="1F1F1F"/>
          <w:highlight w:val="white"/>
        </w:rPr>
      </w:pPr>
      <w:r>
        <w:rPr>
          <w:b/>
          <w:bCs/>
          <w:color w:val="1F1F1F"/>
          <w:highlight w:val="white"/>
        </w:rPr>
        <w:t>Key Recommendations and Findings</w:t>
      </w:r>
    </w:p>
    <w:p w:rsidR="0013691A">
      <w:pPr>
        <w:numPr>
          <w:ilvl w:val="0"/>
          <w:numId w:val="1"/>
        </w:numPr>
        <w:shd w:val="clear" w:color="auto" w:fill="FFFFFF"/>
        <w:spacing w:before="240" w:line="240" w:lineRule="auto"/>
      </w:pPr>
      <w:r>
        <w:rPr>
          <w:b/>
          <w:bCs/>
          <w:color w:val="1F1F1F"/>
        </w:rPr>
        <w:t>Improving ELMS Access:</w:t>
      </w:r>
      <w:r>
        <w:rPr>
          <w:color w:val="1F1F1F"/>
        </w:rPr>
        <w:t xml:space="preserve"> Current Environmental Land Management Schemes (ELMS) are heavily skewed toward broad, shallow actions through SFI. Upland farmers require more nuanced options suited to complex habitats and often extensive livestock based systems. Barriers to accessing Higher Tier Stewardship and Landscape Recovery schemes, such as limited budget, complex application processes and lack of staff capacity, must be addressed.</w:t>
      </w:r>
    </w:p>
    <w:p w:rsidR="0013691A">
      <w:pPr>
        <w:numPr>
          <w:ilvl w:val="0"/>
          <w:numId w:val="1"/>
        </w:numPr>
        <w:shd w:val="clear" w:color="auto" w:fill="FFFFFF"/>
        <w:spacing w:line="240" w:lineRule="auto"/>
      </w:pPr>
      <w:r>
        <w:rPr>
          <w:b/>
          <w:bCs/>
          <w:color w:val="1F1F1F"/>
        </w:rPr>
        <w:t>Climate Adaptation:</w:t>
      </w:r>
      <w:r>
        <w:rPr>
          <w:color w:val="1F1F1F"/>
        </w:rPr>
        <w:t xml:space="preserve"> The uplands are critical for climate resilience. Prioritising peatland restoration is a cost-effective adaptation measure that increases water-holding capacity, thereby mitigating wildfire and flooding risks. The government must elevate climate mitigation and adaptation to the same priority level as national security threats.</w:t>
      </w:r>
    </w:p>
    <w:p w:rsidR="0013691A">
      <w:pPr>
        <w:numPr>
          <w:ilvl w:val="0"/>
          <w:numId w:val="1"/>
        </w:numPr>
        <w:shd w:val="clear" w:color="auto" w:fill="FFFFFF"/>
        <w:spacing w:line="240" w:lineRule="auto"/>
      </w:pPr>
      <w:r>
        <w:rPr>
          <w:b/>
          <w:bCs/>
          <w:color w:val="1F1F1F"/>
        </w:rPr>
        <w:t>Data and Evidence:</w:t>
      </w:r>
      <w:r>
        <w:rPr>
          <w:color w:val="1F1F1F"/>
        </w:rPr>
        <w:t xml:space="preserve"> Effective land-use decisions are currently hindered by outdated or incomplete datasets. There is an urgent need for up-to-date habitat, soil, and peatland mapping to maximise environmental synergies and track progress.</w:t>
      </w:r>
    </w:p>
    <w:p w:rsidR="0013691A">
      <w:pPr>
        <w:numPr>
          <w:ilvl w:val="0"/>
          <w:numId w:val="1"/>
        </w:numPr>
        <w:shd w:val="clear" w:color="auto" w:fill="FFFFFF"/>
        <w:spacing w:line="240" w:lineRule="auto"/>
      </w:pPr>
      <w:r>
        <w:rPr>
          <w:b/>
          <w:bCs/>
          <w:color w:val="1F1F1F"/>
        </w:rPr>
        <w:t>Supporting Rural Communities:</w:t>
      </w:r>
      <w:r>
        <w:rPr>
          <w:color w:val="1F1F1F"/>
        </w:rPr>
        <w:t xml:space="preserve"> Investment strategies should avoid "land sparing" models, which can negatively impact local tenancies and rural jobs. Instead, the government should use the Land Use Framework and Farming Roadmap to support multifunctional land use, to boost rural economies through regional food systems, tourism, and jobs in nature restoration.</w:t>
      </w:r>
    </w:p>
    <w:p w:rsidR="0013691A">
      <w:pPr>
        <w:numPr>
          <w:ilvl w:val="0"/>
          <w:numId w:val="1"/>
        </w:numPr>
        <w:shd w:val="clear" w:color="auto" w:fill="FFFFFF"/>
        <w:spacing w:line="240" w:lineRule="auto"/>
      </w:pPr>
      <w:r>
        <w:rPr>
          <w:b/>
          <w:bCs/>
          <w:color w:val="1F1F1F"/>
        </w:rPr>
        <w:t>Joined-up Governance:</w:t>
      </w:r>
      <w:r>
        <w:rPr>
          <w:color w:val="1F1F1F"/>
        </w:rPr>
        <w:t xml:space="preserve"> Rural communities are impacted by policies across multiple departments. Improved communication and integration between Defra and other departments e.g. Department for Transport and Ministry of Housing are vital to addressing regional challenges like flood risk and infrastructure planning.</w:t>
      </w:r>
    </w:p>
    <w:p w:rsidR="0013691A">
      <w:pPr>
        <w:numPr>
          <w:ilvl w:val="0"/>
          <w:numId w:val="1"/>
        </w:numPr>
        <w:shd w:val="clear" w:color="auto" w:fill="FFFFFF"/>
        <w:spacing w:line="240" w:lineRule="auto"/>
      </w:pPr>
      <w:r>
        <w:rPr>
          <w:b/>
          <w:bCs/>
          <w:color w:val="1F1F1F"/>
        </w:rPr>
        <w:t>Stakeholder Engagement:</w:t>
      </w:r>
      <w:r>
        <w:rPr>
          <w:color w:val="1F1F1F"/>
        </w:rPr>
        <w:t xml:space="preserve"> Peer-to-peer knowledge sharing as demonstrated by the Farming in Protected Landscapes (FiPL) programme is highly effective. The government should prioritize deep stakeholder engagement and empower Local Authorities to manage and implement nature recovery strategies.</w:t>
      </w:r>
    </w:p>
    <w:p w:rsidR="0013691A"/>
    <w:p w:rsidR="0013691A"/>
    <w:p w:rsidR="0013691A">
      <w:pPr>
        <w:numPr>
          <w:ilvl w:val="0"/>
          <w:numId w:val="2"/>
        </w:numPr>
      </w:pPr>
      <w:r>
        <w:t>How effectively do current policies balance competing demands in the uplands, including food production, nature recovery, climate mitigation, water management, and public access, and where do the key tensions remain?</w:t>
      </w:r>
    </w:p>
    <w:p w:rsidR="0013691A">
      <w:pPr>
        <w:ind w:left="720"/>
      </w:pPr>
    </w:p>
    <w:p w:rsidR="0013691A">
      <w:r>
        <w:rPr>
          <w:b/>
          <w:bCs/>
        </w:rPr>
        <w:t>1.1</w:t>
      </w:r>
      <w:r>
        <w:t xml:space="preserve"> With the introduction of the Agriculture Act in 2020, the principle of ‘public money for public goods’ was adopted by the Westminster Government in an effort to move away from direct payments which were not considered good value for money. The Environmental Land Management Schemes (ELMS) were intended to reward farmers for their delivery of environmental actions. However, this system - which should have led to significant investment in upland farming systems due to their complex and ecologically rich habitat mosaics - has so far failed to adequately rebalance public investment across both lowland and upland farming systems, tailored to their different, but equally important production strengths. This has led to the majority of the ELM budget being used for the SFI scheme which itself is more reflective of lowland, arable production dynamics and inadequate investment in Countryside Stewardship Higher Tier (CSHT) and Landscape Recovery which are better equipped to support multifunctional land use in upland areas.</w:t>
      </w:r>
    </w:p>
    <w:p w:rsidR="0013691A"/>
    <w:p w:rsidR="0013691A">
      <w:r>
        <w:rPr>
          <w:b/>
          <w:bCs/>
        </w:rPr>
        <w:t>1.2</w:t>
      </w:r>
      <w:r>
        <w:t xml:space="preserve"> It is vital that, with a new Land Use Framework, and Farming Roadmap now in place, the policy framework for upland farms swiftly and demonstrably moves away from siloed decision-making and ensures fair returns for the wide range of private and public goods these systems are capable of producing. In the same vein, advice and support to farmers - whether lowland or upland - must support true whole farm planning and delivery, integrating and maximising the synergies between land managed for food, feed or fibre production and land used for environmental service delivery. Without this approach we risk blunt ‘land sparing’ outcomes with nature and climate actions pushed up the hill and more agriculturally productive areas becoming even more intensively managed. </w:t>
      </w:r>
    </w:p>
    <w:p w:rsidR="0013691A"/>
    <w:p w:rsidR="0013691A">
      <w:r>
        <w:rPr>
          <w:b/>
          <w:bCs/>
        </w:rPr>
        <w:t>1.3</w:t>
      </w:r>
      <w:r>
        <w:t xml:space="preserve"> The recently released Climate Change Committee: A well adapted UK report, states that the UK is  not only warming faster than the global average but is also seeing increases in extreme rainfall and wildfire events</w:t>
      </w:r>
      <w:r>
        <w:rPr>
          <w:vertAlign w:val="superscript"/>
        </w:rPr>
        <w:footnoteReference w:id="2"/>
      </w:r>
      <w:r>
        <w:t>. One example of how upland systems could be used to help the UK to adapt to a changing climate is through peatland restoration. Peatlands offer critical stores for both water and carbon, with the vast majority of peatland ecosystems in England found in upland areas e.g. the Pennines, Lake District, North Yorkshire and the South West. Approximately 80% of peatlands are degraded and dry</w:t>
      </w:r>
      <w:r>
        <w:rPr>
          <w:vertAlign w:val="superscript"/>
        </w:rPr>
        <w:footnoteReference w:id="3"/>
      </w:r>
      <w:r>
        <w:t>, and degraded peatlands will actually emit carbon and are more vulnerable to wildfire and have a lower water holding capacity. Re-wetting and more sensitive management of peatlands can increase water-holding capacity, thereby reducing flooding and wildfire risk, and acting as a valuable and relatively cost effective adaptation measure</w:t>
      </w:r>
      <w:r>
        <w:rPr>
          <w:vertAlign w:val="superscript"/>
        </w:rPr>
        <w:footnoteReference w:id="4"/>
      </w:r>
      <w:r>
        <w:t>. It is also perfectly possible to sensitively graze peatland areas.</w:t>
      </w:r>
    </w:p>
    <w:p w:rsidR="0013691A"/>
    <w:p w:rsidR="0013691A">
      <w:r>
        <w:rPr>
          <w:b/>
          <w:bCs/>
        </w:rPr>
        <w:t>1.4</w:t>
      </w:r>
      <w:r>
        <w:t xml:space="preserve"> The CCC: A well adapted UK report also states that what the Government has been doing so far to adapt to climate change is not sufficient, and that climate change mitigation needs to have the, ‘same level of focus and commitment as geopolitical and other security threats’. Therefore it is imperative that the government increases its commitment to tackling both adaptation and mitigation to climate change, and utilises the great value the uplands can provide in helping to achieve this.</w:t>
      </w:r>
    </w:p>
    <w:p w:rsidR="0013691A"/>
    <w:p w:rsidR="0013691A">
      <w:r>
        <w:t xml:space="preserve"> </w:t>
      </w:r>
    </w:p>
    <w:p w:rsidR="0013691A">
      <w:pPr>
        <w:numPr>
          <w:ilvl w:val="0"/>
          <w:numId w:val="2"/>
        </w:numPr>
      </w:pPr>
      <w:r>
        <w:t>What has been the impact of agricultural policy changes (including the transition away from direct payments) on upland farming businesses, and the impact of these changes on farming profitability?</w:t>
      </w:r>
    </w:p>
    <w:p w:rsidR="0013691A"/>
    <w:p w:rsidR="0013691A">
      <w:r>
        <w:rPr>
          <w:b/>
          <w:bCs/>
        </w:rPr>
        <w:t>2.1</w:t>
      </w:r>
      <w:r>
        <w:t xml:space="preserve"> Under the Basic Payment Scheme (BPS), payments to farmers were based on area under management control rather than on environmental value of actions taken on-farm. For many upland farmers direct payments under BPS accounted for 50-70% of their overall farm income</w:t>
      </w:r>
      <w:r>
        <w:rPr>
          <w:vertAlign w:val="superscript"/>
        </w:rPr>
        <w:footnoteReference w:id="5"/>
      </w:r>
      <w:r>
        <w:t>, although only 9% of the overall BPS payments went to upland farmers</w:t>
      </w:r>
      <w:r>
        <w:rPr>
          <w:vertAlign w:val="superscript"/>
        </w:rPr>
        <w:footnoteReference w:id="6"/>
      </w:r>
      <w:r>
        <w:t>. This reliance on BPS to keep many upland farms profitable was and remains a cause of concern for many farmers. It reflects both the inherent challenges of maximising supply chain value in many upland systems and siloed policy-making that did not appropriately consider that land can simultaneously deliver food, nature and climate benefits. A prevailing productivist mind-set - often reinforced by Government signals - has encouraged farmers in less agriculturally productive areas, like the uplands, to strive for production levels above what the land can sustainably support and to rely on external inputs to achieve this level of production, eating into a farm business’ profitability. NFFN upland farmer members have volunteered that it was often a lack of profitability within their businesses and an evaluation of the changing funding landscape that caused them to reassess their overall farming systems and change to less intensive and more nature-friendly farming practices e.g. farming within their maximum sustainable output</w:t>
      </w:r>
      <w:r>
        <w:rPr>
          <w:vertAlign w:val="superscript"/>
        </w:rPr>
        <w:footnoteReference w:id="7"/>
      </w:r>
      <w:r>
        <w:t xml:space="preserve">, improving soil quality through changes in grazing practices and reducing reliance on external inputs e.g. feeds and fertiliser. Anecdotal evidence given by upland farmers in our network suggested that these changes have helped them to increase their profitability and broader resilience to shocks. Some of the changes farmers have implemented to combat shrinking profits have been to reduce stocking density, selecting livestock breeds more suited to lower intensity, rotational grazing practices and reducing or removing sheep from the land and replacing them with cows.These changes and working to their maximum sustainable output has helped reduce their reliance on both costly external inputs and unpredictable funding schemes. </w:t>
      </w:r>
    </w:p>
    <w:p w:rsidR="0013691A"/>
    <w:p w:rsidR="0013691A">
      <w:r>
        <w:rPr>
          <w:b/>
          <w:bCs/>
        </w:rPr>
        <w:t>2.2</w:t>
      </w:r>
      <w:r>
        <w:t xml:space="preserve"> It should be noted that many upland farmers have also felt the need to diversify their businesses e.g. glamping pods, producing leather goods from their cow hides and renting out parcels of their land to other enterprises, in order to spread financial risk. </w:t>
      </w:r>
    </w:p>
    <w:p w:rsidR="0013691A"/>
    <w:p w:rsidR="0013691A">
      <w:r>
        <w:rPr>
          <w:b/>
          <w:bCs/>
        </w:rPr>
        <w:t>2.3</w:t>
      </w:r>
      <w:r>
        <w:t xml:space="preserve"> The introduction of the Agriculture Act in November 2020, and the development of the Environmental Land Management Scheme (ELMS) under the principles of ‘public money for public goods’, should encourage more funding ‘up the hill’, but this has yet to be seen in practice, leaving upland farmers at a financial disadvantage.</w:t>
      </w:r>
    </w:p>
    <w:p w:rsidR="0013691A"/>
    <w:p w:rsidR="0013691A">
      <w:r>
        <w:rPr>
          <w:b/>
          <w:bCs/>
        </w:rPr>
        <w:t>2.4</w:t>
      </w:r>
      <w:r>
        <w:t xml:space="preserve"> The uplands offer high value for environmental recovery and management efforts due to the amount of semi-natural and natural habitats within them</w:t>
      </w:r>
      <w:r>
        <w:rPr>
          <w:vertAlign w:val="superscript"/>
        </w:rPr>
        <w:footnoteReference w:id="8"/>
      </w:r>
      <w:r>
        <w:t xml:space="preserve">. The uplands contain 40% of all </w:t>
      </w:r>
      <w:r>
        <w:t>Sites of Special Scientific Interest (SSSI) sites. The vast majority of common land (78%), which is largely found in the uplands, is located in either a National Landscape or National Park</w:t>
      </w:r>
      <w:r>
        <w:rPr>
          <w:vertAlign w:val="superscript"/>
        </w:rPr>
        <w:footnoteReference w:id="9"/>
      </w:r>
      <w:r>
        <w:t xml:space="preserve">. We at NFFN believe that farmers should be fairly rewarded for everything they produce on-farm, with food and other private goods fairly supported through market routes and actions, including management and improvement of priority habitats, natural flood management, improved water quality and carbon sequestration, fairly recompensed through either public money for public goods payments, private nature and carbon schemes or a combination of the two.  </w:t>
      </w:r>
    </w:p>
    <w:p w:rsidR="0013691A"/>
    <w:p w:rsidR="0013691A">
      <w:r>
        <w:rPr>
          <w:b/>
          <w:bCs/>
        </w:rPr>
        <w:t>2.5</w:t>
      </w:r>
      <w:r>
        <w:t xml:space="preserve"> We welcome the recognition in the LUF of the greater role for private nature markets to support farmers. As highlighted in recent research on the scale of investment required to meet the UK’s binding nature and climate targets</w:t>
      </w:r>
      <w:r>
        <w:rPr>
          <w:vertAlign w:val="superscript"/>
        </w:rPr>
        <w:footnoteReference w:id="10"/>
      </w:r>
      <w:r>
        <w:t xml:space="preserve">, current levels of investment are far too low and the private sector must play its part to address this funding gap. However, the Government must play a leading role in shaping and managing emerging markets to ensure consistency of approach, fair returns and to protect against greenwash, as well as continuing to support the ‘public money for public goods’ approach through appropriate publicly funded incentives.  </w:t>
      </w:r>
    </w:p>
    <w:p w:rsidR="0013691A"/>
    <w:p w:rsidR="0013691A"/>
    <w:p w:rsidR="0013691A">
      <w:pPr>
        <w:numPr>
          <w:ilvl w:val="0"/>
          <w:numId w:val="2"/>
        </w:numPr>
      </w:pPr>
      <w:r>
        <w:t>To what extent do the current Environmental Land Management (ELM) schemes and other support like the Farming in Protected Landscapes (FiPL) schemes support financially and environmentally sustainable land management in the uplands?</w:t>
      </w:r>
    </w:p>
    <w:p w:rsidR="0013691A"/>
    <w:p w:rsidR="0013691A">
      <w:r>
        <w:rPr>
          <w:b/>
          <w:bCs/>
        </w:rPr>
        <w:t>3.1</w:t>
      </w:r>
      <w:r>
        <w:t xml:space="preserve"> Defra have so far prioritised the SFI scheme in ELM, leaving less of a focus, and available funding, for the other strands of ELMs; Countryside Stewardship Higher Tier (CSHT) and Landscape Recovery which offer more nuanced, tailorable and complex actions and management regimes. In a 2024 report by the National Audit Office which reviewed the value for money in England’s ELM schemes forecast that for 2024-25, almost double the budget would be spent on SFI than on CSHT and Landscape Recovery combined</w:t>
      </w:r>
      <w:r>
        <w:rPr>
          <w:vertAlign w:val="superscript"/>
        </w:rPr>
        <w:footnoteReference w:id="11"/>
      </w:r>
      <w:r>
        <w:t xml:space="preserve">.To date there have also been limited action options for those with upland farms in SFI and currently no options for those with common land. A popular SFI24 action for upland farmers, GRH6: Species Rich Grassland, has been removed from the SFI26 offer. While this action is better suited to more ambitious ELM schemes, its removal has left many of our farmer members feeling frustrated as they currently cannot access similar actions under CSHT or Landscape Recovery due to challenges accessing the scheme. </w:t>
      </w:r>
    </w:p>
    <w:p w:rsidR="0013691A"/>
    <w:p w:rsidR="0013691A">
      <w:r>
        <w:rPr>
          <w:b/>
          <w:bCs/>
        </w:rPr>
        <w:t>3.2</w:t>
      </w:r>
      <w:r>
        <w:t xml:space="preserve"> The lack of suitable options available under SFI has also caused some farmers to opt for other actions such as CSAM3 Herbal Leys in areas where it is not appropriate, leading to unintended negative environmental consequences e.g. ploughing up of permanent pasture to sow herbal leys. It should be noted however that certain moorland management actions </w:t>
      </w:r>
      <w:r>
        <w:t>under SFI 26 have seen a rise in payment rates, which is an encouraging development and will hopefully help to redress some of the disproportionate SFI budgetary spending in arable systems.</w:t>
      </w:r>
    </w:p>
    <w:p w:rsidR="0013691A">
      <w:r>
        <w:t xml:space="preserve"> </w:t>
      </w:r>
    </w:p>
    <w:p w:rsidR="0013691A">
      <w:r>
        <w:rPr>
          <w:b/>
          <w:bCs/>
        </w:rPr>
        <w:t>3.3</w:t>
      </w:r>
      <w:r>
        <w:t xml:space="preserve"> Improvements to SFI actions are not the only measure by which we could improve access to funding for upland farmers. Upland farming systems often require more nuanced scheme design due to the complexity of habitats, and schemes like Countryside Stewardship Higher Tier (CSHT) and Landscape Recovery (LR), which are designed for these are hard to access due to the number of agreements currently available and the requirement that farmers have to be invited to apply. Our farmer members who have been able to access CS Higher Tier or Landscape Recovery projects are delivering high environmental value projects on their land including, water-course renaturalisation, woodland creation and managing carbon-rich grasslands. At NFFN we would like to see more of the ELMs budget and Defra time focussed on these higher environmental value schemes, as large scale changes in practice and land-management will be required to meet our nature and climate targets as set out in the Environment Act. NFFN have long advocated for significant investment to enable the processing of c3000-4000 CSHT agreements per year, however agreement numbers have languished well under 1000 agreements per year, due to funding and capacity challenges as well as decisions taken under the previous administration to prioritise SFI, which is currently more reflective of arable systems. The lack of CSHT agreements and c6000 Higher Level Stewardship (HLS) agreements</w:t>
      </w:r>
      <w:r>
        <w:rPr>
          <w:vertAlign w:val="superscript"/>
        </w:rPr>
        <w:footnoteReference w:id="12"/>
      </w:r>
      <w:r>
        <w:rPr>
          <w:vertAlign w:val="superscript"/>
        </w:rPr>
        <w:footnoteReference w:id="13"/>
      </w:r>
      <w:r>
        <w:t xml:space="preserve"> set to expire by 2028, many of which are held by upland farmers who are farming in SSSIs and National Parks, is a major cause for concern. There is not the capacity, either in terms of agreement numbers or staff to accommodate these expiring HLS agreement holders in currently available schemes. </w:t>
      </w:r>
    </w:p>
    <w:p w:rsidR="0013691A">
      <w:r>
        <w:t>During discussions on this topic NFFN farmer members raised concerns that some upland farmers may face difficult business management decisions as their HLS agreements expire. In particular farmer members were concerned that farmers might feel compelled to revert land previously managed under HLS schemes to more intensive, environmentally damaging practices in order to maintain business viability. Therefore it is of critical importance that the Government invests money in the these higher environmental value schemes, to increase access and prevent reversion of land away from environmental stewardship.</w:t>
      </w:r>
    </w:p>
    <w:p w:rsidR="0013691A"/>
    <w:p w:rsidR="0013691A">
      <w:r>
        <w:rPr>
          <w:b/>
          <w:bCs/>
        </w:rPr>
        <w:t>3.4</w:t>
      </w:r>
      <w:r>
        <w:t xml:space="preserve"> As stated under question two we know that the majority of upland farms are located within National Landscapes and National Parks, and also contain a large proportion of SSSI sites in England, making them highly valuable targets for ELMs funding and allowing most upland farmers to be eligible for FIPL funding.</w:t>
      </w:r>
    </w:p>
    <w:p w:rsidR="0013691A"/>
    <w:p w:rsidR="0013691A">
      <w:r>
        <w:rPr>
          <w:b/>
          <w:bCs/>
        </w:rPr>
        <w:t>3.5</w:t>
      </w:r>
      <w:r>
        <w:t xml:space="preserve"> We have good anecdotal evidence from our farmer members that through participation in initiatives such as FIPL many farmers who previously had little to no interest in nature friendly farming practices have since made considerable environmentally and business positive changes to their farming practices. One of the key messages related to FIPL from our farmer members was that the knowledge exchange and peer-to-peer learning fostered through the FIPL programme has allowed many farmers to visualise and investigate what may be possible on their own farms and to apply for wider environmental schemes. Farmers </w:t>
      </w:r>
      <w:r>
        <w:t xml:space="preserve">were then able to use the capital grants and expert advice available under FIPL to implement some of these practices on-farm e.g. Pasture for Life’s mentoring programme, followed by implementation of planting a shelter belt for livestock health and welfare. </w:t>
      </w:r>
    </w:p>
    <w:p w:rsidR="0013691A"/>
    <w:p w:rsidR="0013691A"/>
    <w:p w:rsidR="0013691A"/>
    <w:p w:rsidR="0013691A">
      <w:pPr>
        <w:numPr>
          <w:ilvl w:val="0"/>
          <w:numId w:val="2"/>
        </w:numPr>
      </w:pPr>
      <w: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13691A"/>
    <w:p w:rsidR="0013691A">
      <w:r>
        <w:rPr>
          <w:b/>
          <w:bCs/>
        </w:rPr>
        <w:t>4.1</w:t>
      </w:r>
      <w:r>
        <w:t xml:space="preserve"> Legal protections and designations e.g. relating to managing land within a National Park or SSSI, should facilitate access into schemes such as CSHT and Landscape Recovery. However, there is still limited access to both of these schemes due to inadequate funding and complex application processes which require high levels of staff input from either Natural England (NE) or Forestry Commission (FC). Both NE and FC have seen significant  funding cuts over the last decade leaving them with higher staff turn-over and low staff capacity to help farmers with applications, sometimes leading to long delays before a farmer’s application can be processed or a farmer can access appropriate advice. High staff turn-over caused by repeated funding cuts also means that the overall level of staff knowledge on both the schemes and the geographic area in which they are advising is variable. Anecdotal evidence from our farmer members has shown that they feel that the quality of advice received varies quite significantly between different areas, and that this variability can cause frustration when they do not feel they are receiving appropriate advice for their situation, or that they are having to repeat information which should already be known. It should be noted however, that many of our farmers have had very positive interactions between local National Park, NE and FC staff and have found their advice very helpful.</w:t>
      </w:r>
    </w:p>
    <w:p w:rsidR="0013691A"/>
    <w:p w:rsidR="0013691A">
      <w:r>
        <w:rPr>
          <w:b/>
          <w:bCs/>
        </w:rPr>
        <w:t>4.2</w:t>
      </w:r>
      <w:r>
        <w:t xml:space="preserve"> Overall our farmer members feel there are definite opportunities to be gained from farming in protected landscapes or national parks e.g. access to Farming in Protected Landscapes funding and the additional advice and capital grants that come along with that, but this often comes with the added hassle of time intensive application processes and additional admin related to the land management practices they wish to carry-out. </w:t>
      </w:r>
    </w:p>
    <w:p w:rsidR="0013691A"/>
    <w:p w:rsidR="0013691A"/>
    <w:p w:rsidR="0013691A">
      <w:pPr>
        <w:numPr>
          <w:ilvl w:val="0"/>
          <w:numId w:val="2"/>
        </w:numPr>
      </w:pPr>
      <w:r>
        <w:t>What improvements are needed in land use data, mapping, and modelling to support effective decision-making in the uplands? What training or other skill development options are needed to support this?</w:t>
      </w:r>
    </w:p>
    <w:p w:rsidR="0013691A"/>
    <w:p w:rsidR="0013691A">
      <w:r>
        <w:rPr>
          <w:b/>
          <w:bCs/>
        </w:rPr>
        <w:t>5.1</w:t>
      </w:r>
      <w:r>
        <w:t xml:space="preserve"> In order to make better decisions around land use, particularly improving multifunctionality of land, access to high quality, up to date and accessible data is key.  Data of particular importance in the uplands will be habitat mapping, overland flow data, soil quality and type, peatland mapping.</w:t>
      </w:r>
    </w:p>
    <w:p w:rsidR="0013691A"/>
    <w:p w:rsidR="0013691A">
      <w:r>
        <w:rPr>
          <w:b/>
          <w:bCs/>
        </w:rPr>
        <w:t>5.2</w:t>
      </w:r>
      <w:r>
        <w:t xml:space="preserve"> NFFN welcomes Defra’s action to allow open access to the National Soil Map through the LandIS portal, and it is encouraging to see the commitment to further open access data-sharing embedded within the LUF. </w:t>
      </w:r>
    </w:p>
    <w:p w:rsidR="0013691A"/>
    <w:p w:rsidR="0013691A">
      <w:r>
        <w:rPr>
          <w:b/>
          <w:bCs/>
        </w:rPr>
        <w:t>5.3</w:t>
      </w:r>
      <w:r>
        <w:t xml:space="preserve"> As identified by Defra, many datasets are incomplete or out of date. The ability to measure the benefits of land management/use changes is entirely dependent on identifying what we have currently. Addressing these data gaps is urgently required. As such we welcome recognition that certain data sets, such as Agricultural Land Classification (ALC), warrant review and updating and would welcome further commitments to updating priority habitat mapping and classification. Without this data, the ability to maximise synergies, avoid perverse consequences or missed opportunities, and track and measure change in environmental outcomes will be severely compromised.The Government must also play a leadership role to ensure private sources of data also contribute to improved land use and land management decision making, whilst respecting data-sensitivity. There is considerable potential for data, such as that relating to soil organic content, nutrient loads and biodiversity (e.g. captured through supply chain contracts and/or biodiversity identification technology) to better target, and monitor, interventions, from both the public and private sector, from habitat creation and management to redistribution of livestock manures.  However, its ability to do so is impeded by the current lack of central information storage and sharing, preventing coherent and efficient public-private action and reducing the level of public and private benefit that could, and needs to be realised.</w:t>
      </w:r>
    </w:p>
    <w:p w:rsidR="0013691A">
      <w:pPr>
        <w:rPr>
          <w:rFonts w:ascii="Google Sans" w:eastAsia="Google Sans" w:hAnsi="Google Sans" w:cs="Google Sans"/>
          <w:color w:val="1F1F1F"/>
          <w:sz w:val="21"/>
          <w:szCs w:val="21"/>
          <w:highlight w:val="white"/>
        </w:rPr>
      </w:pPr>
    </w:p>
    <w:p w:rsidR="0013691A"/>
    <w:p w:rsidR="0013691A">
      <w:pPr>
        <w:numPr>
          <w:ilvl w:val="0"/>
          <w:numId w:val="2"/>
        </w:numPr>
      </w:pPr>
      <w:r>
        <w:t>How might land use and business changes in the uplands impact rural communities?</w:t>
      </w:r>
    </w:p>
    <w:p w:rsidR="0013691A"/>
    <w:p w:rsidR="0013691A">
      <w:r>
        <w:rPr>
          <w:b/>
          <w:bCs/>
        </w:rPr>
        <w:t>6.1</w:t>
      </w:r>
      <w:r>
        <w:t xml:space="preserve"> As stated under question one, the CCC’s Well Adapted UK report confirms that the Government is significantly behind in terms of our adaptation responses to climate change. Changes in practice across all sectors, including agriculture, are needed not only to meet our legally binding climate and nature targets but also to protect long-term food security and ensure resilience to climatic changes already locked in.</w:t>
      </w:r>
    </w:p>
    <w:p w:rsidR="0013691A"/>
    <w:p w:rsidR="0013691A">
      <w:r>
        <w:rPr>
          <w:b/>
          <w:bCs/>
        </w:rPr>
        <w:t>6.2</w:t>
      </w:r>
      <w:r>
        <w:t xml:space="preserve"> It is critical that the right investment flows into the UK’s uplands so that farming and wider rural communities are supported and rewarded to deliver what society needs. This means evaluating potential impacts of private and public investment  flows to protect against ‘siloed’ land-use decisions and potential negative impacts on upland rural communities through, for example, reduced land-access and jobs. If investment opportunities for the uplands, both public and private, are managed well it could boost economic growth and social development in these areas e.g. increasing rural tourism, better access to jobs via increased investment in rural skills training e.g. stone-walling, hedge-laying and shearing etc, and increased opportunities on farm as the same land is delivering across multiple outcomes. </w:t>
      </w:r>
    </w:p>
    <w:p w:rsidR="0013691A"/>
    <w:p w:rsidR="0013691A">
      <w:r>
        <w:rPr>
          <w:b/>
          <w:bCs/>
        </w:rPr>
        <w:t>6.3</w:t>
      </w:r>
      <w:r>
        <w:t xml:space="preserve"> One of the key aims of the Food Strategy is to have resilient and secure domestic production of healthier foods and highlights the role of more regional food systems with shorter supply chains</w:t>
      </w:r>
      <w:r>
        <w:rPr>
          <w:vertAlign w:val="superscript"/>
        </w:rPr>
        <w:footnoteReference w:id="14"/>
      </w:r>
      <w:r>
        <w:t xml:space="preserve">.  Land-sharing approaches e.g. Community Supported Agriculture (CSA) can contribute to this including in upland farming systems. These more localised food </w:t>
      </w:r>
      <w:r>
        <w:t>systems bring more job opportunities to upland areas, foster a better connection with the origins of food for local communities and can increase local spending</w:t>
      </w:r>
      <w:r>
        <w:rPr>
          <w:vertAlign w:val="superscript"/>
        </w:rPr>
        <w:footnoteReference w:id="15"/>
      </w:r>
      <w:r>
        <w:t>.</w:t>
      </w:r>
    </w:p>
    <w:p w:rsidR="0013691A"/>
    <w:p w:rsidR="0013691A">
      <w:r>
        <w:rPr>
          <w:b/>
          <w:bCs/>
        </w:rPr>
        <w:t>6.4</w:t>
      </w:r>
      <w:r>
        <w:t xml:space="preserve"> The effects of investing in upland communities could also have impacts on wider government spending. For example by improving natural flood management systems using upland habitats to hold and slow water, the impacts of severe flash floods</w:t>
      </w:r>
      <w:r>
        <w:rPr>
          <w:vertAlign w:val="superscript"/>
        </w:rPr>
        <w:footnoteReference w:id="16"/>
      </w:r>
      <w:r>
        <w:t xml:space="preserve"> could be mitigated and reduce the need for costly infrastructure projects when roads or houses are damaged by flooding. Examples of these initiatives can already be seen with projects like the Glenderamakin project in the Lake District, which is currently going through the Landscape Recovery assurance stage.</w:t>
      </w:r>
    </w:p>
    <w:p w:rsidR="0013691A"/>
    <w:p w:rsidR="0013691A">
      <w:r>
        <w:rPr>
          <w:b/>
          <w:bCs/>
        </w:rPr>
        <w:t>6.5</w:t>
      </w:r>
      <w:r>
        <w:t xml:space="preserve"> Investment and restoration of upland systems could also help to lower the burden on emergency services, particularly the fire service. As mentioned in question one restoring upland peatland increases water-holding capacity and reduces wildfire risk, reducing the strain on these services during the increasingly hot and dry spring and summer months.</w:t>
      </w:r>
    </w:p>
    <w:p w:rsidR="0013691A"/>
    <w:p w:rsidR="0013691A"/>
    <w:p w:rsidR="0013691A">
      <w:pPr>
        <w:numPr>
          <w:ilvl w:val="0"/>
          <w:numId w:val="2"/>
        </w:numPr>
      </w:pPr>
      <w:r>
        <w:t>How can government policy ensure that rural communities in upland areas benefit from changes?</w:t>
      </w:r>
    </w:p>
    <w:p w:rsidR="0013691A"/>
    <w:p w:rsidR="0013691A">
      <w:r>
        <w:rPr>
          <w:b/>
          <w:bCs/>
        </w:rPr>
        <w:t>7.1</w:t>
      </w:r>
      <w:r>
        <w:t xml:space="preserve"> NFFN advocates for better join-up between Government departments as rural communities are not only affected by the decisions that Defra take but also the Ministry of Housing, Communities and Local Government and Department for Transport. Often issues caused by the creation of new housing developments or roads e.g. increased flooding risk etc. can be mitigated by changes to on-farm management practices e.g. incorporating more sustainable soil management practices, planting more trees and creating a Natural Flood Management plan. Integration and communication between different government departments may help to locate pinch-points for rural upland communities and joint-working on solutions.</w:t>
      </w:r>
    </w:p>
    <w:p w:rsidR="0013691A"/>
    <w:p w:rsidR="0013691A">
      <w:r>
        <w:rPr>
          <w:b/>
          <w:bCs/>
        </w:rPr>
        <w:t>7.2</w:t>
      </w:r>
      <w:r>
        <w:t xml:space="preserve"> It is vital that the Government invests in good stakeholder engagement, communication and co-creation processes. We know through our experience of working with farmers that peer-to-peer knowledge sharing and early engagement with a process improves engagement and buy-in to land-use or land management changes. An easy way for the Government to manage this stakeholder engagement is through Local/Strategic Authorities which are already managing Local Nature Recovery Strategies and incorporating them into their local planning matrixes as a whole.</w:t>
      </w:r>
    </w:p>
    <w:p w:rsidR="0013691A"/>
    <w:p w:rsidR="0013691A">
      <w:r>
        <w:t>June 2026</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oogle Sans">
    <w:charset w:val="00"/>
    <w:family w:val="auto"/>
    <w:pitch w:val="default"/>
    <w:embedRegular r:id="rId1" w:fontKey="{9685B933-CC06-4419-8DD4-1AC23DC5EF8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2B1613F-ED61-4A7F-8AFA-F621F2466F0C}"/>
  </w:font>
  <w:font w:name="Cambria">
    <w:panose1 w:val="02040503050406030204"/>
    <w:charset w:val="00"/>
    <w:family w:val="roman"/>
    <w:pitch w:val="variable"/>
    <w:sig w:usb0="E00006FF" w:usb1="420024FF" w:usb2="02000000" w:usb3="00000000" w:csb0="0000019F" w:csb1="00000000"/>
    <w:embedRegular r:id="rId3" w:fontKey="{0C871502-C190-4DFC-8017-B8658D6D9F1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119A5">
      <w:pPr>
        <w:spacing w:line="240" w:lineRule="auto"/>
      </w:pPr>
      <w:r>
        <w:separator/>
      </w:r>
    </w:p>
  </w:footnote>
  <w:footnote w:type="continuationSeparator" w:id="1">
    <w:p w:rsidR="000119A5">
      <w:pPr>
        <w:spacing w:line="240" w:lineRule="auto"/>
      </w:pPr>
      <w:r>
        <w:continuationSeparator/>
      </w:r>
    </w:p>
  </w:footnote>
  <w:footnote w:id="2">
    <w:p w:rsidR="0013691A">
      <w:pPr>
        <w:spacing w:line="240" w:lineRule="auto"/>
        <w:rPr>
          <w:sz w:val="20"/>
          <w:szCs w:val="20"/>
        </w:rPr>
      </w:pPr>
      <w:r>
        <w:rPr>
          <w:vertAlign w:val="superscript"/>
        </w:rPr>
        <w:footnoteRef/>
      </w:r>
      <w:r>
        <w:rPr>
          <w:sz w:val="20"/>
          <w:szCs w:val="20"/>
        </w:rPr>
        <w:t xml:space="preserve"> CCC: A well adapted UK: </w:t>
      </w:r>
      <w:r>
        <w:fldChar w:fldCharType="begin"/>
      </w:r>
      <w:r>
        <w:instrText xml:space="preserve"> HYPERLINK "https://www.theccc.org.uk/publication/a-well-adapted-uk/" </w:instrText>
      </w:r>
      <w:r>
        <w:fldChar w:fldCharType="separate"/>
      </w:r>
      <w:r>
        <w:rPr>
          <w:color w:val="1155CC"/>
          <w:sz w:val="20"/>
          <w:szCs w:val="20"/>
          <w:u w:val="single"/>
        </w:rPr>
        <w:t>https://www.theccc.org.uk/publication/a-well-adapted-uk/</w:t>
      </w:r>
      <w:r>
        <w:fldChar w:fldCharType="end"/>
      </w:r>
      <w:r>
        <w:rPr>
          <w:sz w:val="20"/>
          <w:szCs w:val="20"/>
        </w:rPr>
        <w:t xml:space="preserve"> </w:t>
      </w:r>
    </w:p>
  </w:footnote>
  <w:footnote w:id="3">
    <w:p w:rsidR="0013691A">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"https://www.gov.uk/government/news/englands-peatlands-mapped-for-first-time-in-major-step-towards-their-recovery" </w:instrText>
      </w:r>
      <w:r>
        <w:fldChar w:fldCharType="separate"/>
      </w:r>
      <w:r>
        <w:rPr>
          <w:color w:val="1155CC"/>
          <w:sz w:val="20"/>
          <w:szCs w:val="20"/>
          <w:u w:val="single"/>
        </w:rPr>
        <w:t>https://www.gov.uk/government/news/englands-peatlands-mapped-for-first-time-in-major-step-towards-their-recovery</w:t>
      </w:r>
      <w:r>
        <w:fldChar w:fldCharType="end"/>
      </w:r>
      <w:r>
        <w:rPr>
          <w:sz w:val="20"/>
          <w:szCs w:val="20"/>
        </w:rPr>
        <w:t xml:space="preserve"> </w:t>
      </w:r>
    </w:p>
  </w:footnote>
  <w:footnote w:id="4">
    <w:p w:rsidR="0013691A">
      <w:pPr>
        <w:spacing w:line="240" w:lineRule="auto"/>
        <w:rPr>
          <w:sz w:val="20"/>
          <w:szCs w:val="20"/>
        </w:rPr>
      </w:pPr>
      <w:r>
        <w:rPr>
          <w:vertAlign w:val="superscript"/>
        </w:rPr>
        <w:footnoteRef/>
      </w:r>
      <w:r>
        <w:rPr>
          <w:sz w:val="20"/>
          <w:szCs w:val="20"/>
        </w:rPr>
        <w:t xml:space="preserve"> </w:t>
      </w:r>
      <w:r>
        <w:fldChar w:fldCharType="begin"/>
      </w:r>
      <w:r>
        <w:instrText xml:space="preserve"> HYPERLINK "https://www.forestresearch.gov.uk/news/new-techniques-for-peatland-restoration/" </w:instrText>
      </w:r>
      <w:r>
        <w:fldChar w:fldCharType="separate"/>
      </w:r>
      <w:r>
        <w:rPr>
          <w:color w:val="1155CC"/>
          <w:sz w:val="20"/>
          <w:szCs w:val="20"/>
          <w:u w:val="single"/>
        </w:rPr>
        <w:t>https://www.forestresearch.gov.uk/news/new-techniques-for-peatland-restoration/</w:t>
      </w:r>
      <w:r>
        <w:fldChar w:fldCharType="end"/>
      </w:r>
      <w:r>
        <w:rPr>
          <w:sz w:val="20"/>
          <w:szCs w:val="20"/>
        </w:rPr>
        <w:t xml:space="preserve"> </w:t>
      </w:r>
    </w:p>
  </w:footnote>
  <w:footnote w:id="5">
    <w:p w:rsidR="0013691A">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"https://www.gov.uk/government/publications/farming-evidence-pack-a-high-level-overview-of-the-uk-agricultural-industry/farming-evidence-key-statistics-accessible-version" </w:instrText>
      </w:r>
      <w:r>
        <w:fldChar w:fldCharType="separate"/>
      </w:r>
      <w:r>
        <w:rPr>
          <w:color w:val="1155CC"/>
          <w:sz w:val="20"/>
          <w:szCs w:val="20"/>
          <w:u w:val="single"/>
        </w:rPr>
        <w:t>https://www.gov.uk/government/publications/farming-evidence-pack-a-high-level-overview-of-the-uk-agricultural-industry/farming-evidence-key-statistics-accessible-version</w:t>
      </w:r>
      <w:r>
        <w:fldChar w:fldCharType="end"/>
      </w:r>
      <w:r>
        <w:rPr>
          <w:sz w:val="20"/>
          <w:szCs w:val="20"/>
        </w:rPr>
        <w:t xml:space="preserve"> </w:t>
      </w:r>
    </w:p>
  </w:footnote>
  <w:footnote w:id="6">
    <w:p w:rsidR="0013691A">
      <w:pPr>
        <w:spacing w:line="240" w:lineRule="auto"/>
        <w:rPr>
          <w:sz w:val="20"/>
          <w:szCs w:val="20"/>
        </w:rPr>
      </w:pPr>
      <w:r>
        <w:rPr>
          <w:vertAlign w:val="superscript"/>
        </w:rPr>
        <w:footnoteRef/>
      </w:r>
      <w:r>
        <w:rPr>
          <w:sz w:val="20"/>
          <w:szCs w:val="20"/>
        </w:rPr>
        <w:t xml:space="preserve"> Uplands Alliance Data Sheet: </w:t>
      </w:r>
      <w:r>
        <w:fldChar w:fldCharType="begin"/>
      </w:r>
      <w:r>
        <w:instrText xml:space="preserve"> HYPERLINK "https://uplandsalliance.com/wp-content/uploads/2016/11/upland-statistics-for-england-sources.pdf" </w:instrText>
      </w:r>
      <w:r>
        <w:fldChar w:fldCharType="separate"/>
      </w:r>
      <w:r>
        <w:rPr>
          <w:color w:val="1155CC"/>
          <w:sz w:val="20"/>
          <w:szCs w:val="20"/>
          <w:u w:val="single"/>
        </w:rPr>
        <w:t>https://uplandsalliance.com/wp-content/uploads/2016/11/upland-statistics-for-england-sources.pdf</w:t>
      </w:r>
      <w:r>
        <w:fldChar w:fldCharType="end"/>
      </w:r>
      <w:r>
        <w:rPr>
          <w:sz w:val="20"/>
          <w:szCs w:val="20"/>
        </w:rPr>
        <w:t xml:space="preserve"> </w:t>
      </w:r>
    </w:p>
  </w:footnote>
  <w:footnote w:id="7">
    <w:p w:rsidR="0013691A">
      <w:pPr>
        <w:spacing w:line="240" w:lineRule="auto"/>
        <w:rPr>
          <w:sz w:val="20"/>
          <w:szCs w:val="20"/>
        </w:rPr>
      </w:pPr>
      <w:r>
        <w:rPr>
          <w:vertAlign w:val="superscript"/>
        </w:rPr>
        <w:footnoteRef/>
      </w:r>
      <w:r>
        <w:rPr>
          <w:sz w:val="20"/>
          <w:szCs w:val="20"/>
        </w:rPr>
        <w:t xml:space="preserve"> Farming at the Sweet Spot: </w:t>
      </w:r>
      <w:r>
        <w:fldChar w:fldCharType="begin"/>
      </w:r>
      <w:r>
        <w:instrText xml:space="preserve"> HYPERLINK "https://www.nffn.org.uk/resources/nffn-the-sweet-spot" </w:instrText>
      </w:r>
      <w:r>
        <w:fldChar w:fldCharType="separate"/>
      </w:r>
      <w:r>
        <w:rPr>
          <w:color w:val="1155CC"/>
          <w:sz w:val="20"/>
          <w:szCs w:val="20"/>
          <w:u w:val="single"/>
        </w:rPr>
        <w:t>https://www.nffn.org.uk/resources/nffn-the-sweet-spot</w:t>
      </w:r>
      <w:r>
        <w:fldChar w:fldCharType="end"/>
      </w:r>
      <w:r>
        <w:rPr>
          <w:sz w:val="20"/>
          <w:szCs w:val="20"/>
        </w:rPr>
        <w:t xml:space="preserve"> </w:t>
      </w:r>
    </w:p>
  </w:footnote>
  <w:footnote w:id="8">
    <w:p w:rsidR="0013691A">
      <w:pPr>
        <w:spacing w:line="240" w:lineRule="auto"/>
        <w:rPr>
          <w:sz w:val="20"/>
          <w:szCs w:val="20"/>
        </w:rPr>
      </w:pPr>
      <w:r>
        <w:rPr>
          <w:vertAlign w:val="superscript"/>
        </w:rPr>
        <w:footnoteRef/>
      </w:r>
      <w:r>
        <w:rPr>
          <w:sz w:val="20"/>
          <w:szCs w:val="20"/>
        </w:rPr>
        <w:t xml:space="preserve"> </w:t>
      </w:r>
      <w:r>
        <w:fldChar w:fldCharType="begin"/>
      </w:r>
      <w:r>
        <w:instrText xml:space="preserve"> HYPERLINK "https://data.jncc.gov.uk/data/c1773745-b067-4f74-bbc4-83e942807247/sssi-guidelines-9-upland-habitats-2024.pdf" </w:instrText>
      </w:r>
      <w:r>
        <w:fldChar w:fldCharType="separate"/>
      </w:r>
      <w:r>
        <w:rPr>
          <w:color w:val="1155CC"/>
          <w:sz w:val="20"/>
          <w:szCs w:val="20"/>
          <w:u w:val="single"/>
        </w:rPr>
        <w:t>https://data.jncc.gov.uk/data/c1773745-b067-4f74-bbc4-83e942807247/sssi-guidelines-9-upland-habitats-2024.pdf</w:t>
      </w:r>
      <w:r>
        <w:fldChar w:fldCharType="end"/>
      </w:r>
    </w:p>
    <w:p w:rsidR="0013691A">
      <w:pPr>
        <w:spacing w:line="240" w:lineRule="auto"/>
        <w:rPr>
          <w:sz w:val="20"/>
          <w:szCs w:val="20"/>
        </w:rPr>
      </w:pPr>
    </w:p>
  </w:footnote>
  <w:footnote w:id="9">
    <w:p w:rsidR="0013691A">
      <w:pPr>
        <w:spacing w:line="240" w:lineRule="auto"/>
        <w:rPr>
          <w:sz w:val="20"/>
          <w:szCs w:val="20"/>
        </w:rPr>
      </w:pPr>
      <w:r>
        <w:rPr>
          <w:vertAlign w:val="superscript"/>
        </w:rPr>
        <w:footnoteRef/>
      </w:r>
      <w:r>
        <w:rPr>
          <w:sz w:val="20"/>
          <w:szCs w:val="20"/>
        </w:rPr>
        <w:t xml:space="preserve"> </w:t>
      </w:r>
      <w:r>
        <w:fldChar w:fldCharType="begin"/>
      </w:r>
      <w:r>
        <w:instrText xml:space="preserve"> HYPERLINK "https://assets.publishing.service.gov.uk/media/5a7cadb440f0b65b3de0a7c1/pb14111-uplands-outcome-framework.pdf" </w:instrText>
      </w:r>
      <w:r>
        <w:fldChar w:fldCharType="separate"/>
      </w:r>
      <w:r>
        <w:rPr>
          <w:color w:val="1155CC"/>
          <w:sz w:val="20"/>
          <w:szCs w:val="20"/>
          <w:u w:val="single"/>
        </w:rPr>
        <w:t>https://assets.publishing.service.gov.uk/media/5a7cadb440f0b65b3de0a7c1/pb14111-uplands-outcome-framework.pdf</w:t>
      </w:r>
      <w:r>
        <w:fldChar w:fldCharType="end"/>
      </w:r>
      <w:r>
        <w:rPr>
          <w:sz w:val="20"/>
          <w:szCs w:val="20"/>
        </w:rPr>
        <w:t xml:space="preserve"> </w:t>
      </w:r>
    </w:p>
  </w:footnote>
  <w:footnote w:id="10">
    <w:p w:rsidR="0013691A">
      <w:pPr>
        <w:spacing w:line="240" w:lineRule="auto"/>
        <w:rPr>
          <w:sz w:val="20"/>
          <w:szCs w:val="20"/>
        </w:rPr>
      </w:pPr>
      <w:r>
        <w:rPr>
          <w:vertAlign w:val="superscript"/>
        </w:rPr>
        <w:footnoteRef/>
      </w:r>
      <w:r>
        <w:rPr>
          <w:sz w:val="20"/>
          <w:szCs w:val="20"/>
        </w:rPr>
        <w:t xml:space="preserve"> RSPB, The Wildlife Trusts and National Trust (2023) </w:t>
      </w:r>
      <w:r>
        <w:fldChar w:fldCharType="begin"/>
      </w:r>
      <w:r>
        <w:instrText xml:space="preserve"> HYPERLINK "https://www.wildlifetrusts.org/sites/default/files/2024-07/Scale%20of%20Need%20Report%20July%202024%20FINAL.pdf" </w:instrText>
      </w:r>
      <w:r>
        <w:fldChar w:fldCharType="separate"/>
      </w:r>
      <w:r>
        <w:rPr>
          <w:color w:val="1155CC"/>
          <w:sz w:val="20"/>
          <w:szCs w:val="20"/>
          <w:u w:val="single"/>
        </w:rPr>
        <w:t>For farming, nature and climate: Investing in the UK’s natural infrastructure to achieve net zero and nature’s recovery on land</w:t>
      </w:r>
      <w:r>
        <w:fldChar w:fldCharType="end"/>
      </w:r>
    </w:p>
    <w:p w:rsidR="0013691A">
      <w:pPr>
        <w:spacing w:line="240" w:lineRule="auto"/>
        <w:rPr>
          <w:sz w:val="20"/>
          <w:szCs w:val="20"/>
        </w:rPr>
      </w:pPr>
    </w:p>
  </w:footnote>
  <w:footnote w:id="11">
    <w:p w:rsidR="0013691A">
      <w:pPr>
        <w:spacing w:line="240" w:lineRule="auto"/>
        <w:rPr>
          <w:sz w:val="20"/>
          <w:szCs w:val="20"/>
        </w:rPr>
      </w:pPr>
      <w:r>
        <w:rPr>
          <w:vertAlign w:val="superscript"/>
        </w:rPr>
        <w:footnoteRef/>
      </w:r>
      <w:r>
        <w:rPr>
          <w:sz w:val="20"/>
          <w:szCs w:val="20"/>
        </w:rPr>
        <w:t xml:space="preserve"> National Audit Office: Farming and Countryside Programme Report (2024) https://www.nao.org.uk/wp-content/uploads/2024/07/farming-and-countryside-programme-1.pdf</w:t>
      </w:r>
    </w:p>
  </w:footnote>
  <w:footnote w:id="12">
    <w:p w:rsidR="0013691A">
      <w:pPr>
        <w:spacing w:line="240" w:lineRule="auto"/>
        <w:rPr>
          <w:sz w:val="20"/>
          <w:szCs w:val="20"/>
        </w:rPr>
      </w:pPr>
      <w:r>
        <w:rPr>
          <w:vertAlign w:val="superscript"/>
        </w:rPr>
        <w:footnoteRef/>
      </w:r>
      <w:r>
        <w:rPr>
          <w:sz w:val="20"/>
          <w:szCs w:val="20"/>
        </w:rPr>
        <w:t xml:space="preserve"> National Audit Office: Farming and Countryside Programme Report (2024) https://www.nao.org.uk/wp-content/uploads/2024/07/farming-and-countryside-programme-1.pdf</w:t>
      </w:r>
    </w:p>
  </w:footnote>
  <w:footnote w:id="13">
    <w:p w:rsidR="0013691A">
      <w:pPr>
        <w:spacing w:line="240" w:lineRule="auto"/>
        <w:rPr>
          <w:sz w:val="20"/>
          <w:szCs w:val="20"/>
        </w:rPr>
      </w:pPr>
      <w:r>
        <w:rPr>
          <w:vertAlign w:val="superscript"/>
        </w:rPr>
        <w:footnoteRef/>
      </w:r>
      <w:r>
        <w:rPr>
          <w:sz w:val="20"/>
          <w:szCs w:val="20"/>
        </w:rPr>
        <w:t xml:space="preserve"> </w:t>
      </w:r>
      <w:r>
        <w:fldChar w:fldCharType="begin"/>
      </w:r>
      <w:r>
        <w:instrText xml:space="preserve"> HYPERLINK "https://www.nfuonline.com/news/hls-letter-to-defra-secretary/" </w:instrText>
      </w:r>
      <w:r>
        <w:fldChar w:fldCharType="separate"/>
      </w:r>
      <w:r>
        <w:rPr>
          <w:color w:val="1155CC"/>
          <w:sz w:val="20"/>
          <w:szCs w:val="20"/>
          <w:u w:val="single"/>
        </w:rPr>
        <w:t>https://www.nfuonline.com/news/hls-letter-to-defra-secretary/</w:t>
      </w:r>
      <w:r>
        <w:fldChar w:fldCharType="end"/>
      </w:r>
      <w:r>
        <w:rPr>
          <w:sz w:val="20"/>
          <w:szCs w:val="20"/>
        </w:rPr>
        <w:t xml:space="preserve"> </w:t>
      </w:r>
    </w:p>
  </w:footnote>
  <w:footnote w:id="14">
    <w:p w:rsidR="0013691A">
      <w:pPr>
        <w:spacing w:line="240" w:lineRule="auto"/>
        <w:rPr>
          <w:sz w:val="20"/>
          <w:szCs w:val="20"/>
        </w:rPr>
      </w:pPr>
      <w:r>
        <w:rPr>
          <w:vertAlign w:val="superscript"/>
        </w:rPr>
        <w:footnoteRef/>
      </w:r>
      <w:r>
        <w:rPr>
          <w:sz w:val="20"/>
          <w:szCs w:val="20"/>
        </w:rPr>
        <w:t xml:space="preserve"> Food Strategy: </w:t>
      </w:r>
      <w:r>
        <w:fldChar w:fldCharType="begin"/>
      </w:r>
      <w:r>
        <w:instrText xml:space="preserve"> HYPERLINK "https://www.gov.uk/government/publications/a-uk-government-food-strategy-for-england/a-uk-government-food-strategy-for-england-considering-the-wider-uk-food-system" </w:instrText>
      </w:r>
      <w:r>
        <w:fldChar w:fldCharType="separate"/>
      </w:r>
      <w:r>
        <w:rPr>
          <w:color w:val="1155CC"/>
          <w:sz w:val="20"/>
          <w:szCs w:val="20"/>
          <w:u w:val="single"/>
        </w:rPr>
        <w:t>https://www.gov.uk/government/publications/a-uk-government-food-strategy-for-england/a-uk-government-food-strategy-for-england-considering-the-wider-uk-food-system</w:t>
      </w:r>
      <w:r>
        <w:fldChar w:fldCharType="end"/>
      </w:r>
      <w:r>
        <w:rPr>
          <w:sz w:val="20"/>
          <w:szCs w:val="20"/>
        </w:rPr>
        <w:t xml:space="preserve"> </w:t>
      </w:r>
    </w:p>
  </w:footnote>
  <w:footnote w:id="15">
    <w:p w:rsidR="0013691A">
      <w:pPr>
        <w:spacing w:line="240" w:lineRule="auto"/>
        <w:rPr>
          <w:sz w:val="20"/>
          <w:szCs w:val="20"/>
        </w:rPr>
      </w:pPr>
      <w:r>
        <w:rPr>
          <w:vertAlign w:val="superscript"/>
        </w:rPr>
        <w:footnoteRef/>
      </w:r>
      <w:r>
        <w:rPr>
          <w:sz w:val="20"/>
          <w:szCs w:val="20"/>
        </w:rPr>
        <w:t xml:space="preserve"> </w:t>
      </w:r>
      <w:r>
        <w:fldChar w:fldCharType="begin"/>
      </w:r>
      <w:r>
        <w:instrText xml:space="preserve"> HYPERLINK "https://www.sustainweb.org/reports/apr26-local-food-isnt-just-a-nice-to-have-its-an-essential/" </w:instrText>
      </w:r>
      <w:r>
        <w:fldChar w:fldCharType="separate"/>
      </w:r>
      <w:r>
        <w:rPr>
          <w:color w:val="1155CC"/>
          <w:sz w:val="20"/>
          <w:szCs w:val="20"/>
          <w:u w:val="single"/>
        </w:rPr>
        <w:t>https://www.sustainweb.org/reports/apr26-local-food-isnt-just-a-nice-to-have-its-an-essential/</w:t>
      </w:r>
      <w:r>
        <w:fldChar w:fldCharType="end"/>
      </w:r>
      <w:r>
        <w:rPr>
          <w:sz w:val="20"/>
          <w:szCs w:val="20"/>
        </w:rPr>
        <w:t xml:space="preserve"> </w:t>
      </w:r>
    </w:p>
  </w:footnote>
  <w:footnote w:id="16">
    <w:p w:rsidR="0013691A">
      <w:pPr>
        <w:spacing w:line="240" w:lineRule="auto"/>
        <w:rPr>
          <w:sz w:val="20"/>
          <w:szCs w:val="20"/>
        </w:rPr>
      </w:pPr>
      <w:r>
        <w:rPr>
          <w:vertAlign w:val="superscript"/>
        </w:rPr>
        <w:footnoteRef/>
      </w:r>
      <w:r>
        <w:rPr>
          <w:sz w:val="20"/>
          <w:szCs w:val="20"/>
        </w:rPr>
        <w:t xml:space="preserve"> Storm Desmond Recovery Report: </w:t>
      </w:r>
      <w:r>
        <w:fldChar w:fldCharType="begin"/>
      </w:r>
      <w:r>
        <w:instrText xml:space="preserve"> HYPERLINK "https://www.cumbria.gov.uk/elibrary/Content/Internet/533/561/6477/4344513378.pdf" </w:instrText>
      </w:r>
      <w:r>
        <w:fldChar w:fldCharType="separate"/>
      </w:r>
      <w:r>
        <w:rPr>
          <w:color w:val="1155CC"/>
          <w:sz w:val="20"/>
          <w:szCs w:val="20"/>
          <w:u w:val="single"/>
        </w:rPr>
        <w:t>https://www.cumbria.gov.uk/elibrary/Content/Internet/533/561/6477/4344513378.pdf</w:t>
      </w:r>
      <w:r>
        <w:fldChar w:fldCharType="end"/>
      </w:r>
      <w:r>
        <w:rPr>
          <w:sz w:val="20"/>
          <w:szCs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rFonts w:ascii="Google Sans" w:eastAsia="Google Sans" w:hAnsi="Google Sans" w:cs="Google Sans"/>
        <w:b w:val="0"/>
        <w:bCs w:val="0"/>
        <w:i w:val="0"/>
        <w:iCs w:val="0"/>
        <w:smallCaps w:val="0"/>
        <w:color w:val="1F1F1F"/>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LUN0056</dc:title>
  <cp:revision>0</cp:revision>
</cp:coreProperties>
</file>