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6D58" w:rsidRPr="00560B7D" w:rsidP="00940B2F">
      <w:pPr>
        <w:pStyle w:val="Heading2"/>
        <w:spacing w:before="240" w:after="240"/>
        <w:ind w:left="0" w:firstLine="0"/>
        <w:jc w:val="center"/>
        <w:rPr>
          <w:rFonts w:ascii="Aptos" w:hAnsi="Aptos"/>
          <w:b/>
          <w:bCs/>
          <w:color w:val="auto"/>
        </w:rPr>
      </w:pPr>
      <w:bookmarkStart w:id="0" w:name="_op4iuelfom81" w:colFirst="0" w:colLast="0"/>
      <w:bookmarkEnd w:id="0"/>
      <w:r w:rsidRPr="00560B7D">
        <w:rPr>
          <w:rFonts w:ascii="Aptos" w:hAnsi="Aptos"/>
          <w:b/>
          <w:bCs/>
          <w:color w:val="auto"/>
        </w:rPr>
        <w:t>Written evidence submitted by McCain Foods (GB) Ltd</w:t>
      </w:r>
      <w:r w:rsidR="00940B2F">
        <w:rPr>
          <w:rFonts w:ascii="Aptos" w:hAnsi="Aptos"/>
          <w:b/>
          <w:bCs/>
          <w:color w:val="auto"/>
        </w:rPr>
        <w:t xml:space="preserve"> (</w:t>
      </w:r>
      <w:r w:rsidRPr="00940B2F" w:rsidR="00940B2F">
        <w:rPr>
          <w:rFonts w:ascii="Aptos" w:hAnsi="Aptos"/>
          <w:b/>
          <w:bCs/>
          <w:color w:val="auto"/>
        </w:rPr>
        <w:t>LUN0055</w:t>
      </w:r>
      <w:r w:rsidR="00940B2F">
        <w:rPr>
          <w:rFonts w:ascii="Aptos" w:hAnsi="Aptos"/>
          <w:b/>
          <w:bCs/>
          <w:color w:val="auto"/>
        </w:rPr>
        <w:t>)</w:t>
      </w:r>
    </w:p>
    <w:p w:rsidR="006B6D58" w:rsidRPr="00560B7D">
      <w:pPr>
        <w:spacing w:before="240" w:after="240"/>
        <w:rPr>
          <w:rFonts w:ascii="Aptos" w:hAnsi="Aptos"/>
          <w:i/>
          <w:iCs/>
          <w:color w:val="auto"/>
        </w:rPr>
      </w:pPr>
      <w:r w:rsidRPr="00560B7D">
        <w:rPr>
          <w:rFonts w:ascii="Aptos" w:hAnsi="Aptos"/>
          <w:i/>
          <w:iCs/>
          <w:color w:val="auto"/>
        </w:rPr>
        <w:t>EFRA Committee inquiry into land use and nature in England</w:t>
      </w:r>
    </w:p>
    <w:p w:rsidR="006B6D58" w:rsidRPr="00560B7D">
      <w:pPr>
        <w:spacing w:before="240" w:after="240"/>
        <w:rPr>
          <w:rFonts w:ascii="Aptos" w:hAnsi="Aptos"/>
          <w:color w:val="auto"/>
        </w:rPr>
      </w:pPr>
      <w:r w:rsidRPr="00560B7D">
        <w:rPr>
          <w:rFonts w:ascii="Aptos" w:hAnsi="Aptos"/>
          <w:color w:val="auto"/>
        </w:rPr>
        <w:t>Submission to the long-term thematic inquiry launched on 18 March 2026, following publication of the Land Use Framework for England (CP 1545).</w:t>
      </w:r>
    </w:p>
    <w:p w:rsidR="006B6D58" w:rsidRPr="00560B7D">
      <w:pPr>
        <w:spacing w:before="240" w:after="240"/>
        <w:rPr>
          <w:rFonts w:ascii="Aptos" w:hAnsi="Aptos"/>
          <w:color w:val="auto"/>
        </w:rPr>
      </w:pPr>
      <w:r w:rsidRPr="00560B7D">
        <w:rPr>
          <w:rFonts w:ascii="Aptos" w:hAnsi="Aptos"/>
          <w:color w:val="auto"/>
        </w:rPr>
        <w:t xml:space="preserve">McCain </w:t>
      </w:r>
      <w:r w:rsidR="007747A4">
        <w:rPr>
          <w:rFonts w:ascii="Aptos" w:hAnsi="Aptos"/>
          <w:color w:val="auto"/>
        </w:rPr>
        <w:t>F</w:t>
      </w:r>
      <w:r w:rsidRPr="00560B7D">
        <w:rPr>
          <w:rFonts w:ascii="Aptos" w:hAnsi="Aptos"/>
          <w:color w:val="auto"/>
        </w:rPr>
        <w:t>oods has been operating in the UK for over 50 years, with our headquarters in Scarborough opening in 1969. As the UK's largest manufacturer of frozen potato products, we employ around 1,400 people across four sites in Scarborough, Hull, Wombourne, and Whittlesey, and a dedicated seed potato business in Montrose. We have invested over £215m into these sites in the past eight years.</w:t>
      </w:r>
    </w:p>
    <w:p w:rsidR="006B6D58" w:rsidRPr="00560B7D">
      <w:pPr>
        <w:spacing w:before="240" w:after="240"/>
        <w:rPr>
          <w:rFonts w:ascii="Aptos" w:hAnsi="Aptos"/>
          <w:color w:val="auto"/>
        </w:rPr>
      </w:pPr>
      <w:r w:rsidRPr="00560B7D">
        <w:rPr>
          <w:rFonts w:ascii="Aptos" w:hAnsi="Aptos"/>
          <w:color w:val="auto"/>
        </w:rPr>
        <w:t>As the largest purchaser of the UK potato crop, we buy around 20% of the market from our 250 UK growers, some of whom we have worked with for three generations. This gives us sight of the whole chain and a direct commercial stake in the long-term health of the British agri-food sector.</w:t>
      </w:r>
    </w:p>
    <w:p w:rsidR="006B6D58" w:rsidRPr="00560B7D">
      <w:pPr>
        <w:spacing w:before="240" w:after="240"/>
        <w:rPr>
          <w:rFonts w:ascii="Aptos" w:hAnsi="Aptos"/>
          <w:color w:val="auto"/>
        </w:rPr>
      </w:pPr>
      <w:r w:rsidRPr="00560B7D">
        <w:rPr>
          <w:rFonts w:ascii="Aptos" w:hAnsi="Aptos"/>
          <w:color w:val="auto"/>
        </w:rPr>
        <w:t xml:space="preserve">We are proud to be a global first-mover in sustainable agriculture. We have committed to implementing regenerative agriculture practices across 100% of our global </w:t>
      </w:r>
      <w:r w:rsidR="00D17B56">
        <w:rPr>
          <w:rFonts w:ascii="Aptos" w:hAnsi="Aptos"/>
          <w:color w:val="auto"/>
        </w:rPr>
        <w:t xml:space="preserve">potato </w:t>
      </w:r>
      <w:r w:rsidRPr="00560B7D">
        <w:rPr>
          <w:rFonts w:ascii="Aptos" w:hAnsi="Aptos"/>
          <w:color w:val="auto"/>
        </w:rPr>
        <w:t>crop by 2030. This spring, we sponsored Demos'</w:t>
      </w:r>
      <w:r w:rsidRPr="00560B7D">
        <w:rPr>
          <w:rFonts w:ascii="Aptos" w:hAnsi="Aptos"/>
          <w:i/>
          <w:iCs/>
          <w:color w:val="auto"/>
        </w:rPr>
        <w:t xml:space="preserve"> </w:t>
      </w:r>
      <w:r>
        <w:fldChar w:fldCharType="begin"/>
      </w:r>
      <w:r>
        <w:instrText xml:space="preserve"> HYPERLINK "https://demos.co.uk/wp-content/uploads/2026/03/Growing-Strong_Report_March_2026-1.pdf" </w:instrText>
      </w:r>
      <w:r>
        <w:fldChar w:fldCharType="separate"/>
      </w:r>
      <w:r w:rsidRPr="00560B7D">
        <w:rPr>
          <w:rFonts w:ascii="Aptos" w:hAnsi="Aptos"/>
          <w:i/>
          <w:iCs/>
          <w:color w:val="1155CC"/>
          <w:u w:val="single"/>
        </w:rPr>
        <w:t>Growing Strong: the Sustainable Farming Dividend</w:t>
      </w:r>
      <w:r>
        <w:fldChar w:fldCharType="end"/>
      </w:r>
      <w:r w:rsidRPr="00560B7D">
        <w:rPr>
          <w:rFonts w:ascii="Aptos" w:hAnsi="Aptos"/>
          <w:i/>
          <w:iCs/>
        </w:rPr>
        <w:t>,</w:t>
      </w:r>
      <w:r w:rsidRPr="00560B7D">
        <w:rPr>
          <w:rFonts w:ascii="Aptos" w:hAnsi="Aptos"/>
        </w:rPr>
        <w:t xml:space="preserve"> </w:t>
      </w:r>
      <w:r w:rsidRPr="00560B7D">
        <w:rPr>
          <w:rFonts w:ascii="Aptos" w:hAnsi="Aptos"/>
          <w:color w:val="auto"/>
        </w:rPr>
        <w:t>which showed that sustainable farming is crucial to UK food security and our sector's growth.</w:t>
      </w:r>
    </w:p>
    <w:p w:rsidR="006B6D58" w:rsidRPr="00560B7D">
      <w:pPr>
        <w:spacing w:before="240" w:after="240"/>
        <w:rPr>
          <w:rFonts w:ascii="Aptos" w:hAnsi="Aptos"/>
          <w:color w:val="auto"/>
        </w:rPr>
      </w:pPr>
      <w:r w:rsidRPr="00560B7D">
        <w:rPr>
          <w:rFonts w:ascii="Aptos" w:hAnsi="Aptos"/>
          <w:color w:val="auto"/>
        </w:rPr>
        <w:t>We have also recently plant</w:t>
      </w:r>
      <w:r w:rsidR="00D17B56">
        <w:rPr>
          <w:rFonts w:ascii="Aptos" w:hAnsi="Aptos"/>
          <w:color w:val="auto"/>
        </w:rPr>
        <w:t>ed</w:t>
      </w:r>
      <w:r w:rsidRPr="00560B7D">
        <w:rPr>
          <w:rFonts w:ascii="Aptos" w:hAnsi="Aptos"/>
          <w:color w:val="auto"/>
        </w:rPr>
        <w:t xml:space="preserve"> potatoes at our new Farm of the Future in North Yorkshire, a 202-hectare working blueprint where we will test and scale future-focused practices in real-world conditions. Together with our partner, the University of Leeds, we are de-risking novel sustainable farming methods for all growers and, eventually consumers worldwide, enabling them to benefit from </w:t>
      </w:r>
      <w:r w:rsidR="00341893">
        <w:rPr>
          <w:rFonts w:ascii="Aptos" w:hAnsi="Aptos"/>
          <w:color w:val="auto"/>
        </w:rPr>
        <w:t>practices such as</w:t>
      </w:r>
      <w:r w:rsidRPr="00560B7D">
        <w:rPr>
          <w:rFonts w:ascii="Aptos" w:hAnsi="Aptos"/>
          <w:color w:val="auto"/>
        </w:rPr>
        <w:t xml:space="preserve"> a circular nutrient system, autonomous vehicles, alternative fuels, and more.</w:t>
      </w:r>
    </w:p>
    <w:p w:rsidR="006B6D58" w:rsidRPr="00560B7D">
      <w:pPr>
        <w:spacing w:before="240" w:after="240"/>
        <w:rPr>
          <w:rFonts w:ascii="Aptos" w:hAnsi="Aptos"/>
          <w:color w:val="auto"/>
        </w:rPr>
      </w:pPr>
      <w:r w:rsidRPr="00560B7D">
        <w:rPr>
          <w:rFonts w:ascii="Aptos" w:hAnsi="Aptos"/>
          <w:color w:val="auto"/>
        </w:rPr>
        <w:t>McCain Foods welcomes the opportunity to submit written evidence to the Committee's 'Land use and nature' inquiry. We are committed to the long-term viability of British agriculture. The Growing Strong: the Sustainable Farming Dividend report</w:t>
      </w:r>
      <w:r w:rsidR="004E126D">
        <w:rPr>
          <w:rFonts w:ascii="Aptos" w:hAnsi="Aptos"/>
          <w:color w:val="auto"/>
        </w:rPr>
        <w:t xml:space="preserve"> </w:t>
      </w:r>
      <w:r w:rsidRPr="00560B7D">
        <w:rPr>
          <w:rFonts w:ascii="Aptos" w:hAnsi="Aptos"/>
          <w:color w:val="auto"/>
        </w:rPr>
        <w:t>highlighted the benefits of regenerative agriculture practices. We are committed</w:t>
      </w:r>
      <w:r w:rsidR="00004E0C">
        <w:rPr>
          <w:rFonts w:ascii="Aptos" w:hAnsi="Aptos"/>
          <w:color w:val="auto"/>
        </w:rPr>
        <w:t xml:space="preserve"> to</w:t>
      </w:r>
      <w:r w:rsidRPr="00560B7D">
        <w:rPr>
          <w:rFonts w:ascii="Aptos" w:hAnsi="Aptos"/>
          <w:color w:val="auto"/>
        </w:rPr>
        <w:t xml:space="preserve"> pioneering sustainable farming approaches to improve domestic food supply, decrease input costs, and help farms build resilience and efficiency.</w:t>
      </w:r>
    </w:p>
    <w:p w:rsidR="006B6D58" w:rsidRPr="00560B7D">
      <w:pPr>
        <w:spacing w:before="240" w:after="240"/>
        <w:rPr>
          <w:rFonts w:ascii="Aptos" w:hAnsi="Aptos"/>
          <w:color w:val="auto"/>
        </w:rPr>
      </w:pPr>
      <w:r w:rsidRPr="00560B7D">
        <w:rPr>
          <w:rFonts w:ascii="Aptos" w:hAnsi="Aptos"/>
          <w:color w:val="auto"/>
        </w:rPr>
        <w:t>Resilient, profitable food production and nature recovery are complementary objectives rather than competing ones and the Land Use Framework (LUF) provides the strategic direction the sector has lacked. Our evidence speaks to the design and implementation questions the Committee has set out, and rests on three points:</w:t>
      </w:r>
    </w:p>
    <w:p w:rsidR="006B6D58" w:rsidRPr="00560B7D" w:rsidP="00560B7D">
      <w:pPr>
        <w:pStyle w:val="ListParagraph"/>
        <w:numPr>
          <w:ilvl w:val="0"/>
          <w:numId w:val="2"/>
        </w:numPr>
        <w:spacing w:before="240"/>
        <w:rPr>
          <w:rFonts w:ascii="Aptos" w:hAnsi="Aptos"/>
          <w:color w:val="auto"/>
        </w:rPr>
      </w:pPr>
      <w:r w:rsidRPr="00560B7D">
        <w:rPr>
          <w:rFonts w:ascii="Aptos" w:hAnsi="Aptos"/>
          <w:color w:val="auto"/>
        </w:rPr>
        <w:t>The LUF's four principles, in particular 'multifunctionality' and the commitment to 'making land digital', validate and create the conditions to scale practices that we already apply across our British supply base.</w:t>
      </w:r>
    </w:p>
    <w:p w:rsidR="006B6D58" w:rsidRPr="00560B7D" w:rsidP="00560B7D">
      <w:pPr>
        <w:pStyle w:val="ListParagraph"/>
        <w:numPr>
          <w:ilvl w:val="0"/>
          <w:numId w:val="2"/>
        </w:numPr>
        <w:rPr>
          <w:rFonts w:ascii="Aptos" w:hAnsi="Aptos"/>
          <w:color w:val="auto"/>
        </w:rPr>
      </w:pPr>
      <w:r w:rsidRPr="00560B7D">
        <w:rPr>
          <w:rFonts w:ascii="Aptos" w:hAnsi="Aptos"/>
          <w:color w:val="auto"/>
        </w:rPr>
        <w:t>Farmer confidence is at a historic low, and the policy certainty the LUF offers is a precondition for unlocking the private investment that sits alongside public schemes. We are already committing capital on the strength of that direction.</w:t>
      </w:r>
    </w:p>
    <w:p w:rsidR="006B6D58" w:rsidRPr="00560B7D" w:rsidP="00560B7D">
      <w:pPr>
        <w:pStyle w:val="ListParagraph"/>
        <w:numPr>
          <w:ilvl w:val="0"/>
          <w:numId w:val="2"/>
        </w:numPr>
        <w:spacing w:after="240"/>
        <w:rPr>
          <w:rFonts w:ascii="Aptos" w:hAnsi="Aptos"/>
          <w:color w:val="auto"/>
        </w:rPr>
      </w:pPr>
      <w:r w:rsidRPr="00560B7D">
        <w:rPr>
          <w:rFonts w:ascii="Aptos" w:hAnsi="Aptos"/>
          <w:color w:val="auto"/>
        </w:rPr>
        <w:t>LUF-aligned regenerative farming practices carry a measurable economic dividend for farm businesses, household food prices, and national food security. This strengthens the case for rapid, well-supported implementation.</w:t>
      </w:r>
    </w:p>
    <w:p w:rsidR="006B6D58" w:rsidRPr="00560B7D">
      <w:pPr>
        <w:spacing w:before="240" w:after="240"/>
        <w:rPr>
          <w:rFonts w:ascii="Aptos" w:hAnsi="Aptos"/>
          <w:color w:val="auto"/>
        </w:rPr>
      </w:pPr>
      <w:r w:rsidRPr="00560B7D">
        <w:rPr>
          <w:rFonts w:ascii="Aptos" w:hAnsi="Aptos"/>
          <w:color w:val="auto"/>
        </w:rPr>
        <w:t>We would welcome the chance to give oral evidence and share data and field results from the McCain Farm of the Future, the Farmdex farmer-sentiment index, and the economic modelling in the 2026 Demos report.</w:t>
      </w:r>
    </w:p>
    <w:p w:rsidR="006B6D58" w:rsidRPr="00560B7D" w:rsidP="00560B7D">
      <w:pPr>
        <w:pStyle w:val="Heading2"/>
        <w:spacing w:before="240" w:after="240"/>
        <w:ind w:left="0" w:firstLine="0"/>
        <w:rPr>
          <w:rFonts w:ascii="Aptos" w:hAnsi="Aptos"/>
          <w:color w:val="auto"/>
        </w:rPr>
      </w:pPr>
      <w:bookmarkStart w:id="1" w:name="_q9o9pnb09lhq" w:colFirst="0" w:colLast="0"/>
      <w:bookmarkEnd w:id="1"/>
      <w:r w:rsidRPr="00560B7D">
        <w:rPr>
          <w:rFonts w:ascii="Aptos" w:hAnsi="Aptos"/>
          <w:color w:val="auto"/>
        </w:rPr>
        <w:t>Introduction</w:t>
      </w:r>
    </w:p>
    <w:p w:rsidR="006B6D58" w:rsidRPr="00560B7D">
      <w:pPr>
        <w:spacing w:before="240" w:after="240"/>
        <w:rPr>
          <w:rFonts w:ascii="Aptos" w:hAnsi="Aptos"/>
          <w:color w:val="auto"/>
        </w:rPr>
      </w:pPr>
      <w:r>
        <w:rPr>
          <w:rFonts w:ascii="Aptos" w:hAnsi="Aptos"/>
          <w:color w:val="auto"/>
        </w:rPr>
        <w:t xml:space="preserve">The </w:t>
      </w:r>
      <w:r w:rsidRPr="00BD176A">
        <w:rPr>
          <w:rFonts w:ascii="Aptos" w:hAnsi="Aptos"/>
          <w:color w:val="auto"/>
        </w:rPr>
        <w:t>Growing Strong: the Sustainable Farming Dividend</w:t>
      </w:r>
      <w:r>
        <w:rPr>
          <w:rFonts w:ascii="Aptos" w:hAnsi="Aptos"/>
          <w:color w:val="auto"/>
        </w:rPr>
        <w:t xml:space="preserve"> report shows that</w:t>
      </w:r>
      <w:r w:rsidR="00C417B2">
        <w:rPr>
          <w:rFonts w:ascii="Aptos" w:hAnsi="Aptos"/>
          <w:color w:val="auto"/>
        </w:rPr>
        <w:t xml:space="preserve"> the transition to</w:t>
      </w:r>
      <w:r w:rsidRPr="00560B7D">
        <w:rPr>
          <w:rFonts w:ascii="Aptos" w:hAnsi="Aptos"/>
          <w:color w:val="auto"/>
        </w:rPr>
        <w:t xml:space="preserve"> regenerative agriculture is a commercial judgement as much as an environmental one: the viability of our supply chain depends on soils that remain productive, water that is used efficiently, and farm businesses that are financially robust enough to keep investing. Sustainable farming protects all three.</w:t>
      </w:r>
    </w:p>
    <w:p w:rsidR="006B6D58" w:rsidRPr="00560B7D">
      <w:pPr>
        <w:spacing w:before="240" w:after="240"/>
        <w:rPr>
          <w:rFonts w:ascii="Aptos" w:hAnsi="Aptos"/>
          <w:color w:val="auto"/>
        </w:rPr>
      </w:pPr>
      <w:r w:rsidRPr="00560B7D">
        <w:rPr>
          <w:rFonts w:ascii="Aptos" w:hAnsi="Aptos"/>
          <w:color w:val="auto"/>
        </w:rPr>
        <w:t>We approach the LUF not as an abstract planning instrument, but as a framework that bears directly on the land we depend on. The Government's analysis concludes that England has enough land to meet its objectives for food, nature, housing, and energy provided land is used more efficiently and for multiple benefits at once. That conclusion matches our experience on the ground, and the LUF gives national validation to an approach we have been scaling for several years. We welcome it on that basis, and we want to help the Committee understand what effective implementation looks like in practice.</w:t>
      </w:r>
    </w:p>
    <w:p w:rsidR="006B6D58" w:rsidRPr="00560B7D" w:rsidP="00560B7D">
      <w:pPr>
        <w:pStyle w:val="Heading2"/>
        <w:spacing w:before="240" w:after="240"/>
        <w:ind w:left="0" w:firstLine="0"/>
        <w:rPr>
          <w:rFonts w:ascii="Aptos" w:hAnsi="Aptos"/>
          <w:color w:val="auto"/>
        </w:rPr>
      </w:pPr>
      <w:bookmarkStart w:id="2" w:name="_hai38e584i89" w:colFirst="0" w:colLast="0"/>
      <w:bookmarkEnd w:id="2"/>
      <w:r w:rsidRPr="00560B7D">
        <w:rPr>
          <w:rFonts w:ascii="Aptos" w:hAnsi="Aptos"/>
          <w:color w:val="auto"/>
        </w:rPr>
        <w:t>Food security and multifunctional land use</w:t>
      </w:r>
    </w:p>
    <w:p w:rsidR="006B6D58" w:rsidRPr="00560B7D">
      <w:pPr>
        <w:spacing w:before="240" w:after="240"/>
        <w:rPr>
          <w:rFonts w:ascii="Aptos" w:hAnsi="Aptos"/>
          <w:color w:val="auto"/>
        </w:rPr>
      </w:pPr>
      <w:r w:rsidRPr="00560B7D">
        <w:rPr>
          <w:rFonts w:ascii="Aptos" w:hAnsi="Aptos"/>
          <w:color w:val="auto"/>
        </w:rPr>
        <w:t xml:space="preserve">We believe the Government should develop a standardised baseline for carbon, soil, water, and biodiversity outcomes to provide a consistent, shared understanding of the environmental and economic assets of UK farmland. This aligns with calls from AHDB, WWF, and the </w:t>
      </w:r>
      <w:r>
        <w:fldChar w:fldCharType="begin"/>
      </w:r>
      <w:r>
        <w:instrText xml:space="preserve"> HYPERLINK "https://assets.publishing.service.gov.uk/media/694293989273c48f554cf4e5/farming-profitability-review.pdf" </w:instrText>
      </w:r>
      <w:r>
        <w:fldChar w:fldCharType="separate"/>
      </w:r>
      <w:r w:rsidRPr="00560B7D">
        <w:rPr>
          <w:rFonts w:ascii="Aptos" w:hAnsi="Aptos"/>
          <w:color w:val="1155CC"/>
          <w:u w:val="single"/>
        </w:rPr>
        <w:t>Farming Profitability Review's proposal</w:t>
      </w:r>
      <w:r>
        <w:fldChar w:fldCharType="end"/>
      </w:r>
      <w:r w:rsidRPr="00560B7D">
        <w:rPr>
          <w:rFonts w:ascii="Aptos" w:hAnsi="Aptos"/>
        </w:rPr>
        <w:t xml:space="preserve"> </w:t>
      </w:r>
      <w:r w:rsidRPr="00560B7D">
        <w:rPr>
          <w:rFonts w:ascii="Aptos" w:hAnsi="Aptos"/>
          <w:color w:val="auto"/>
        </w:rPr>
        <w:t>for a SOILSHOT+NATURE taskforce. Crucially, this initiative supports the LUF’s commitment to 'making land digital' by opening up the National Soil Map, a predictive Agricultural Land Classification map, and combined spatial datasets. Together, these tools give farmers, processors, and planners an evidence-based picture of where the country's most productive land lies.</w:t>
      </w:r>
    </w:p>
    <w:p w:rsidR="006B6D58" w:rsidRPr="00560B7D">
      <w:pPr>
        <w:spacing w:before="240" w:after="240"/>
        <w:rPr>
          <w:rFonts w:ascii="Aptos" w:hAnsi="Aptos"/>
          <w:color w:val="auto"/>
        </w:rPr>
      </w:pPr>
      <w:r w:rsidRPr="00560B7D">
        <w:rPr>
          <w:rFonts w:ascii="Aptos" w:hAnsi="Aptos"/>
          <w:color w:val="auto"/>
        </w:rPr>
        <w:t>For businesses planning cropping years in advance, the reliable identification and strategic safeguarding of 'Best and Most Versatile' (BMV) land is the single most useful contribution the Framework can make to long-term food security. Furthermore, a standardised baseline provides comparable datasets that enable better business planning, benchmarking, and risk management. By giving the Government, investors, and advisers the data needed to target, support and monitor national climate targets, this approach ultimately unlocks new environmental market opportunities for farmers that are currently hampered by inconsistent or unverifiable data.</w:t>
      </w:r>
    </w:p>
    <w:p w:rsidR="006B6D58" w:rsidRPr="00560B7D">
      <w:pPr>
        <w:spacing w:before="240" w:after="240"/>
        <w:rPr>
          <w:rFonts w:ascii="Aptos" w:hAnsi="Aptos"/>
          <w:color w:val="auto"/>
        </w:rPr>
      </w:pPr>
      <w:r w:rsidRPr="00560B7D">
        <w:rPr>
          <w:rFonts w:ascii="Aptos" w:hAnsi="Aptos"/>
          <w:color w:val="auto"/>
        </w:rPr>
        <w:t>The principle of multifunctionality is equally important, and it reflects how good farms already operate. Land can produce high-yield crops and deliver environmental benefits from the same hectare, rather than being divided between food and nature as though the two were in opposition. Across our British supply base, we see this directly: fields that grow potatoes for processing also build soil organic matter, improve water retention, and support biodiversity at field margins. Embedding multifunctionality in national policy gives this a legitimacy it has previously lacked, and signals to growers that environmental delivery and commercial yield can be pursued together.</w:t>
      </w:r>
    </w:p>
    <w:p w:rsidR="006B6D58" w:rsidRPr="00560B7D">
      <w:pPr>
        <w:spacing w:before="240" w:after="240"/>
        <w:rPr>
          <w:rFonts w:ascii="Aptos" w:hAnsi="Aptos"/>
          <w:color w:val="auto"/>
        </w:rPr>
      </w:pPr>
      <w:r w:rsidRPr="00560B7D">
        <w:rPr>
          <w:rFonts w:ascii="Aptos" w:hAnsi="Aptos"/>
          <w:color w:val="auto"/>
        </w:rPr>
        <w:t>The Framework's emphasis on sustainable farm practices aligns closely with the regenerative techniques we promote through our grower programmes, such as cover cropping, reduced tillage, diversified rotations, and targeted soil health improvement. These practices reduce input dependence, lower flood and drought risk, and protect yields against the volatility that climate change is already bringing to British agriculture. Crucially, these are precisely the methods the LUF envisages spreading across the majority of farmland remaining in production.</w:t>
      </w:r>
    </w:p>
    <w:p w:rsidR="006B6D58" w:rsidRPr="00560B7D" w:rsidP="00560B7D">
      <w:pPr>
        <w:pStyle w:val="Heading2"/>
        <w:spacing w:before="240" w:after="240"/>
        <w:ind w:left="0" w:firstLine="0"/>
        <w:rPr>
          <w:rFonts w:ascii="Aptos" w:hAnsi="Aptos"/>
          <w:color w:val="auto"/>
        </w:rPr>
      </w:pPr>
      <w:bookmarkStart w:id="3" w:name="_r24z1mbzjm5y" w:colFirst="0" w:colLast="0"/>
      <w:bookmarkEnd w:id="3"/>
      <w:r w:rsidRPr="00560B7D">
        <w:rPr>
          <w:rFonts w:ascii="Aptos" w:hAnsi="Aptos"/>
          <w:color w:val="auto"/>
        </w:rPr>
        <w:t>Restoring farmer confidence</w:t>
      </w:r>
    </w:p>
    <w:p w:rsidR="006B6D58" w:rsidRPr="00560B7D">
      <w:pPr>
        <w:spacing w:before="240" w:after="240"/>
        <w:rPr>
          <w:rFonts w:ascii="Aptos" w:hAnsi="Aptos"/>
          <w:color w:val="auto"/>
        </w:rPr>
      </w:pPr>
      <w:r w:rsidRPr="00560B7D">
        <w:rPr>
          <w:rFonts w:ascii="Aptos" w:hAnsi="Aptos"/>
          <w:color w:val="auto"/>
        </w:rPr>
        <w:t xml:space="preserve">Confidence across the sector is low. Our </w:t>
      </w:r>
      <w:r>
        <w:fldChar w:fldCharType="begin"/>
      </w:r>
      <w:r>
        <w:instrText xml:space="preserve"> HYPERLINK "https://www.mccain.co.uk/media/s0wjuwhn/mccain_farmdexreport.pdf" </w:instrText>
      </w:r>
      <w:r>
        <w:fldChar w:fldCharType="separate"/>
      </w:r>
      <w:r w:rsidRPr="00560B7D">
        <w:rPr>
          <w:rFonts w:ascii="Aptos" w:hAnsi="Aptos"/>
          <w:i/>
          <w:iCs/>
          <w:color w:val="1155CC"/>
          <w:u w:val="single"/>
        </w:rPr>
        <w:t>2025 Farmdex Report,</w:t>
      </w:r>
      <w:r>
        <w:fldChar w:fldCharType="end"/>
      </w:r>
      <w:r w:rsidRPr="00560B7D">
        <w:rPr>
          <w:rFonts w:ascii="Aptos" w:hAnsi="Aptos"/>
        </w:rPr>
        <w:t xml:space="preserve"> </w:t>
      </w:r>
      <w:r w:rsidRPr="00560B7D">
        <w:rPr>
          <w:rFonts w:ascii="Aptos" w:hAnsi="Aptos"/>
          <w:color w:val="auto"/>
        </w:rPr>
        <w:t>which tracks sentiment across British growers, recorded a net optimism score of -38% alongside high levels of financial stress. Farmers facing that degree of uncertainty will not make the long-term investments in soil, equipment, and skills that regenerative transition requires, however sound the agronomic case may be.</w:t>
      </w:r>
    </w:p>
    <w:p w:rsidR="006B6D58" w:rsidRPr="00560B7D">
      <w:pPr>
        <w:spacing w:before="240" w:after="240"/>
        <w:rPr>
          <w:rFonts w:ascii="Aptos" w:hAnsi="Aptos"/>
          <w:color w:val="auto"/>
        </w:rPr>
      </w:pPr>
      <w:r w:rsidRPr="00560B7D">
        <w:rPr>
          <w:rFonts w:ascii="Aptos" w:hAnsi="Aptos"/>
          <w:color w:val="auto"/>
        </w:rPr>
        <w:t>Financial anxieties and relentless schedules are actively impacting the mental health of farmers. In the 2025 Farmdex report, 61% of respondents claimed their mental health was suffering, heavily obscuring career attractiveness for the next generation and leading 95% to anticipate a decline in family-run farms over the next decade.</w:t>
      </w:r>
    </w:p>
    <w:p w:rsidR="006B6D58" w:rsidRPr="00560B7D">
      <w:pPr>
        <w:spacing w:before="240" w:after="240"/>
        <w:rPr>
          <w:rFonts w:ascii="Aptos" w:hAnsi="Aptos"/>
          <w:color w:val="auto"/>
        </w:rPr>
      </w:pPr>
      <w:r w:rsidRPr="00560B7D">
        <w:rPr>
          <w:rFonts w:ascii="Aptos" w:hAnsi="Aptos"/>
          <w:color w:val="auto"/>
        </w:rPr>
        <w:t>The LUF's value here lies in its role as a long-term strategic guide rather than a prescriptive plan. The sector has repeatedly told the Government that it lacks policy certainty. In fact, 90% of farmers feel the UK economy is negatively affecting their farm's financial position, and 2 in 5 (40%) believe they may be forced to exit the industry within the next decade.</w:t>
      </w:r>
    </w:p>
    <w:p w:rsidR="006B6D58" w:rsidRPr="00560B7D">
      <w:pPr>
        <w:spacing w:before="240" w:after="240"/>
        <w:rPr>
          <w:rFonts w:ascii="Aptos" w:hAnsi="Aptos"/>
          <w:color w:val="auto"/>
        </w:rPr>
      </w:pPr>
      <w:r w:rsidRPr="00560B7D">
        <w:rPr>
          <w:rFonts w:ascii="Aptos" w:hAnsi="Aptos"/>
          <w:color w:val="auto"/>
        </w:rPr>
        <w:t>The Framework's commitment to a stable, five-yearly-reviewed direction of travel begins to address that. When farmers can see how national priorities, data, and incentives are likely to develop over a decade, they can plan and invest with greater confidence. We encourage the Committee to press for the evolution of Environmental Land Management (ELM) schemes to be aligned tightly with the LUF, so that the strategic signal is reinforced rather than diluted by inconsistent policy.</w:t>
      </w:r>
    </w:p>
    <w:p w:rsidR="006B6D58" w:rsidRPr="00560B7D">
      <w:pPr>
        <w:spacing w:before="240" w:after="240"/>
        <w:rPr>
          <w:rFonts w:ascii="Aptos" w:hAnsi="Aptos"/>
          <w:color w:val="auto"/>
        </w:rPr>
      </w:pPr>
      <w:r w:rsidRPr="00560B7D">
        <w:rPr>
          <w:rFonts w:ascii="Aptos" w:hAnsi="Aptos"/>
          <w:color w:val="auto"/>
        </w:rPr>
        <w:t>We are already acting on that signal. In response to recent industry challenges, we have committed an additional £</w:t>
      </w:r>
      <w:r w:rsidR="00604A9C">
        <w:rPr>
          <w:rFonts w:ascii="Aptos" w:hAnsi="Aptos"/>
          <w:color w:val="auto"/>
        </w:rPr>
        <w:t>100</w:t>
      </w:r>
      <w:r w:rsidRPr="00560B7D">
        <w:rPr>
          <w:rFonts w:ascii="Aptos" w:hAnsi="Aptos"/>
          <w:color w:val="auto"/>
        </w:rPr>
        <w:t xml:space="preserve">m to supporting British farming since 2020. This includes a £30m support package announced </w:t>
      </w:r>
      <w:r w:rsidR="00604A9C">
        <w:rPr>
          <w:rFonts w:ascii="Aptos" w:hAnsi="Aptos"/>
          <w:color w:val="auto"/>
        </w:rPr>
        <w:t>last</w:t>
      </w:r>
      <w:r w:rsidRPr="00560B7D">
        <w:rPr>
          <w:rFonts w:ascii="Aptos" w:hAnsi="Aptos"/>
          <w:color w:val="auto"/>
        </w:rPr>
        <w:t xml:space="preserve"> year, developed in close consultation with growers to provide vital capital assistance for critical infrastructure investments and improved payment terms to enhance cashflow stability.</w:t>
      </w:r>
      <w:r w:rsidRPr="00C971A2" w:rsidR="00C971A2">
        <w:t xml:space="preserve"> </w:t>
      </w:r>
      <w:r w:rsidRPr="00C971A2" w:rsidR="00C971A2">
        <w:rPr>
          <w:rFonts w:ascii="Aptos" w:hAnsi="Aptos"/>
          <w:color w:val="auto"/>
        </w:rPr>
        <w:t>In its first year alone, it has already supported infrastructure investment, increased irrigated land and helped strengthen grower resilience against drought and financial shocks.</w:t>
      </w:r>
    </w:p>
    <w:p w:rsidR="006B6D58" w:rsidRPr="00560B7D">
      <w:pPr>
        <w:spacing w:before="240" w:after="240"/>
        <w:rPr>
          <w:rFonts w:ascii="Aptos" w:hAnsi="Aptos"/>
          <w:color w:val="auto"/>
        </w:rPr>
      </w:pPr>
      <w:r w:rsidRPr="00560B7D">
        <w:rPr>
          <w:rFonts w:ascii="Aptos" w:hAnsi="Aptos"/>
          <w:color w:val="auto"/>
        </w:rPr>
        <w:t>This investment offers a concrete example of the private-sector engagement the LUF explicitly seeks to unlock. Public funding alone cannot deliver the scale of change envisaged; processors, retailers, and supply chains must commit capital alongside public resources, and a clear policy framework is precisely what gives businesses the confidence to do so. The capital invested in British farming supports growers directly through the transition to regenerative practices, covering hands-on agronomic advice, field trials, and shared investment in the changes that build long-term climate resilience.</w:t>
      </w:r>
    </w:p>
    <w:p w:rsidR="006B6D58" w:rsidRPr="00560B7D" w:rsidP="00560B7D">
      <w:pPr>
        <w:pStyle w:val="Heading2"/>
        <w:spacing w:before="240" w:after="240"/>
        <w:ind w:left="0" w:firstLine="0"/>
        <w:rPr>
          <w:rFonts w:ascii="Aptos" w:hAnsi="Aptos"/>
          <w:color w:val="auto"/>
        </w:rPr>
      </w:pPr>
      <w:bookmarkStart w:id="4" w:name="_hi7xesppec3s" w:colFirst="0" w:colLast="0"/>
      <w:bookmarkEnd w:id="4"/>
      <w:r w:rsidRPr="00560B7D">
        <w:rPr>
          <w:rFonts w:ascii="Aptos" w:hAnsi="Aptos"/>
          <w:color w:val="auto"/>
        </w:rPr>
        <w:t>The sustainable farming dividend</w:t>
      </w:r>
    </w:p>
    <w:p w:rsidR="006B6D58" w:rsidRPr="00560B7D">
      <w:pPr>
        <w:spacing w:before="240" w:after="240"/>
        <w:rPr>
          <w:rFonts w:ascii="Aptos" w:hAnsi="Aptos"/>
          <w:color w:val="auto"/>
        </w:rPr>
      </w:pPr>
      <w:r w:rsidRPr="00560B7D">
        <w:rPr>
          <w:rFonts w:ascii="Aptos" w:hAnsi="Aptos"/>
          <w:color w:val="auto"/>
        </w:rPr>
        <w:t>The UK's food system has been under great strain in recent times, with food prices rising by more than 35% over the last five years. Since the pandemic, farmers have faced a series of shocks: from skyrocketing input costs and uneven profitability to persistent policy uncertainty.</w:t>
      </w:r>
    </w:p>
    <w:p w:rsidR="006B6D58" w:rsidRPr="00560B7D">
      <w:pPr>
        <w:spacing w:before="240" w:after="240"/>
        <w:rPr>
          <w:rFonts w:ascii="Aptos" w:hAnsi="Aptos"/>
          <w:color w:val="auto"/>
        </w:rPr>
      </w:pPr>
      <w:r w:rsidRPr="00560B7D">
        <w:rPr>
          <w:rFonts w:ascii="Aptos" w:hAnsi="Aptos"/>
          <w:color w:val="auto"/>
        </w:rPr>
        <w:t>The Government is rightly focused on boosting farming profitability and shoring up the UK's economic and food security. The Demos report finds that sustainable farming delivers on all these fronts: from protecting natural capital to guaranteeing food supply for decades, to reducing our reliance on imported food and chemicals and increasing overall yields. The economic case for LUF-aligned practice is stronger than is often assumed, and we believe the Committee should weigh it heavily. Demos' modelling found that scaling it across the UK could generate £56.3bn in natural capital by 2035, £31.6bn in increased farm profitability by 2050, and, if adopted globally, a 7% cut to annual food bills for the average UK household.</w:t>
      </w:r>
    </w:p>
    <w:p w:rsidR="006B6D58" w:rsidRPr="00560B7D">
      <w:pPr>
        <w:spacing w:before="240" w:after="240"/>
        <w:rPr>
          <w:rFonts w:ascii="Aptos" w:hAnsi="Aptos"/>
          <w:color w:val="auto"/>
        </w:rPr>
      </w:pPr>
      <w:r w:rsidRPr="00560B7D">
        <w:rPr>
          <w:rFonts w:ascii="Aptos" w:hAnsi="Aptos"/>
          <w:color w:val="auto"/>
        </w:rPr>
        <w:t>In other words, sustainable agriculture makes business sense. It underpins food security by maintaining domestic production on healthy soils and helping to stabilise the prices households pay. Government investment in it will be repaid by economic growth.</w:t>
      </w:r>
    </w:p>
    <w:p w:rsidR="006B6D58" w:rsidRPr="00560B7D">
      <w:pPr>
        <w:spacing w:before="240" w:after="240"/>
        <w:rPr>
          <w:rFonts w:ascii="Aptos" w:hAnsi="Aptos"/>
          <w:color w:val="auto"/>
        </w:rPr>
      </w:pPr>
      <w:r w:rsidRPr="00560B7D">
        <w:rPr>
          <w:rFonts w:ascii="Aptos" w:hAnsi="Aptos"/>
          <w:color w:val="auto"/>
        </w:rPr>
        <w:t>We strongly support the LUF's commitment to track import dependence, including 'imported hectares', through the UK Food Security Report. Reporting this transparently in the next statutory report, due in 2027, will make visible the trade-off between domestic production and reliance on imports produced to lower standards. That visibility protects British growers from being quietly displaced and gives Parliament a clear metric against which to judge whether the LUF is sustaining food production as intended.</w:t>
      </w:r>
    </w:p>
    <w:p w:rsidR="006B6D58" w:rsidRPr="00560B7D" w:rsidP="00560B7D">
      <w:pPr>
        <w:pStyle w:val="Heading2"/>
        <w:spacing w:before="240" w:after="240"/>
        <w:ind w:left="0" w:firstLine="0"/>
        <w:rPr>
          <w:rFonts w:ascii="Aptos" w:hAnsi="Aptos"/>
          <w:color w:val="auto"/>
        </w:rPr>
      </w:pPr>
      <w:bookmarkStart w:id="5" w:name="_hud64giljpx4" w:colFirst="0" w:colLast="0"/>
      <w:bookmarkEnd w:id="5"/>
      <w:r w:rsidRPr="00560B7D">
        <w:rPr>
          <w:rFonts w:ascii="Aptos" w:hAnsi="Aptos"/>
          <w:color w:val="auto"/>
        </w:rPr>
        <w:t>Innovation, collaboration, and implementation</w:t>
      </w:r>
    </w:p>
    <w:p w:rsidR="006B6D58" w:rsidRPr="00560B7D">
      <w:pPr>
        <w:spacing w:before="240" w:after="240"/>
        <w:rPr>
          <w:rFonts w:ascii="Aptos" w:hAnsi="Aptos"/>
          <w:color w:val="auto"/>
        </w:rPr>
      </w:pPr>
      <w:r w:rsidRPr="00560B7D">
        <w:rPr>
          <w:rFonts w:ascii="Aptos" w:hAnsi="Aptos"/>
          <w:color w:val="auto"/>
        </w:rPr>
        <w:t>Implementation will succeed or fail on the ground, and farm businesses cannot be expected to navigate the transition alone. We would like to draw the Committee's attention to the need for what might be called 'economies of coordination': pooling advice, data, and shared infrastructure so that growers who lack the scale to transition individually can do so collectively. Processors and supply chains are well placed to provide this coordinating role, and policy should actively encourage it.</w:t>
      </w:r>
    </w:p>
    <w:p w:rsidR="006B6D58" w:rsidRPr="00560B7D">
      <w:pPr>
        <w:spacing w:before="240" w:after="240"/>
        <w:rPr>
          <w:rFonts w:ascii="Aptos" w:hAnsi="Aptos"/>
          <w:color w:val="auto"/>
        </w:rPr>
      </w:pPr>
      <w:r w:rsidRPr="00560B7D">
        <w:rPr>
          <w:rFonts w:ascii="Aptos" w:hAnsi="Aptos"/>
          <w:color w:val="auto"/>
        </w:rPr>
        <w:t xml:space="preserve">The McCain Farm of the Future in the UK offers a working illustration of the LUF’s 'adaptive by design' principle. It functions as a sandbox for testing low-intensity tillage, water optimisation, and other regenerative techniques under real commercial conditions before recommending them to growers. This is adaptive, evidence-led practice of exactly the kind the LUF calls for, and it generates the field data needed to refine approaches as conditions change. We would be delighted to host members of the Committee or provide results from the site </w:t>
      </w:r>
      <w:r w:rsidR="008C6D7A">
        <w:rPr>
          <w:rFonts w:ascii="Aptos" w:hAnsi="Aptos"/>
          <w:color w:val="auto"/>
        </w:rPr>
        <w:t>when available</w:t>
      </w:r>
      <w:r w:rsidRPr="00560B7D">
        <w:rPr>
          <w:rFonts w:ascii="Aptos" w:hAnsi="Aptos"/>
          <w:color w:val="auto"/>
        </w:rPr>
        <w:t>.</w:t>
      </w:r>
    </w:p>
    <w:p w:rsidR="006B6D58" w:rsidRPr="00560B7D">
      <w:pPr>
        <w:spacing w:before="240" w:after="240"/>
        <w:rPr>
          <w:rFonts w:ascii="Aptos" w:hAnsi="Aptos"/>
          <w:color w:val="auto"/>
        </w:rPr>
      </w:pPr>
      <w:r w:rsidRPr="00560B7D">
        <w:rPr>
          <w:rFonts w:ascii="Aptos" w:hAnsi="Aptos"/>
          <w:color w:val="auto"/>
        </w:rPr>
        <w:t xml:space="preserve">Skills are the other constraint on delivery, and they are too often overlooked. Through </w:t>
      </w:r>
      <w:r w:rsidR="006E0E9C">
        <w:rPr>
          <w:rFonts w:ascii="Aptos" w:hAnsi="Aptos"/>
          <w:color w:val="auto"/>
        </w:rPr>
        <w:t xml:space="preserve">the </w:t>
      </w:r>
      <w:r w:rsidRPr="006E0E9C" w:rsidR="006E0E9C">
        <w:rPr>
          <w:rFonts w:ascii="Aptos" w:hAnsi="Aptos"/>
          <w:color w:val="auto"/>
        </w:rPr>
        <w:t>Sustainable Markets Initiative</w:t>
      </w:r>
      <w:r w:rsidR="006E0E9C">
        <w:rPr>
          <w:rFonts w:ascii="Aptos" w:hAnsi="Aptos"/>
          <w:color w:val="auto"/>
        </w:rPr>
        <w:t xml:space="preserve">’s </w:t>
      </w:r>
      <w:r w:rsidRPr="00560B7D">
        <w:rPr>
          <w:rFonts w:ascii="Aptos" w:hAnsi="Aptos"/>
          <w:color w:val="auto"/>
        </w:rPr>
        <w:t>Routes to Regen project and our work with BASIS, we are upskilling growers and agronomists so that the workforce is genuinely capable of delivering regenerative practice at scale. The LUF's ambitions depend on this human capacity as much as on data and incentives, and we would encourage the Committee to treat training and advice as core to implementation rather than as an afterthought.</w:t>
      </w:r>
    </w:p>
    <w:p w:rsidR="006B6D58" w:rsidRPr="00560B7D">
      <w:pPr>
        <w:spacing w:before="240" w:after="240"/>
        <w:rPr>
          <w:rFonts w:ascii="Aptos" w:hAnsi="Aptos"/>
          <w:color w:val="auto"/>
        </w:rPr>
      </w:pPr>
      <w:r w:rsidRPr="00560B7D">
        <w:rPr>
          <w:rFonts w:ascii="Aptos" w:hAnsi="Aptos"/>
          <w:color w:val="auto"/>
        </w:rPr>
        <w:t xml:space="preserve">McCain has a track record of implementing innovative methods and technology. We have also funded over </w:t>
      </w:r>
      <w:r w:rsidR="00EE328B">
        <w:rPr>
          <w:rFonts w:ascii="Aptos" w:hAnsi="Aptos"/>
          <w:color w:val="auto"/>
        </w:rPr>
        <w:t>17</w:t>
      </w:r>
      <w:r w:rsidRPr="00560B7D">
        <w:rPr>
          <w:rFonts w:ascii="Aptos" w:hAnsi="Aptos"/>
          <w:color w:val="auto"/>
        </w:rPr>
        <w:t xml:space="preserve">,000 hectares of cover crops, provided comprehensive soil health assessments, and distributed pollinator </w:t>
      </w:r>
      <w:r w:rsidRPr="00560B7D">
        <w:rPr>
          <w:rFonts w:ascii="Aptos" w:hAnsi="Aptos"/>
          <w:color w:val="auto"/>
        </w:rPr>
        <w:t>seeds to growers. To ensure this transition is both efficient and scientifically sound, we collaborated with academics, scientific organisations, farmer representatives, public institutions, and NGOs to develop a formal Regenerative Agriculture Framework. This framework provides clear, stepped guidelines across four distinct levels of achievement, moving progressively from Onboarding to Beginner, Master, and ultimately Expert. The four levels equate to a structured journey that moves a farmer from initial training and baseline soil testing (Onboarding), to early field adoption (Beginner), to full operational integration of sustainable practices (Master), and ultimately to running a highly resilient, low-input ecosystem as an industry leader (Expert).</w:t>
      </w:r>
    </w:p>
    <w:p w:rsidR="006B6D58" w:rsidRPr="00560B7D">
      <w:pPr>
        <w:spacing w:before="240" w:after="240"/>
        <w:rPr>
          <w:rFonts w:ascii="Aptos" w:hAnsi="Aptos"/>
          <w:color w:val="auto"/>
        </w:rPr>
      </w:pPr>
      <w:r w:rsidRPr="00560B7D">
        <w:rPr>
          <w:rFonts w:ascii="Aptos" w:hAnsi="Aptos"/>
          <w:color w:val="auto"/>
        </w:rPr>
        <w:t>To support farmers on this journey, specialised training programmes have been developed in partnership with leading global bodies, including Earthworm in Europe and the Soil Health Institute in North America. In the United Kingdom, we are working with a dedicated team of experts to conduct agronomic research and facilitate direct knowledge exchange with growers across a network of working demonstration farms. This structured, metrics-driven approach is already delivering measurable results; by the end of 202</w:t>
      </w:r>
      <w:r w:rsidR="00052A37">
        <w:rPr>
          <w:rFonts w:ascii="Aptos" w:hAnsi="Aptos"/>
          <w:color w:val="auto"/>
        </w:rPr>
        <w:t>5</w:t>
      </w:r>
      <w:r w:rsidRPr="00560B7D">
        <w:rPr>
          <w:rFonts w:ascii="Aptos" w:hAnsi="Aptos"/>
          <w:color w:val="auto"/>
        </w:rPr>
        <w:t xml:space="preserve">, </w:t>
      </w:r>
      <w:r w:rsidR="001E5744">
        <w:rPr>
          <w:rFonts w:ascii="Aptos" w:hAnsi="Aptos"/>
          <w:color w:val="auto"/>
        </w:rPr>
        <w:t>86</w:t>
      </w:r>
      <w:r w:rsidRPr="00560B7D">
        <w:rPr>
          <w:rFonts w:ascii="Aptos" w:hAnsi="Aptos"/>
          <w:color w:val="auto"/>
        </w:rPr>
        <w:t xml:space="preserve">% of our </w:t>
      </w:r>
      <w:r w:rsidR="001E5744">
        <w:rPr>
          <w:rFonts w:ascii="Aptos" w:hAnsi="Aptos"/>
          <w:color w:val="auto"/>
        </w:rPr>
        <w:t>GB</w:t>
      </w:r>
      <w:r w:rsidRPr="00560B7D">
        <w:rPr>
          <w:rFonts w:ascii="Aptos" w:hAnsi="Aptos"/>
          <w:color w:val="auto"/>
        </w:rPr>
        <w:t xml:space="preserve"> potato acreage had successfully achieved the</w:t>
      </w:r>
      <w:r w:rsidR="001E5744">
        <w:rPr>
          <w:rFonts w:ascii="Aptos" w:hAnsi="Aptos"/>
          <w:color w:val="auto"/>
        </w:rPr>
        <w:t xml:space="preserve"> engaged </w:t>
      </w:r>
      <w:r w:rsidR="001B2DFC">
        <w:rPr>
          <w:rFonts w:ascii="Aptos" w:hAnsi="Aptos"/>
          <w:color w:val="auto"/>
        </w:rPr>
        <w:t>(</w:t>
      </w:r>
      <w:r w:rsidR="001E5744">
        <w:rPr>
          <w:rFonts w:ascii="Aptos" w:hAnsi="Aptos"/>
          <w:color w:val="auto"/>
        </w:rPr>
        <w:t>or higher</w:t>
      </w:r>
      <w:r w:rsidR="001B2DFC">
        <w:rPr>
          <w:rFonts w:ascii="Aptos" w:hAnsi="Aptos"/>
          <w:color w:val="auto"/>
        </w:rPr>
        <w:t>)</w:t>
      </w:r>
      <w:r w:rsidRPr="00560B7D">
        <w:rPr>
          <w:rFonts w:ascii="Aptos" w:hAnsi="Aptos"/>
          <w:color w:val="auto"/>
        </w:rPr>
        <w:t xml:space="preserve"> level of the framework.</w:t>
      </w:r>
    </w:p>
    <w:p w:rsidR="006B6D58" w:rsidRPr="00560B7D" w:rsidP="00560B7D">
      <w:pPr>
        <w:pStyle w:val="Heading2"/>
        <w:spacing w:before="240" w:after="240"/>
        <w:ind w:left="0" w:firstLine="0"/>
        <w:rPr>
          <w:rFonts w:ascii="Aptos" w:hAnsi="Aptos"/>
          <w:color w:val="auto"/>
        </w:rPr>
      </w:pPr>
      <w:bookmarkStart w:id="6" w:name="_922f91p9ihs8" w:colFirst="0" w:colLast="0"/>
      <w:bookmarkEnd w:id="6"/>
      <w:r w:rsidRPr="00560B7D">
        <w:rPr>
          <w:rFonts w:ascii="Aptos" w:hAnsi="Aptos"/>
          <w:color w:val="auto"/>
        </w:rPr>
        <w:t>Conclusion and offer of further evidence</w:t>
      </w:r>
    </w:p>
    <w:p w:rsidR="006B6D58" w:rsidRPr="00560B7D">
      <w:pPr>
        <w:spacing w:before="240" w:after="240"/>
        <w:rPr>
          <w:rFonts w:ascii="Aptos" w:hAnsi="Aptos"/>
          <w:color w:val="auto"/>
        </w:rPr>
      </w:pPr>
      <w:r w:rsidRPr="00560B7D">
        <w:rPr>
          <w:rFonts w:ascii="Aptos" w:hAnsi="Aptos"/>
          <w:color w:val="auto"/>
        </w:rPr>
        <w:t>We welcome the LUF as a necessary foundation for a future-ready, resilient, and profitable British agricultural sector. It establishes that food production and nature recovery can coexist, it begins to provide the policy certainty growers need, and it creates the conditions for the private investment that public schemes cannot deliver alone. The priority now is to convert principles into delivery quickly and coherently, with the Farming Roadmap, ELM reform, and food-security reporting all pulling in the same direction.</w:t>
      </w:r>
    </w:p>
    <w:p w:rsidR="006B6D58" w:rsidRPr="00560B7D">
      <w:pPr>
        <w:spacing w:before="240" w:after="240"/>
        <w:rPr>
          <w:rFonts w:ascii="Aptos" w:hAnsi="Aptos"/>
          <w:color w:val="auto"/>
        </w:rPr>
      </w:pPr>
      <w:r w:rsidRPr="00560B7D">
        <w:rPr>
          <w:rFonts w:ascii="Aptos" w:hAnsi="Aptos"/>
          <w:color w:val="auto"/>
        </w:rPr>
        <w:t>We are ready to assist the Committee further. We would be glad to provide additional evidence from the McCain Farm of the Future, the Farmdex farmer-sentiment index, and the Demos research referenced in this submission, and we would welcome an invitation to give oral evidence. We offer ourselves as a collaborative partner to the Committee in ensuring the Framework delivers for both the environment and the economy.</w:t>
      </w:r>
    </w:p>
    <w:p w:rsidR="006B6D58" w:rsidRPr="00560B7D">
      <w:pPr>
        <w:rPr>
          <w:rFonts w:ascii="Aptos" w:hAnsi="Aptos"/>
        </w:rPr>
      </w:pPr>
      <w:bookmarkStart w:id="7" w:name="_a86mvisr5f1l" w:colFirst="0" w:colLast="0"/>
      <w:bookmarkEnd w:id="7"/>
      <w:r>
        <w:rPr>
          <w:rFonts w:ascii="Aptos" w:hAnsi="Aptos"/>
        </w:rPr>
        <w:t>June 2026</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nken Grotesk Light">
    <w:charset w:val="00"/>
    <w:family w:val="auto"/>
    <w:pitch w:val="default"/>
    <w:embedRegular r:id="rId1" w:fontKey="{AD532DA1-AFAE-4374-BE36-E0C5ECEEA449}"/>
    <w:embedItalic r:id="rId2" w:fontKey="{8C0A766B-3F44-490D-A224-760A2CC2912F}"/>
  </w:font>
  <w:font w:name="Hanken Grotesk Medium">
    <w:charset w:val="00"/>
    <w:family w:val="auto"/>
    <w:pitch w:val="default"/>
    <w:embedRegular r:id="rId3" w:fontKey="{BD363330-DA92-4FBA-93EA-12F4CBD85907}"/>
    <w:embedBold r:id="rId4" w:fontKey="{A24D1F0C-63FB-4C38-B8BC-054DF7D5BC5B}"/>
  </w:font>
  <w:font w:name="Aptos">
    <w:charset w:val="00"/>
    <w:family w:val="swiss"/>
    <w:pitch w:val="variable"/>
    <w:sig w:usb0="20000287" w:usb1="00000003" w:usb2="00000000" w:usb3="00000000" w:csb0="0000019F" w:csb1="00000000"/>
    <w:embedRegular r:id="rId5" w:fontKey="{E314CF31-D3F5-4E87-97BF-67D3A1522E79}"/>
    <w:embedBold r:id="rId6" w:fontKey="{7C8DC839-7391-4995-ACC2-A0A8DC2ABA2D}"/>
    <w:embedItalic r:id="rId7" w:fontKey="{E345C5CF-3B0D-4A89-8F48-75C9C53F91D4}"/>
  </w:font>
  <w:font w:name="Calibri">
    <w:panose1 w:val="020F0502020204030204"/>
    <w:charset w:val="00"/>
    <w:family w:val="swiss"/>
    <w:pitch w:val="variable"/>
    <w:sig w:usb0="E4002EFF" w:usb1="C200247B" w:usb2="00000009" w:usb3="00000000" w:csb0="000001FF" w:csb1="00000000"/>
    <w:embedRegular r:id="rId8" w:fontKey="{5B2B4CA1-B445-48E2-A7AD-E4BBD800D5D0}"/>
  </w:font>
  <w:font w:name="Cambria">
    <w:panose1 w:val="02040503050406030204"/>
    <w:charset w:val="00"/>
    <w:family w:val="roman"/>
    <w:pitch w:val="variable"/>
    <w:sig w:usb0="E00006FF" w:usb1="420024FF" w:usb2="02000000" w:usb3="00000000" w:csb0="0000019F" w:csb1="00000000"/>
    <w:embedRegular r:id="rId9" w:fontKey="{4BA95C88-8001-4126-BB29-619206AE6CE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B03BDC"/>
    <w:multiLevelType w:val="multilevel"/>
    <w:tmpl w:val="7DBAB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741326B"/>
    <w:multiLevelType w:val="hybridMultilevel"/>
    <w:tmpl w:val="CEBA2D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Light" w:eastAsia="Hanken Grotesk Light" w:hAnsi="Hanken Grotesk Light" w:cs="Hanken Grotesk Light"/>
        <w:color w:val="434343"/>
        <w:lang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ind w:left="720"/>
      <w:outlineLvl w:val="0"/>
    </w:pPr>
    <w:rPr>
      <w:rFonts w:ascii="Hanken Grotesk Medium" w:eastAsia="Hanken Grotesk Medium" w:hAnsi="Hanken Grotesk Medium" w:cs="Hanken Grotesk Medium"/>
      <w:color w:val="028484"/>
    </w:rPr>
  </w:style>
  <w:style w:type="paragraph" w:styleId="Heading2">
    <w:name w:val="heading 2"/>
    <w:basedOn w:val="Normal"/>
    <w:next w:val="Normal"/>
    <w:uiPriority w:val="9"/>
    <w:unhideWhenUsed/>
    <w:qFormat/>
    <w:pPr>
      <w:keepNext/>
      <w:keepLines/>
      <w:ind w:left="720" w:hanging="360"/>
      <w:outlineLvl w:val="1"/>
    </w:pPr>
    <w:rPr>
      <w:rFonts w:ascii="Hanken Grotesk Medium" w:eastAsia="Hanken Grotesk Medium" w:hAnsi="Hanken Grotesk Medium" w:cs="Hanken Grotesk Medium"/>
      <w:color w:val="224347"/>
    </w:rPr>
  </w:style>
  <w:style w:type="paragraph" w:styleId="Heading3">
    <w:name w:val="heading 3"/>
    <w:basedOn w:val="Normal"/>
    <w:next w:val="Normal"/>
    <w:uiPriority w:val="9"/>
    <w:semiHidden/>
    <w:unhideWhenUsed/>
    <w:qFormat/>
    <w:pPr>
      <w:keepNext/>
      <w:keepLines/>
      <w:spacing w:before="320" w:after="80"/>
      <w:outlineLvl w:val="2"/>
    </w:pPr>
    <w:rPr>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jc w:val="center"/>
    </w:pPr>
    <w:rPr>
      <w:rFonts w:ascii="Hanken Grotesk Medium" w:eastAsia="Hanken Grotesk Medium" w:hAnsi="Hanken Grotesk Medium" w:cs="Hanken Grotesk Medium"/>
      <w:color w:val="224347"/>
      <w:sz w:val="24"/>
      <w:szCs w:val="24"/>
    </w:rPr>
  </w:style>
  <w:style w:type="paragraph" w:styleId="Subtitle">
    <w:name w:val="Subtitle"/>
    <w:basedOn w:val="Normal"/>
    <w:next w:val="Normal"/>
    <w:uiPriority w:val="11"/>
    <w:qFormat/>
    <w:pPr>
      <w:keepNext/>
      <w:keepLines/>
      <w:ind w:left="720"/>
    </w:pPr>
    <w:rPr>
      <w:rFonts w:ascii="Hanken Grotesk Medium" w:eastAsia="Hanken Grotesk Medium" w:hAnsi="Hanken Grotesk Medium" w:cs="Hanken Grotesk Medium"/>
      <w:color w:val="028484"/>
    </w:rPr>
  </w:style>
  <w:style w:type="paragraph" w:styleId="ListParagraph">
    <w:name w:val="List Paragraph"/>
    <w:basedOn w:val="Normal"/>
    <w:uiPriority w:val="34"/>
    <w:qFormat/>
    <w:rsid w:val="00560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LUN0055</dc:title>
  <cp:revision>0</cp:revision>
</cp:coreProperties>
</file>