
<file path=[Content_Types].xml><?xml version="1.0" encoding="utf-8"?>
<Types xmlns="http://schemas.openxmlformats.org/package/2006/content-types">
  <Default Extension="rels" ContentType="application/vnd.openxmlformats-package.relationships+xml"/>
  <Default Extension="xml" ContentType="application/xml"/>
  <Override PartName="/docMetadata/LabelInfo.xml" ContentType="application/vnd.ms-office.classificationlabel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microsoft.com/office/2020/02/relationships/classificationlabels" Target="docMetadata/LabelInfo.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880ED9" w:rsidRPr="00A13384">
      <w:pPr>
        <w:pageBreakBefore/>
        <w:spacing w:after="0" w:line="240" w:lineRule="auto"/>
        <w:rPr>
          <w:sz w:val="28"/>
          <w:szCs w:val="28"/>
        </w:rPr>
      </w:pPr>
    </w:p>
    <w:p w:rsidR="00A13384" w:rsidRPr="00A13384" w:rsidP="00A13384">
      <w:pPr>
        <w:spacing w:after="0" w:line="240" w:lineRule="auto"/>
        <w:jc w:val="center"/>
        <w:rPr>
          <w:rFonts w:ascii="Arial" w:eastAsia="Arial" w:hAnsi="Arial" w:cs="Arial"/>
          <w:b/>
          <w:bCs/>
          <w:color w:val="252525"/>
          <w:sz w:val="28"/>
          <w:szCs w:val="28"/>
          <w:lang w:val="en-GB"/>
        </w:rPr>
      </w:pPr>
      <w:r w:rsidRPr="00A13384">
        <w:rPr>
          <w:rFonts w:ascii="Arial" w:eastAsia="Arial" w:hAnsi="Arial" w:cs="Arial"/>
          <w:b/>
          <w:bCs/>
          <w:color w:val="252525"/>
          <w:sz w:val="28"/>
          <w:szCs w:val="28"/>
          <w:lang w:val="en-GB"/>
        </w:rPr>
        <w:t xml:space="preserve">Written evidence submitted by </w:t>
      </w:r>
      <w:r w:rsidRPr="00A13384">
        <w:rPr>
          <w:rFonts w:ascii="Arial" w:eastAsia="Arial" w:hAnsi="Arial" w:cs="Arial"/>
          <w:b/>
          <w:bCs/>
          <w:color w:val="252525"/>
          <w:sz w:val="28"/>
          <w:szCs w:val="28"/>
          <w:lang w:val="en-GB"/>
        </w:rPr>
        <w:t>Mr Steven Wilkinson</w:t>
      </w:r>
      <w:r w:rsidRPr="00A13384">
        <w:rPr>
          <w:rFonts w:ascii="Arial" w:eastAsia="Arial" w:hAnsi="Arial" w:cs="Arial"/>
          <w:b/>
          <w:bCs/>
          <w:color w:val="252525"/>
          <w:sz w:val="28"/>
          <w:szCs w:val="28"/>
          <w:lang w:val="en-GB"/>
        </w:rPr>
        <w:t xml:space="preserve"> (LUN0049)</w:t>
      </w:r>
    </w:p>
    <w:p w:rsidR="00A13384" w:rsidRPr="00A13384" w:rsidP="00A13384">
      <w:pPr>
        <w:spacing w:after="0" w:line="240" w:lineRule="auto"/>
        <w:jc w:val="center"/>
        <w:rPr>
          <w:rFonts w:ascii="Arial" w:eastAsia="Arial" w:hAnsi="Arial" w:cs="Arial"/>
          <w:color w:val="252525"/>
          <w:sz w:val="28"/>
          <w:szCs w:val="28"/>
          <w:lang w:val="en-GB"/>
        </w:rPr>
      </w:pPr>
    </w:p>
    <w:p w:rsidR="00880ED9" w:rsidRPr="00A13384">
      <w:pPr>
        <w:spacing w:after="0" w:line="240" w:lineRule="auto"/>
        <w:rPr>
          <w:sz w:val="28"/>
          <w:szCs w:val="28"/>
        </w:rPr>
      </w:pPr>
      <w:r w:rsidRPr="00A13384">
        <w:rPr>
          <w:rFonts w:ascii="Arial" w:eastAsia="Arial" w:hAnsi="Arial" w:cs="Arial"/>
          <w:color w:val="252525"/>
          <w:sz w:val="28"/>
          <w:szCs w:val="28"/>
        </w:rPr>
        <w:t>The call for evidence refers to the "legal protections" applying to upland areas. From the perspective of someone managing these landscapes on the ground, many of these regulations do not always protect nature in practice. In some cases, they make it harder to carry out the active management needed to maintain biodiversity and can also undermine the economic viability of managing upland landscapes.</w:t>
      </w:r>
    </w:p>
    <w:p w:rsidR="00880ED9" w:rsidRPr="00A13384">
      <w:pPr>
        <w:spacing w:after="0" w:line="270" w:lineRule="auto"/>
        <w:rPr>
          <w:rFonts w:ascii="Arial" w:hAnsi="Arial" w:cs="Arial"/>
          <w:sz w:val="28"/>
          <w:szCs w:val="28"/>
        </w:rPr>
      </w:pPr>
    </w:p>
    <w:p w:rsidR="00880ED9">
      <w:pPr>
        <w:spacing w:after="0" w:line="240" w:lineRule="auto"/>
        <w:rPr>
          <w:rFonts w:ascii="Arial" w:eastAsia="Arial" w:hAnsi="Arial" w:cs="Arial"/>
          <w:color w:val="252525"/>
          <w:sz w:val="28"/>
          <w:szCs w:val="28"/>
          <w:lang w:val="en-GB"/>
        </w:rPr>
      </w:pPr>
      <w:r w:rsidRPr="00A13384">
        <w:rPr>
          <w:rFonts w:ascii="Arial" w:eastAsia="Arial" w:hAnsi="Arial" w:cs="Arial"/>
          <w:color w:val="252525"/>
          <w:sz w:val="28"/>
          <w:szCs w:val="28"/>
        </w:rPr>
        <w:t xml:space="preserve">Bracken is a good example. Bracken is a native species, but when left unmanaged it can spread aggressively and form dense stands that shade out other vegetation, reducing plant diversity and altering habitat structure. During my five seasons as headkeeper on the 15,800-acre Bransdale Moor in North Yorkshire, I saw extensive expansion of bracken into areas </w:t>
      </w:r>
    </w:p>
    <w:p w:rsidR="00A13384">
      <w:pPr>
        <w:spacing w:after="0" w:line="240" w:lineRule="auto"/>
        <w:rPr>
          <w:rFonts w:ascii="Arial" w:eastAsia="Arial" w:hAnsi="Arial" w:cs="Arial"/>
          <w:color w:val="252525"/>
          <w:sz w:val="28"/>
          <w:szCs w:val="28"/>
          <w:lang w:val="en-GB"/>
        </w:rPr>
      </w:pPr>
    </w:p>
    <w:p w:rsidR="00A13384" w:rsidRPr="00A13384">
      <w:pPr>
        <w:spacing w:after="0" w:line="240" w:lineRule="auto"/>
        <w:rPr>
          <w:sz w:val="28"/>
          <w:szCs w:val="28"/>
          <w:lang w:val="en-GB"/>
        </w:rPr>
      </w:pPr>
      <w:r>
        <w:rPr>
          <w:rFonts w:ascii="Arial" w:eastAsia="Arial" w:hAnsi="Arial" w:cs="Arial"/>
          <w:color w:val="252525"/>
          <w:sz w:val="28"/>
          <w:szCs w:val="28"/>
          <w:lang w:val="en-GB"/>
        </w:rPr>
        <w:t>June 2026</w:t>
      </w:r>
    </w:p>
    <w:p w:rsidR="00880ED9" w:rsidRPr="00A13384">
      <w:pPr>
        <w:pageBreakBefore/>
        <w:spacing w:after="0" w:line="240" w:lineRule="auto"/>
        <w:rPr>
          <w:sz w:val="28"/>
          <w:szCs w:val="28"/>
        </w:rPr>
      </w:pPr>
    </w:p>
    <w:p w:rsidR="00880ED9" w:rsidRPr="00A13384">
      <w:pPr>
        <w:spacing w:after="0" w:line="240" w:lineRule="auto"/>
        <w:rPr>
          <w:sz w:val="28"/>
          <w:szCs w:val="28"/>
        </w:rPr>
      </w:pPr>
      <w:r w:rsidRPr="00A13384">
        <w:rPr>
          <w:rFonts w:ascii="Arial" w:eastAsia="Arial" w:hAnsi="Arial" w:cs="Arial"/>
          <w:color w:val="252525"/>
          <w:sz w:val="28"/>
          <w:szCs w:val="28"/>
        </w:rPr>
        <w:t>that had previously supported more diverse vegetation.</w:t>
      </w:r>
    </w:p>
    <w:p w:rsidR="00880ED9" w:rsidRPr="00A13384">
      <w:pPr>
        <w:spacing w:after="0" w:line="270" w:lineRule="auto"/>
        <w:rPr>
          <w:rFonts w:ascii="Arial" w:hAnsi="Arial" w:cs="Arial"/>
          <w:sz w:val="28"/>
          <w:szCs w:val="28"/>
        </w:rPr>
      </w:pPr>
    </w:p>
    <w:p w:rsidR="00880ED9" w:rsidRPr="00A13384">
      <w:pPr>
        <w:spacing w:after="0" w:line="240" w:lineRule="auto"/>
        <w:rPr>
          <w:sz w:val="28"/>
          <w:szCs w:val="28"/>
        </w:rPr>
      </w:pPr>
      <w:r w:rsidRPr="00A13384">
        <w:rPr>
          <w:rFonts w:ascii="Arial" w:eastAsia="Arial" w:hAnsi="Arial" w:cs="Arial"/>
          <w:color w:val="252525"/>
          <w:sz w:val="28"/>
          <w:szCs w:val="28"/>
        </w:rPr>
        <w:t>One reason for this is the loss of effective control options. The bracken-specific herbicide asulam is no longer routinely approved for use in the UK because of concerns about potential health risks. At the same time, unmanaged bracken presents recognised public health issues of its own. Bracken spores have been associated with increased cancer risk in some occupational studies, and dense bracken provides favourable habitat for ticks that can carry Lyme disease.</w:t>
      </w:r>
    </w:p>
    <w:p w:rsidR="00880ED9" w:rsidRPr="00A13384">
      <w:pPr>
        <w:spacing w:after="0" w:line="270" w:lineRule="auto"/>
        <w:rPr>
          <w:rFonts w:ascii="Arial" w:hAnsi="Arial" w:cs="Arial"/>
          <w:sz w:val="28"/>
          <w:szCs w:val="28"/>
        </w:rPr>
      </w:pPr>
    </w:p>
    <w:p w:rsidR="00880ED9" w:rsidRPr="00A13384">
      <w:pPr>
        <w:spacing w:after="0" w:line="240" w:lineRule="auto"/>
        <w:rPr>
          <w:sz w:val="28"/>
          <w:szCs w:val="28"/>
        </w:rPr>
      </w:pPr>
      <w:r w:rsidRPr="00A13384">
        <w:rPr>
          <w:rFonts w:ascii="Arial" w:eastAsia="Arial" w:hAnsi="Arial" w:cs="Arial"/>
          <w:color w:val="252525"/>
          <w:sz w:val="28"/>
          <w:szCs w:val="28"/>
        </w:rPr>
        <w:t xml:space="preserve">I have personal experience of the latter. Despite taking precautions against tick bites throughout my career, I eventually contracted Lyme disease. After developing flu-like symptoms, I was not prescribed </w:t>
      </w:r>
    </w:p>
    <w:p w:rsidR="00880ED9" w:rsidRPr="00A13384">
      <w:pPr>
        <w:pageBreakBefore/>
        <w:spacing w:after="0" w:line="240" w:lineRule="auto"/>
        <w:rPr>
          <w:sz w:val="28"/>
          <w:szCs w:val="28"/>
        </w:rPr>
      </w:pPr>
    </w:p>
    <w:p w:rsidR="00880ED9" w:rsidRPr="00A13384">
      <w:pPr>
        <w:spacing w:after="0" w:line="240" w:lineRule="auto"/>
        <w:rPr>
          <w:sz w:val="28"/>
          <w:szCs w:val="28"/>
        </w:rPr>
      </w:pPr>
      <w:r w:rsidRPr="00A13384">
        <w:rPr>
          <w:rFonts w:ascii="Arial" w:eastAsia="Arial" w:hAnsi="Arial" w:cs="Arial"/>
          <w:color w:val="252525"/>
          <w:sz w:val="28"/>
          <w:szCs w:val="28"/>
        </w:rPr>
        <w:t>antibiotics at the time and subsequently developed reactive arthritis, making it extremely painful even to stand let alone walk.</w:t>
      </w:r>
    </w:p>
    <w:p w:rsidR="00880ED9" w:rsidRPr="00A13384">
      <w:pPr>
        <w:spacing w:after="0" w:line="270" w:lineRule="auto"/>
        <w:rPr>
          <w:rFonts w:ascii="Arial" w:hAnsi="Arial" w:cs="Arial"/>
          <w:sz w:val="28"/>
          <w:szCs w:val="28"/>
        </w:rPr>
      </w:pPr>
    </w:p>
    <w:p w:rsidR="00880ED9" w:rsidRPr="00A13384">
      <w:pPr>
        <w:spacing w:after="0" w:line="240" w:lineRule="auto"/>
        <w:rPr>
          <w:sz w:val="28"/>
          <w:szCs w:val="28"/>
        </w:rPr>
      </w:pPr>
      <w:r w:rsidRPr="00A13384">
        <w:rPr>
          <w:rFonts w:ascii="Arial" w:eastAsia="Arial" w:hAnsi="Arial" w:cs="Arial"/>
          <w:color w:val="252525"/>
          <w:sz w:val="28"/>
          <w:szCs w:val="28"/>
        </w:rPr>
        <w:t>Natural England may argue that glyphosate can be used under licence in some circumstances. In theory this offers an alternative, but in practice obtaining any licences can be difficult, if not impossible. Successful bracken management, demonstrated by Geoff Eyre typically requires an integrated approach involving herbicide treatment, removal or burning of accumulated litter where appropriate, and follow-up treatment over several years. If only one element is permitted, long-term control is unlikely to succeed.</w:t>
      </w:r>
    </w:p>
    <w:p w:rsidR="00880ED9" w:rsidRPr="00A13384">
      <w:pPr>
        <w:spacing w:after="0" w:line="270" w:lineRule="auto"/>
        <w:rPr>
          <w:rFonts w:ascii="Arial" w:hAnsi="Arial" w:cs="Arial"/>
          <w:sz w:val="28"/>
          <w:szCs w:val="28"/>
        </w:rPr>
      </w:pPr>
    </w:p>
    <w:p w:rsidR="00880ED9" w:rsidRPr="00A13384">
      <w:pPr>
        <w:spacing w:after="0" w:line="240" w:lineRule="auto"/>
        <w:rPr>
          <w:sz w:val="28"/>
          <w:szCs w:val="28"/>
        </w:rPr>
      </w:pPr>
      <w:r w:rsidRPr="00A13384">
        <w:rPr>
          <w:rFonts w:ascii="Arial" w:eastAsia="Arial" w:hAnsi="Arial" w:cs="Arial"/>
          <w:color w:val="252525"/>
          <w:sz w:val="28"/>
          <w:szCs w:val="28"/>
        </w:rPr>
        <w:t xml:space="preserve">Mechanical cutting is sometimes suggested instead. However, effective </w:t>
      </w:r>
    </w:p>
    <w:p w:rsidR="00880ED9" w:rsidRPr="00A13384">
      <w:pPr>
        <w:pageBreakBefore/>
        <w:spacing w:after="0" w:line="240" w:lineRule="auto"/>
        <w:rPr>
          <w:sz w:val="28"/>
          <w:szCs w:val="28"/>
        </w:rPr>
      </w:pPr>
    </w:p>
    <w:p w:rsidR="00880ED9" w:rsidRPr="00A13384">
      <w:pPr>
        <w:spacing w:after="0" w:line="240" w:lineRule="auto"/>
        <w:rPr>
          <w:sz w:val="28"/>
          <w:szCs w:val="28"/>
        </w:rPr>
      </w:pPr>
      <w:r w:rsidRPr="00A13384">
        <w:rPr>
          <w:rFonts w:ascii="Arial" w:eastAsia="Arial" w:hAnsi="Arial" w:cs="Arial"/>
          <w:color w:val="252525"/>
          <w:sz w:val="28"/>
          <w:szCs w:val="28"/>
        </w:rPr>
        <w:t>suppression generally requires repeated cutting several times during the growing season. On upland sites this coincides with the bird breeding season, when using tractors or other machinery across the moor is often neither practical nor desirable.</w:t>
      </w:r>
    </w:p>
    <w:p w:rsidR="00880ED9" w:rsidRPr="00A13384">
      <w:pPr>
        <w:spacing w:after="0" w:line="270" w:lineRule="auto"/>
        <w:rPr>
          <w:rFonts w:ascii="Arial" w:hAnsi="Arial" w:cs="Arial"/>
          <w:sz w:val="28"/>
          <w:szCs w:val="28"/>
        </w:rPr>
      </w:pPr>
    </w:p>
    <w:p w:rsidR="00880ED9" w:rsidRPr="00A13384">
      <w:pPr>
        <w:spacing w:after="0" w:line="240" w:lineRule="auto"/>
        <w:rPr>
          <w:sz w:val="28"/>
          <w:szCs w:val="28"/>
        </w:rPr>
      </w:pPr>
      <w:r w:rsidRPr="00A13384">
        <w:rPr>
          <w:rFonts w:ascii="Arial" w:eastAsia="Arial" w:hAnsi="Arial" w:cs="Arial"/>
          <w:color w:val="252525"/>
          <w:sz w:val="28"/>
          <w:szCs w:val="28"/>
        </w:rPr>
        <w:t>My broader concern is that the regulatory system has become increasingly prescriptive. Decisions are too often governed by rigid rules rather than informed professional judgement. Those responsible for managing these landscapes frequently have decades of practical experience, yet there is limited flexibility to apply that knowledge.</w:t>
      </w:r>
    </w:p>
    <w:p w:rsidR="00880ED9" w:rsidRPr="00A13384">
      <w:pPr>
        <w:spacing w:after="0" w:line="270" w:lineRule="auto"/>
        <w:rPr>
          <w:rFonts w:ascii="Arial" w:hAnsi="Arial" w:cs="Arial"/>
          <w:sz w:val="28"/>
          <w:szCs w:val="28"/>
        </w:rPr>
      </w:pPr>
    </w:p>
    <w:p w:rsidR="00880ED9" w:rsidRPr="00A13384">
      <w:pPr>
        <w:spacing w:after="0" w:line="240" w:lineRule="auto"/>
        <w:rPr>
          <w:sz w:val="28"/>
          <w:szCs w:val="28"/>
        </w:rPr>
      </w:pPr>
      <w:r w:rsidRPr="00A13384">
        <w:rPr>
          <w:rFonts w:ascii="Arial" w:eastAsia="Arial" w:hAnsi="Arial" w:cs="Arial"/>
          <w:color w:val="252525"/>
          <w:sz w:val="28"/>
          <w:szCs w:val="28"/>
        </w:rPr>
        <w:t xml:space="preserve">The result is frustration for land managers, increased costs for upland businesses and, in my view, poorer environmental </w:t>
      </w:r>
    </w:p>
    <w:p w:rsidR="00880ED9" w:rsidRPr="00A13384">
      <w:pPr>
        <w:pageBreakBefore/>
        <w:spacing w:after="0" w:line="240" w:lineRule="auto"/>
        <w:rPr>
          <w:sz w:val="28"/>
          <w:szCs w:val="28"/>
        </w:rPr>
      </w:pPr>
    </w:p>
    <w:p w:rsidR="00880ED9" w:rsidRPr="00A13384">
      <w:pPr>
        <w:spacing w:after="0" w:line="240" w:lineRule="auto"/>
        <w:rPr>
          <w:sz w:val="28"/>
          <w:szCs w:val="28"/>
        </w:rPr>
      </w:pPr>
      <w:r w:rsidRPr="00A13384">
        <w:rPr>
          <w:rFonts w:ascii="Arial" w:eastAsia="Arial" w:hAnsi="Arial" w:cs="Arial"/>
          <w:color w:val="252525"/>
          <w:sz w:val="28"/>
          <w:szCs w:val="28"/>
        </w:rPr>
        <w:t>outcomes. A regulatory framework that gives greater weight to local expertise while maintaining clear environmental safeguards would be more likely to deliver the biodiversity and landscape outcomes that everyone wants to achieve.</w:t>
      </w:r>
    </w:p>
    <w:p w:rsidR="00880ED9" w:rsidRPr="00A13384">
      <w:pPr>
        <w:spacing w:after="0" w:line="270" w:lineRule="auto"/>
        <w:rPr>
          <w:rFonts w:ascii="Arial" w:hAnsi="Arial" w:cs="Arial"/>
          <w:sz w:val="28"/>
          <w:szCs w:val="28"/>
        </w:rPr>
      </w:pPr>
    </w:p>
    <w:p w:rsidR="00880ED9" w:rsidRPr="00A13384">
      <w:pPr>
        <w:spacing w:after="0" w:line="240" w:lineRule="auto"/>
        <w:rPr>
          <w:sz w:val="28"/>
          <w:szCs w:val="28"/>
        </w:rPr>
      </w:pPr>
      <w:r w:rsidRPr="00A13384">
        <w:rPr>
          <w:rFonts w:ascii="Arial" w:eastAsia="Arial" w:hAnsi="Arial" w:cs="Arial"/>
          <w:color w:val="252525"/>
          <w:sz w:val="28"/>
          <w:szCs w:val="28"/>
        </w:rPr>
        <w:t>What we need is a licensing system which actually works. Whether that be for chemical application on sssi's, consent to burn heather on deep peat to prevent wildfire or to kill predatory species ie: large gulls, which are having a devastating impact on red listed waders.</w:t>
      </w:r>
    </w:p>
    <w:sectPr>
      <w:pgSz w:w="11900" w:h="16840"/>
      <w:pgMar w:top="0" w:right="375" w:bottom="270" w:left="375"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TrackMoves/>
  <w:defaultTabStop w:val="720"/>
  <w:characterSpacingControl w:val="doNotCompress"/>
  <w:compat>
    <w:compatSetting w:name="compatibilityMode" w:uri="http://schemas.microsoft.com/office/word" w:val="15"/>
    <w:compatSetting w:name="useWord2013TrackBottomHyphenation" w:uri="http://schemas.microsoft.com/office/word" w:val="1"/>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4B77B5"/>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theme" Target="theme/theme1.xml" /><Relationship Id="rId5" Type="http://schemas.openxmlformats.org/officeDocument/2006/relationships/styles" Target="style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Metadata/LabelInfo.xml><?xml version="1.0" encoding="utf-8"?>
<clbl:labelList xmlns:clbl="http://schemas.microsoft.com/office/2020/mipLabelMetadata">
  <clbl:label id="{a8f77787-5df4-43b6-a2a8-8d8b678a318b}" enabled="1" method="Standard" siteId="{1ce6dd9e-b337-4088-be5e-8dbbec04b34a}" contentBits="0" removed="0"/>
</clbl:labelList>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Written evidence - LUN0049</dc:title>
  <cp:revision>0</cp:revision>
</cp:coreProperties>
</file>