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6138" w:rsidP="0002246B">
      <w:pPr>
        <w:pStyle w:val="Heading1"/>
      </w:pPr>
      <w:r>
        <w:t>Written evidence submitted by Mr Metcalfe (LUN0048)</w:t>
      </w:r>
    </w:p>
    <w:p w:rsidR="00000000" w:rsidP="0002246B">
      <w:pPr>
        <w:pStyle w:val="Heading1"/>
      </w:pPr>
      <w:r>
        <w:t>EFRA Committee call for evidence</w:t>
      </w:r>
    </w:p>
    <w:p w:rsidR="00000000" w:rsidP="0002246B"/>
    <w:p w:rsidR="00000000" w:rsidP="0002246B">
      <w:r>
        <w:t xml:space="preserve">Current Policy favours Nature recovery , Water Management and Public access with little or no understanding of the stratified nature of Upland hill farming and the Community benefits from maintaining working hill farms . There has been a headlong rush to protect endangered species and block grips to slow water from the hills without proper consultation with the farming Community whose livelihoods are intrinsically linked to </w:t>
      </w:r>
      <w:r>
        <w:t>the very outcomes that the policies hope to achieve .</w:t>
      </w:r>
    </w:p>
    <w:p w:rsidR="00000000" w:rsidP="0002246B">
      <w:r>
        <w:t>Upland hill farmers have always looked to protect the environment and those species which have been present in our uplands for generations . As an example , Hill farmers are frequently blamed for the loss of habitat for a variety of wild bird populations such as the Curlew , Lapwing or Sky lark when in fact</w:t>
      </w:r>
      <w:r>
        <w:t xml:space="preserve"> unfettered public access and predation by the release of urban predators probably accounts for more than fifty percent of the reduction in the populations of these birds .</w:t>
      </w:r>
    </w:p>
    <w:p w:rsidR="00000000" w:rsidP="0002246B">
      <w:r>
        <w:t>Whilst the blocking of Grips has slowed the flow of water from the hills the changing weather patterns with more severe storms essentially means that when the uplands suffer significant wet weather the run off from the overburdened wet areas is likely to cause more flooding to low lying communities . Hill farmers are losing grazing land and some species are losing their habitats in order to satisfy the demand for urban development on areas which , by their nature , should have remained as flood plains .</w:t>
      </w:r>
    </w:p>
    <w:p w:rsidR="00000000" w:rsidP="0002246B">
      <w:r>
        <w:t xml:space="preserve">With regard to the impact of the transition away from direct payments , this has simply undermined confidence in livestock farming in the hills . A significant number of Hill farmers made financial preparations in advance of the withdrawal of direct support payments but without the lifeline which those payments provided there is little prospect of upland farms remaining profitable . Unlike lowland farms where there is the opportunity to change or modify production that option doesn’t exist in the uplands . </w:t>
      </w:r>
      <w:r>
        <w:t>Livestock farmers have been fortunate to benefit from a significant increase in livestock prices but unless there is a further fifty percent increase in prices over the course of the next two years , profitable hill farming will be consigned to the past .The consumers have seen inflationary food price rises as a direct consequence of the move away from direct support and whilst I am not an economist it is blindingly obvious that the limited cost of financial support to the agricultural industry would</w:t>
      </w:r>
      <w:r>
        <w:t xml:space="preserve"> </w:t>
      </w:r>
      <w:r>
        <w:t>not on</w:t>
      </w:r>
      <w:r>
        <w:t xml:space="preserve">ly ease inflationary food price rises but would go some way to ensuring safety in our </w:t>
      </w:r>
      <w:r>
        <w:t>finely balanced food supply chain .</w:t>
      </w:r>
    </w:p>
    <w:p w:rsidR="00000000" w:rsidP="0002246B">
      <w:r>
        <w:t xml:space="preserve">Like a large number of Hill farmers I entered into a Higher Level Stewardship Agreement some 17 years ago , at which time the payment rates for the options available were reasonable . My farm includes 2 Scheduled Ancient Monuments and 4 SSSI </w:t>
      </w:r>
      <w:r>
        <w:t>sites and includes Common Rights on a SSSI Common . The payment rates under the HLS agreement were increased last year but the payment rates available under a modern SFI agreement are more than double the rates I receive for similar options .</w:t>
      </w:r>
    </w:p>
    <w:p w:rsidR="00000000" w:rsidP="0002246B">
      <w:r>
        <w:t xml:space="preserve">As the RPA will confirm , there are large numbers of Hill farmers trapped in outdated schemes with outdated outcomes and unable to transition to SFI. Like many farmers , upon the expiry of my HLS agreement I entered into an extension of that agreement . We were persuaded by the RPA and </w:t>
      </w:r>
      <w:r>
        <w:t xml:space="preserve">Natural England’s advisers </w:t>
      </w:r>
      <w:r>
        <w:t xml:space="preserve">some 3 years ago to enter into a 5 year extension on the understanding that with the imminent release of the SFI scheme we would be able to transition to the scheme without any penalties .We are now advised that any transition would require the early termination of the HLS agreement and we would therefore be required to repay money received under the previous agreement . </w:t>
      </w:r>
    </w:p>
    <w:p w:rsidR="00000000" w:rsidP="0002246B">
      <w:r>
        <w:t xml:space="preserve">This has created a two tier support system and the lack of understanding of how the transition process might work </w:t>
      </w:r>
      <w:r>
        <w:t>by the very bodies designed to deliver SFI is unsettling to say the least . This is not helped by the rapid turnover of staff and the lack of a dedicated team to deliver to the uplands . With regard to Common Land , the vast majority of which is upland farm land ,we are constantly reminded by the RPA that the the computer systems designed to provide SFI simply can’t cope with Common Land applications . Might I venture to suggest that it is not the upland farmers who might benefit from additional training bu</w:t>
      </w:r>
      <w:r>
        <w:t xml:space="preserve">t the computer programmers might benefit from </w:t>
      </w:r>
      <w:r>
        <w:t>time spent on a hill farm ( where is AI when a problem needs solving ??).</w:t>
      </w:r>
    </w:p>
    <w:p w:rsidR="00000000" w:rsidP="0002246B"/>
    <w:p w:rsidR="00000000" w:rsidP="0002246B">
      <w:r>
        <w:t xml:space="preserve">There would appear to be a worrying lack of understanding of upland farming by the bodies appointed to protect our environment and the rural communities that already provide a great deal of that protection .The lack of direction within DEFRA and the rapidly changing personnel within Government and DEFRA are very unsettling for farming , which relies heavily on planning years in advance . Unlike the public bodies who are tasked with providing and policing rural policies where the personnel work a 35 hour week with weekends off , upland hill farming </w:t>
      </w:r>
      <w:r>
        <w:t xml:space="preserve">requires constant attention. The long hours  seven days each week and the isolation are the hardships which hill farmers bear in order to enjoy the benefits of a protected rural environment and the rewards that come from hard work . </w:t>
      </w:r>
      <w:r>
        <w:t>T</w:t>
      </w:r>
      <w:r>
        <w:t>hose organisations and individuals tasked with protecting that rural environment need to better understand the benefits of working with the people who make their living from the land .</w:t>
      </w:r>
    </w:p>
    <w:p w:rsidR="00000000" w:rsidP="0002246B">
      <w:r>
        <w:t>June 2026</w:t>
      </w:r>
    </w:p>
    <w:p w:rsidR="00000000" w:rsidP="0002246B"/>
    <w:p w:rsidR="00000000" w:rsidP="0002246B"/>
    <w:p w:rsidR="00000000" w:rsidRPr="0002246B" w:rsidP="0002246B"/>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224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24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24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24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24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24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24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24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24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4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24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24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24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24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24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24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24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246B"/>
    <w:rPr>
      <w:rFonts w:eastAsiaTheme="majorEastAsia" w:cstheme="majorBidi"/>
      <w:color w:val="272727" w:themeColor="text1" w:themeTint="D8"/>
    </w:rPr>
  </w:style>
  <w:style w:type="paragraph" w:styleId="Title">
    <w:name w:val="Title"/>
    <w:basedOn w:val="Normal"/>
    <w:next w:val="Normal"/>
    <w:link w:val="TitleChar"/>
    <w:uiPriority w:val="10"/>
    <w:qFormat/>
    <w:rsid w:val="000224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24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24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24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246B"/>
    <w:pPr>
      <w:spacing w:before="160"/>
      <w:jc w:val="center"/>
    </w:pPr>
    <w:rPr>
      <w:i/>
      <w:iCs/>
      <w:color w:val="404040" w:themeColor="text1" w:themeTint="BF"/>
    </w:rPr>
  </w:style>
  <w:style w:type="character" w:customStyle="1" w:styleId="QuoteChar">
    <w:name w:val="Quote Char"/>
    <w:basedOn w:val="DefaultParagraphFont"/>
    <w:link w:val="Quote"/>
    <w:uiPriority w:val="29"/>
    <w:rsid w:val="0002246B"/>
    <w:rPr>
      <w:i/>
      <w:iCs/>
      <w:color w:val="404040" w:themeColor="text1" w:themeTint="BF"/>
    </w:rPr>
  </w:style>
  <w:style w:type="paragraph" w:styleId="ListParagraph">
    <w:name w:val="List Paragraph"/>
    <w:basedOn w:val="Normal"/>
    <w:uiPriority w:val="34"/>
    <w:qFormat/>
    <w:rsid w:val="0002246B"/>
    <w:pPr>
      <w:ind w:left="720"/>
      <w:contextualSpacing/>
    </w:pPr>
  </w:style>
  <w:style w:type="character" w:styleId="IntenseEmphasis">
    <w:name w:val="Intense Emphasis"/>
    <w:basedOn w:val="DefaultParagraphFont"/>
    <w:uiPriority w:val="21"/>
    <w:qFormat/>
    <w:rsid w:val="0002246B"/>
    <w:rPr>
      <w:i/>
      <w:iCs/>
      <w:color w:val="2F5496" w:themeColor="accent1" w:themeShade="BF"/>
    </w:rPr>
  </w:style>
  <w:style w:type="paragraph" w:styleId="IntenseQuote">
    <w:name w:val="Intense Quote"/>
    <w:basedOn w:val="Normal"/>
    <w:next w:val="Normal"/>
    <w:link w:val="IntenseQuoteChar"/>
    <w:uiPriority w:val="30"/>
    <w:qFormat/>
    <w:rsid w:val="000224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246B"/>
    <w:rPr>
      <w:i/>
      <w:iCs/>
      <w:color w:val="2F5496" w:themeColor="accent1" w:themeShade="BF"/>
    </w:rPr>
  </w:style>
  <w:style w:type="character" w:styleId="IntenseReference">
    <w:name w:val="Intense Reference"/>
    <w:basedOn w:val="DefaultParagraphFont"/>
    <w:uiPriority w:val="32"/>
    <w:qFormat/>
    <w:rsid w:val="0002246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LUN0048</dc:title>
  <cp:revision>0</cp:revision>
</cp:coreProperties>
</file>