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4513" w:rsidP="00D8558F">
      <w:pPr>
        <w:rPr>
          <w:b/>
          <w:bCs/>
          <w:color w:val="156082" w:themeColor="accent1"/>
          <w:sz w:val="28"/>
          <w:szCs w:val="28"/>
        </w:rPr>
      </w:pPr>
      <w:r>
        <w:rPr>
          <w:b/>
          <w:bCs/>
          <w:color w:val="156082" w:themeColor="accent1"/>
          <w:sz w:val="28"/>
          <w:szCs w:val="28"/>
        </w:rPr>
        <w:t>Written evidence submitted by Farming and Wildlife Advisory Group South West (LUN0047)</w:t>
      </w:r>
    </w:p>
    <w:p w:rsidR="00000000" w:rsidRPr="00425CAD" w:rsidP="00D8558F">
      <w:pPr>
        <w:rPr>
          <w:b/>
          <w:bCs/>
          <w:color w:val="156082" w:themeColor="accent1"/>
          <w:sz w:val="28"/>
          <w:szCs w:val="28"/>
        </w:rPr>
      </w:pPr>
      <w:r w:rsidRPr="00425CAD">
        <w:rPr>
          <w:b/>
          <w:bCs/>
          <w:color w:val="156082" w:themeColor="accent1"/>
          <w:sz w:val="28"/>
          <w:szCs w:val="28"/>
        </w:rPr>
        <w:t>EFRA Committee consultation: How should Government nurture upland farms and landscapes?</w:t>
      </w:r>
    </w:p>
    <w:p w:rsidR="00000000" w:rsidRPr="00636E79" w:rsidP="00D8558F">
      <w:pPr>
        <w:rPr>
          <w:b/>
          <w:bCs/>
          <w:color w:val="156082" w:themeColor="accent1"/>
          <w:sz w:val="28"/>
          <w:szCs w:val="28"/>
        </w:rPr>
      </w:pPr>
      <w:r w:rsidRPr="00425CAD">
        <w:rPr>
          <w:b/>
          <w:bCs/>
          <w:color w:val="156082" w:themeColor="accent1"/>
          <w:sz w:val="28"/>
          <w:szCs w:val="28"/>
        </w:rPr>
        <w:t>Farming and Wildlife Advisory Group South West response</w:t>
      </w:r>
    </w:p>
    <w:p w:rsidR="00000000" w:rsidP="00D8558F">
      <w:pPr>
        <w:pStyle w:val="ListParagraph"/>
        <w:numPr>
          <w:ilvl w:val="0"/>
          <w:numId w:val="1"/>
        </w:numPr>
      </w:pPr>
      <w:r w:rsidRPr="00423E41">
        <w:t xml:space="preserve">Thank you for the opportunity </w:t>
      </w:r>
      <w:r>
        <w:t xml:space="preserve">to </w:t>
      </w:r>
      <w:r w:rsidRPr="00423E41">
        <w:t>provide evidence on the challenges facing upland farmers and land managers and how the Government can best support them</w:t>
      </w:r>
      <w:r>
        <w:t>.</w:t>
      </w:r>
    </w:p>
    <w:p w:rsidR="00000000" w:rsidRPr="00423E41" w:rsidP="00D8558F">
      <w:pPr>
        <w:pStyle w:val="ListParagraph"/>
        <w:ind w:left="360"/>
      </w:pPr>
    </w:p>
    <w:p w:rsidR="00000000" w:rsidP="00D8558F">
      <w:pPr>
        <w:pStyle w:val="ListParagraph"/>
        <w:numPr>
          <w:ilvl w:val="0"/>
          <w:numId w:val="1"/>
        </w:numPr>
      </w:pPr>
      <w:r w:rsidRPr="00423E41">
        <w:t xml:space="preserve">The Farming and Wildlife Advisory Group South West is a </w:t>
      </w:r>
      <w:r>
        <w:t xml:space="preserve">charity which has been supporting farmers for over 55 years to promote and enhance the conservation of wildlife and the environment. Our vision is for farming and nature that thrive side by side, where profitable farming businesses produce healthy food alongside a wide range of public goods, supported by policy that enable positive transformation to achieve climate-resilient landscape. </w:t>
      </w:r>
    </w:p>
    <w:p w:rsidR="00000000" w:rsidP="00D8558F">
      <w:pPr>
        <w:pStyle w:val="ListParagraph"/>
        <w:ind w:left="360"/>
      </w:pPr>
    </w:p>
    <w:p w:rsidR="00000000" w:rsidP="00D8558F">
      <w:pPr>
        <w:pStyle w:val="ListParagraph"/>
        <w:numPr>
          <w:ilvl w:val="0"/>
          <w:numId w:val="1"/>
        </w:numPr>
      </w:pPr>
      <w:r>
        <w:t xml:space="preserve">We provide independent advice to farmers and land managers to value the environmental assets of their land ensuring a sustainable and profitable future.  In 2025 we supported over 1,200 live agri-environment agreements. We have over 50 advisers across the South West of England, and operate in uplands including Bodmin, Dartmoor, Exmoor and the Quantocks.  Our work is strengthened by collaboration with partners who share our commitment to sustainable, resilient landscapes which includes National Park (NP) Authorities and Protected Landscapes. </w:t>
      </w:r>
      <w:r w:rsidRPr="00FE51F1">
        <w:t>Our advisers sit on the Exmoor NP Farming in Protected Landscapes Panel and several NP Partnership Plan Boards, and act as</w:t>
      </w:r>
      <w:r>
        <w:t xml:space="preserve"> a</w:t>
      </w:r>
      <w:r w:rsidRPr="00FE51F1">
        <w:t xml:space="preserve"> Secretary for Brendon Commons Council, amongst other critical roles.</w:t>
      </w:r>
    </w:p>
    <w:p w:rsidR="00000000" w:rsidP="00D8558F"/>
    <w:p w:rsidR="00000000" w:rsidRPr="0087058A" w:rsidP="00D8558F">
      <w:pPr>
        <w:pStyle w:val="ListParagraph"/>
        <w:numPr>
          <w:ilvl w:val="0"/>
          <w:numId w:val="1"/>
        </w:numPr>
        <w:rPr>
          <w:color w:val="156082" w:themeColor="accent1"/>
        </w:rPr>
      </w:pPr>
      <w:r w:rsidRPr="0087058A">
        <w:rPr>
          <w:color w:val="156082" w:themeColor="accent1"/>
        </w:rPr>
        <w:t>How effectively do current policies balance competing demands in the uplands, including food production, nature recovery, climate mitigation, water management, and public access, and where do the key tensions remain?</w:t>
      </w:r>
    </w:p>
    <w:p w:rsidR="00000000" w:rsidP="00D8558F">
      <w:pPr>
        <w:pStyle w:val="ListParagraph"/>
        <w:numPr>
          <w:ilvl w:val="1"/>
          <w:numId w:val="1"/>
        </w:numPr>
      </w:pPr>
      <w:r>
        <w:t xml:space="preserve">The current policies are all considered as separate outcomes to be achieved. It would be better to consider how actions achieve multiple benefits across all policies. In the Defra Phase 3 ELMs Test &amp; Trials (T&amp;T), we tested the role of a convenor to connect local actions and demonstrate how collectively they achieve the local and therefore national policies. In the T&amp;T we were involved with, we convened partnership, land managers, projects, eNGOs, and National Landscape plans and connected them with Local Authority priorities to allow measurement of achievement, using the One Planet platform. We trialled it short term (6 months) for the county of Somerset, but South Downs National Park Authority have been </w:t>
      </w:r>
      <w:r>
        <w:t xml:space="preserve">using it to bring all partners together to achieve their objectives for a number of years. It enables the bigger picture to be seen and actions to be taken to achieve multiple benefits at once, overcoming silo working and ultimately reducing timelines and cost. </w:t>
      </w:r>
    </w:p>
    <w:p w:rsidR="00000000" w:rsidP="00D8558F">
      <w:pPr>
        <w:pStyle w:val="ListParagraph"/>
        <w:numPr>
          <w:ilvl w:val="1"/>
          <w:numId w:val="1"/>
        </w:numPr>
      </w:pPr>
      <w:r>
        <w:t>Tensions between nature recovery and farming, and public access remains a common theme with nature recovery goals often requiring reduced disturbance to wildlife and habitats. Public access, with multiple benefits to health, wellbeing, healthcare budgets and cultural rights, promotes an understanding of the natural environment and a desire to help protect it. Health and safety, livestock welfare, and disease control, are aspects of accessing agricultural land which creates challenges for businesses.</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What has been the impact of agricultural policy changes (including the transition away from direct payments) on upland farming businesses, and the impact of these changes on farming profitability?</w:t>
      </w:r>
    </w:p>
    <w:p w:rsidR="00000000" w:rsidRPr="00423E41" w:rsidP="00D8558F">
      <w:pPr>
        <w:pStyle w:val="ListParagraph"/>
        <w:numPr>
          <w:ilvl w:val="1"/>
          <w:numId w:val="1"/>
        </w:numPr>
      </w:pPr>
      <w:r>
        <w:t xml:space="preserve">The impact of policy changes has been particularly noticeable in upland areas due to their reliance on subsidies for profitability, as evidenced by the Farm Business Surveys. Across our geography we are seeing mixed reactions from land managers including shifts in business structure, either to increased production, or to align with ELM and regenerative agriculture. We are also seeing increased exits or planning of exits from the industry, also triggered in part by IHT changes. The full impact of the BPS reductions are now being felt and businesses are making more proactive choices on their future. </w:t>
      </w:r>
    </w:p>
    <w:p w:rsidR="00000000" w:rsidP="00D8558F">
      <w:pPr>
        <w:pStyle w:val="ListParagraph"/>
        <w:numPr>
          <w:ilvl w:val="1"/>
          <w:numId w:val="1"/>
        </w:numPr>
      </w:pPr>
      <w:r>
        <w:t>We found during the Defra Phase 3 T&amp;T that the green finance market is not mature enough and too risky for farmers to engage in. There is also a high initial cost, e.g. legal expenses.</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To what extent do the current Environmental Land Management (ELM) schemes and other support like the Farming in Protected Landscapes (FiPL) schemes support financially and environmentally sustainable land management in the uplands?</w:t>
      </w:r>
    </w:p>
    <w:p w:rsidR="00000000" w:rsidRPr="009D4802" w:rsidP="00D8558F">
      <w:pPr>
        <w:pStyle w:val="ListParagraph"/>
        <w:numPr>
          <w:ilvl w:val="1"/>
          <w:numId w:val="1"/>
        </w:numPr>
      </w:pPr>
      <w:r>
        <w:t xml:space="preserve">NE advisers have many demands on their time which includes agri-environment agreement advice, advice and management of designated and priority habitats and species, surveying and consents, and providing a crucial localised aspect to schemes. Unfortunately, NE adviser capacity has been eroded over time, with only one adviser covering Exmoor now. This makes it challenging for NE advisers to respond to the demands on their time, including the looming cohort of Higher Level Stewardship (HLS) expiries in </w:t>
      </w:r>
      <w:r w:rsidRPr="009D4802">
        <w:t xml:space="preserve">2028. </w:t>
      </w:r>
    </w:p>
    <w:p w:rsidR="00000000" w:rsidRPr="009D4802" w:rsidP="00D8558F">
      <w:pPr>
        <w:pStyle w:val="ListParagraph"/>
        <w:numPr>
          <w:ilvl w:val="1"/>
          <w:numId w:val="1"/>
        </w:numPr>
      </w:pPr>
      <w:r w:rsidRPr="009D4802">
        <w:t>Scheme advice and application support is required to ensure that farmers are aware of the requirements of schemes to ensure that agreements fit within the farm business and deliver maximum environmental outcomes.</w:t>
      </w:r>
    </w:p>
    <w:p w:rsidR="00000000" w:rsidRPr="009D4802" w:rsidP="00D8558F">
      <w:pPr>
        <w:pStyle w:val="ListParagraph"/>
        <w:numPr>
          <w:ilvl w:val="1"/>
          <w:numId w:val="1"/>
        </w:numPr>
      </w:pPr>
      <w:r w:rsidRPr="009D4802">
        <w:t>Care and maintenance – many farm businesses entering agri-environment scheme</w:t>
      </w:r>
      <w:r>
        <w:t>s</w:t>
      </w:r>
      <w:r w:rsidRPr="009D4802">
        <w:t xml:space="preserve"> receive no regular engagement from Natural England advisers to support them through their agreement. Investing in care and maintenance to support agreement holders has significant value in supporting the delivery of scheme outcomes in three ways: </w:t>
      </w:r>
    </w:p>
    <w:p w:rsidR="00000000" w:rsidRPr="009D4802" w:rsidP="00D8558F">
      <w:pPr>
        <w:pStyle w:val="ListParagraph"/>
        <w:numPr>
          <w:ilvl w:val="1"/>
          <w:numId w:val="1"/>
        </w:numPr>
      </w:pPr>
      <w:r w:rsidRPr="009D4802">
        <w:t>Championing delivery that achieves outcomes of agreements and more.</w:t>
      </w:r>
    </w:p>
    <w:p w:rsidR="00000000" w:rsidRPr="009D4802" w:rsidP="00D8558F">
      <w:pPr>
        <w:pStyle w:val="ListParagraph"/>
        <w:numPr>
          <w:ilvl w:val="1"/>
          <w:numId w:val="1"/>
        </w:numPr>
      </w:pPr>
      <w:r w:rsidRPr="009D4802">
        <w:t>Support the development of skills and knowledge of farmers delivering these public benefits to give them more confidence to deliver more and adapt practices within a changing climate.</w:t>
      </w:r>
    </w:p>
    <w:p w:rsidR="00000000" w:rsidRPr="009D4802" w:rsidP="00D8558F">
      <w:pPr>
        <w:pStyle w:val="ListParagraph"/>
        <w:numPr>
          <w:ilvl w:val="1"/>
          <w:numId w:val="1"/>
        </w:numPr>
      </w:pPr>
      <w:r w:rsidRPr="009D4802">
        <w:t>Provide accountability to those farmers who are disengaged with their obligations.</w:t>
      </w:r>
    </w:p>
    <w:p w:rsidR="00000000" w:rsidRPr="009D4802" w:rsidP="00D8558F">
      <w:pPr>
        <w:pStyle w:val="ListParagraph"/>
        <w:numPr>
          <w:ilvl w:val="1"/>
          <w:numId w:val="1"/>
        </w:numPr>
      </w:pPr>
      <w:r w:rsidRPr="009D4802">
        <w:t>Provide an opportunity to increase environmental ambition.</w:t>
      </w:r>
    </w:p>
    <w:p w:rsidR="00000000" w:rsidRPr="009D4802" w:rsidP="00D8558F">
      <w:pPr>
        <w:pStyle w:val="ListParagraph"/>
        <w:numPr>
          <w:ilvl w:val="1"/>
          <w:numId w:val="1"/>
        </w:numPr>
      </w:pPr>
      <w:r w:rsidRPr="009D4802">
        <w:t>Offer advisers the opportunity to deliver added value, including implementing and advising on wider policy shifts, for example those triggered by the latest Climate Change Committee report.</w:t>
      </w:r>
    </w:p>
    <w:p w:rsidR="00000000" w:rsidP="00D8558F">
      <w:pPr>
        <w:pStyle w:val="ListParagraph"/>
        <w:numPr>
          <w:ilvl w:val="1"/>
          <w:numId w:val="1"/>
        </w:numPr>
      </w:pPr>
      <w:r>
        <w:t>Farmers were pleased to see increases to payment rates for HLS from January 2025, however these increases provided an average payment uplift of 34.4%, and left agreement holders financially disadvantaged compared to CS HT agreement holders on a higher payment rate. The majority of HLS agreement holders have been unable to access CS HT despite proactively managing their land for, in many instances, over 15 years.</w:t>
      </w:r>
    </w:p>
    <w:p w:rsidR="00000000" w:rsidP="00D8558F">
      <w:pPr>
        <w:pStyle w:val="ListParagraph"/>
        <w:numPr>
          <w:ilvl w:val="1"/>
          <w:numId w:val="1"/>
        </w:numPr>
      </w:pPr>
      <w:r>
        <w:t>Common Land is not currently eligible to access the agri-environment schemes in 2026 due to issues with the computer systems, and paper applications are also not available. Common land and commoners play an important role in supporting biodiversity, delivering a wide range of environmental outcomes across landscapes (carbon, rewetting, priority habitats, culture, native species, food production, and more) and promote nature recovery. Common land is unique and requires collaborative working between the commoners to manage the landscape and environment, which schemes including Landscape Recovery are trying to emulate. Preventing common land from accessing ELMs negatively impacts over 4000 farm businesses and their viability, leaving the common land unable to access funding or locked into lower rate HLS agreements. Common land contains 21% of all SSSIs, with 83% common land lying within National Parks and National Landscapes.</w:t>
      </w:r>
    </w:p>
    <w:p w:rsidR="00000000" w:rsidP="00D8558F">
      <w:pPr>
        <w:pStyle w:val="ListParagraph"/>
        <w:numPr>
          <w:ilvl w:val="1"/>
          <w:numId w:val="1"/>
        </w:numPr>
      </w:pPr>
      <w:r>
        <w:t>National Park Partnership Plans are a strategic, five year management plan designed to align public bodies, local communities and conservation groups. Collectively we have been unable to deliver targets and ambitions when the agri-environmental schemes closed as the main funding pots which enabled delivery were unavailable.</w:t>
      </w:r>
    </w:p>
    <w:p w:rsidR="00000000" w:rsidP="00D8558F">
      <w:pPr>
        <w:pStyle w:val="ListParagraph"/>
        <w:numPr>
          <w:ilvl w:val="1"/>
          <w:numId w:val="1"/>
        </w:numPr>
      </w:pPr>
      <w:r>
        <w:t xml:space="preserve">AES currently provides unstable support to farmers, with barriers to scheme access including sudden closure of schemes leaving some farms without any </w:t>
      </w:r>
      <w:r>
        <w:t>support, or less support than anticipated. This has created confusion and distrust of Government bodies regarding scheme delivery and management.</w:t>
      </w:r>
    </w:p>
    <w:p w:rsidR="00000000" w:rsidRPr="00423E41" w:rsidP="00D8558F">
      <w:pPr>
        <w:pStyle w:val="ListParagraph"/>
        <w:numPr>
          <w:ilvl w:val="1"/>
          <w:numId w:val="1"/>
        </w:numPr>
      </w:pPr>
      <w:r>
        <w:t>With a legacy of roughly 40 years of AES support, which included BPS, farmers are finding it challenging to adapt to a system where support is less available, or actions are associated with higher delivery costs.</w:t>
      </w:r>
    </w:p>
    <w:p w:rsidR="00000000" w:rsidP="00D8558F">
      <w:pPr>
        <w:pStyle w:val="ListParagraph"/>
        <w:numPr>
          <w:ilvl w:val="1"/>
          <w:numId w:val="1"/>
        </w:numPr>
      </w:pPr>
      <w:r w:rsidRPr="00A7628D">
        <w:t>Exmoor’s five-year FiPL review</w:t>
      </w:r>
      <w:r>
        <w:t xml:space="preserve"> outlines that since 2021 the programme has supported more than £2.9 million of projects over more than 230 approved applications. It is a tool which enables bespoke, often innovative, locally prioritised projects, and a source of capital funding. It is not a substitute or provider of long-term revenue support and needs to sit alongside agri-environment schemes as part of the toolbox.</w:t>
      </w:r>
    </w:p>
    <w:p w:rsidR="00000000" w:rsidP="00D8558F">
      <w:pPr>
        <w:pStyle w:val="ListParagraph"/>
        <w:numPr>
          <w:ilvl w:val="1"/>
          <w:numId w:val="1"/>
        </w:numPr>
      </w:pPr>
      <w:r>
        <w:t>A major barrier to accessing FiPL, or effectively utilising the fund, is that the funding has to be allocated and claimed within each financial year. This is leading to projects with lower ambition and reduced scope. Some projects are hindered by the requirement for projects to be fully costed with all consents in place before funding is allocated, increasing the cost to the applicant and reducing project scope.</w:t>
      </w:r>
    </w:p>
    <w:p w:rsidR="00000000" w:rsidP="00D8558F">
      <w:pPr>
        <w:pStyle w:val="ListParagraph"/>
        <w:numPr>
          <w:ilvl w:val="1"/>
          <w:numId w:val="1"/>
        </w:numPr>
      </w:pPr>
      <w:r>
        <w:t>Some FiPL panel members may be unclear as to the intended purpose of FiPL funding due to the name of the fund, this can lead to a lower evaluation of some submitted proposals if applicants are not deemed to be active farmers, this can include landowners, small holders, and diversification.</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How do legal protections for uplands areas (including designation as a National Park or Area of Outstanding Natural Beauty / Protected Landscape, and designations such as Site of Special Scientific Interest, or Special Area of Conservation) impact decision-making, land management, and outcomes?</w:t>
      </w:r>
    </w:p>
    <w:p w:rsidR="00000000" w:rsidP="00D8558F">
      <w:pPr>
        <w:pStyle w:val="ListParagraph"/>
        <w:numPr>
          <w:ilvl w:val="1"/>
          <w:numId w:val="1"/>
        </w:numPr>
      </w:pPr>
      <w:r>
        <w:t>Access to schemes can be challenging. CS HT pipelines are difficult to access, and applications are slow to create. There will be approximately 400 HLS expiries in Somerset in 2028 (NE adviser, pers comm) which creates a significant risk area for NE, RPA and Defra, in regard to workload and environmental protection. For farmers and their advisers, it is challenging to navigate an appropriate direction from expiring HLS agreements into CS HT or SFI plus HT Lite without gaps in payments.</w:t>
      </w:r>
    </w:p>
    <w:p w:rsidR="00000000" w:rsidP="00D8558F">
      <w:pPr>
        <w:pStyle w:val="ListParagraph"/>
        <w:numPr>
          <w:ilvl w:val="1"/>
          <w:numId w:val="1"/>
        </w:numPr>
      </w:pPr>
      <w:r>
        <w:t>At the 20</w:t>
      </w:r>
      <w:r w:rsidRPr="00FA73B3">
        <w:rPr>
          <w:vertAlign w:val="superscript"/>
        </w:rPr>
        <w:t>th</w:t>
      </w:r>
      <w:r>
        <w:t xml:space="preserve"> May 2026 Stakeholders Meeting with Defra and RPA officials which we attended in London, we were updated that over 900 customers had been invited to apply for CS HT since it opened on 18</w:t>
      </w:r>
      <w:r w:rsidRPr="00281C9B">
        <w:rPr>
          <w:vertAlign w:val="superscript"/>
        </w:rPr>
        <w:t>th</w:t>
      </w:r>
      <w:r>
        <w:t xml:space="preserve"> Sept 2025. 476 applications had been submitted, of those 442 agreements had been offered, with 430 of those agreements accepted. Whilst this is good news, we need to considerably scale up the uptake and ability to access CS HT or we risk losing momentum on environmental targets including 30x30 and failing to protect our designated and priority habitats.</w:t>
      </w:r>
    </w:p>
    <w:p w:rsidR="00000000" w:rsidRPr="005425D0" w:rsidP="00D8558F">
      <w:pPr>
        <w:pStyle w:val="ListParagraph"/>
        <w:numPr>
          <w:ilvl w:val="1"/>
          <w:numId w:val="1"/>
        </w:numPr>
        <w:rPr>
          <w:color w:val="000000" w:themeColor="text1"/>
        </w:rPr>
      </w:pPr>
      <w:r>
        <w:t xml:space="preserve">Access to actions which support priority habitats including species rich grasslands, orchards, wet grasslands, wood pasture, etc are limited since the endorsed SFI actions have been removed. We welcome the creation of HT Lite which will target species rich grassland and will receive considerable interest from farmers. We urgently need an endorsement process which makes the other priority habitat protections and </w:t>
      </w:r>
      <w:r w:rsidRPr="005425D0">
        <w:rPr>
          <w:color w:val="000000" w:themeColor="text1"/>
        </w:rPr>
        <w:t>enhancements available for land managers.</w:t>
      </w:r>
    </w:p>
    <w:p w:rsidR="00000000" w:rsidRPr="005425D0" w:rsidP="00D8558F">
      <w:pPr>
        <w:pStyle w:val="ListParagraph"/>
        <w:numPr>
          <w:ilvl w:val="1"/>
          <w:numId w:val="1"/>
        </w:numPr>
        <w:rPr>
          <w:color w:val="000000" w:themeColor="text1"/>
        </w:rPr>
      </w:pPr>
      <w:r w:rsidRPr="005425D0">
        <w:rPr>
          <w:color w:val="000000" w:themeColor="text1"/>
        </w:rPr>
        <w:t xml:space="preserve">Land managers applying for funding in a protected landscape need to navigate </w:t>
      </w:r>
      <w:r>
        <w:rPr>
          <w:color w:val="000000" w:themeColor="text1"/>
        </w:rPr>
        <w:t>additional</w:t>
      </w:r>
      <w:r w:rsidRPr="005425D0">
        <w:rPr>
          <w:color w:val="000000" w:themeColor="text1"/>
        </w:rPr>
        <w:t xml:space="preserve"> red tape</w:t>
      </w:r>
      <w:r>
        <w:rPr>
          <w:color w:val="000000" w:themeColor="text1"/>
        </w:rPr>
        <w:t>, e.g. surveys, consents, access to actions via CSHT rather than SFI (e.g. agroforestry),</w:t>
      </w:r>
      <w:r w:rsidRPr="005425D0">
        <w:rPr>
          <w:color w:val="000000" w:themeColor="text1"/>
        </w:rPr>
        <w:t xml:space="preserve"> compared to other areas</w:t>
      </w:r>
      <w:r>
        <w:rPr>
          <w:color w:val="000000" w:themeColor="text1"/>
        </w:rPr>
        <w:t xml:space="preserve">. Additional checks are needed </w:t>
      </w:r>
      <w:r w:rsidRPr="005425D0">
        <w:rPr>
          <w:color w:val="000000" w:themeColor="text1"/>
        </w:rPr>
        <w:t>to protect the areas special qualities</w:t>
      </w:r>
      <w:r>
        <w:rPr>
          <w:color w:val="000000" w:themeColor="text1"/>
        </w:rPr>
        <w:t>;</w:t>
      </w:r>
      <w:r w:rsidRPr="005425D0">
        <w:rPr>
          <w:color w:val="000000" w:themeColor="text1"/>
        </w:rPr>
        <w:t xml:space="preserve"> however</w:t>
      </w:r>
      <w:r>
        <w:rPr>
          <w:color w:val="000000" w:themeColor="text1"/>
        </w:rPr>
        <w:t>,</w:t>
      </w:r>
      <w:r w:rsidRPr="005425D0">
        <w:rPr>
          <w:color w:val="000000" w:themeColor="text1"/>
        </w:rPr>
        <w:t xml:space="preserve"> this adds additional cost, time, and can reduce environmental outcomes instead of aiding them.</w:t>
      </w:r>
    </w:p>
    <w:p w:rsidR="00000000" w:rsidP="00D8558F">
      <w:pPr>
        <w:pStyle w:val="ListParagraph"/>
        <w:numPr>
          <w:ilvl w:val="1"/>
          <w:numId w:val="1"/>
        </w:numPr>
      </w:pPr>
      <w:r>
        <w:t xml:space="preserve">Herbal leys and Environmental Impact Assessments (EIA) – EIAs have been poorly enforced, and grasslands have been improved as a consequence of poor advice, lack of understanding of regulation and perverse incentives within SFI. </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What improvements are needed in land use data, mapping, and modelling to support effective decision-making in the uplands? What training or other skill development options are needed to support this?</w:t>
      </w:r>
    </w:p>
    <w:p w:rsidR="00000000" w:rsidP="00D8558F">
      <w:pPr>
        <w:pStyle w:val="ListParagraph"/>
        <w:numPr>
          <w:ilvl w:val="1"/>
          <w:numId w:val="1"/>
        </w:numPr>
      </w:pPr>
      <w:r>
        <w:t>In the Defra Phase 3 ELMs Test &amp; Trial, we found that:</w:t>
      </w:r>
    </w:p>
    <w:p w:rsidR="00000000" w:rsidRPr="00F96DFA" w:rsidP="00D8558F">
      <w:pPr>
        <w:pStyle w:val="ListParagraph"/>
        <w:numPr>
          <w:ilvl w:val="1"/>
          <w:numId w:val="1"/>
        </w:numPr>
      </w:pPr>
      <w:r>
        <w:t>Farm-level data is often qualitative meaning that impact measuring is difficult.</w:t>
      </w:r>
    </w:p>
    <w:p w:rsidR="00000000" w:rsidP="00D8558F">
      <w:pPr>
        <w:pStyle w:val="ListParagraph"/>
        <w:numPr>
          <w:ilvl w:val="1"/>
          <w:numId w:val="1"/>
        </w:numPr>
      </w:pPr>
      <w:r>
        <w:t>Data collection and sharing is time consuming, expensive and generally doesn’t benefit the farmer. This leads to a reluctance to become involved, and farmers are sceptical about the future use of the data impacting them in a negative way.</w:t>
      </w:r>
    </w:p>
    <w:p w:rsidR="00000000" w:rsidP="00D8558F">
      <w:pPr>
        <w:pStyle w:val="ListParagraph"/>
        <w:numPr>
          <w:ilvl w:val="1"/>
          <w:numId w:val="1"/>
        </w:numPr>
      </w:pPr>
      <w:r w:rsidRPr="17EF4E17">
        <w:t xml:space="preserve">There are a growing number of remote quantitative data collection platforms available, but the data collected isn’t always accurate. It is vital that ground truthing takes place and that farmers receive face to face, on-farm advice from trusted professionals to enable the best decisions to be taken for their farm and the wider landscape. </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How might land use and business changes in the uplands impact rural communities?</w:t>
      </w:r>
    </w:p>
    <w:p w:rsidR="00000000" w:rsidRPr="00423E41" w:rsidP="00D8558F">
      <w:pPr>
        <w:pStyle w:val="ListParagraph"/>
        <w:numPr>
          <w:ilvl w:val="1"/>
          <w:numId w:val="1"/>
        </w:numPr>
      </w:pPr>
      <w:r>
        <w:t>Farming shapes the landscape in upland areas and is intrinsically linked to communities including a wider support network including merchants, vets, machinery sales and repair, shops, schools, and thriving populated rural areas linked and dependant on tourism. Business and land use change which impacts farming will also impact the interconnected web of the rural economy and social structure.</w:t>
      </w:r>
    </w:p>
    <w:p w:rsidR="00000000" w:rsidP="00D8558F">
      <w:pPr>
        <w:pStyle w:val="ListParagraph"/>
        <w:numPr>
          <w:ilvl w:val="1"/>
          <w:numId w:val="1"/>
        </w:numPr>
      </w:pPr>
      <w:r w:rsidRPr="007F2013">
        <w:t>Farming brings a unique set of pressures</w:t>
      </w:r>
      <w:r>
        <w:t>, including</w:t>
      </w:r>
      <w:r w:rsidRPr="007F2013">
        <w:t xml:space="preserve"> long hours, isolation, financial uncertainty, generational expectations and physical risk.</w:t>
      </w:r>
      <w:r w:rsidRPr="006238B5">
        <w:rPr>
          <w:color w:val="000000" w:themeColor="text1"/>
        </w:rPr>
        <w:t xml:space="preserve"> </w:t>
      </w:r>
      <w:r>
        <w:rPr>
          <w:color w:val="000000" w:themeColor="text1"/>
        </w:rPr>
        <w:t xml:space="preserve">Research shows that mental health issues and rates of suicides are increasing. Organisations like the Exmoor Hill Farming Network provide a valuable resource for peer-to-peer </w:t>
      </w:r>
      <w:r>
        <w:rPr>
          <w:color w:val="000000" w:themeColor="text1"/>
        </w:rPr>
        <w:t xml:space="preserve">learning, community, social opportunities, and a chance to leave the farm. </w:t>
      </w:r>
      <w:r w:rsidRPr="007C3C82">
        <w:t>The latest Office of National Statistics figures showed 47 suicides were registered in England &amp; Wales among the farming and agricultural industry in 2024, a 7% increase from 2022</w:t>
      </w:r>
      <w:bookmarkStart w:id="0" w:name="_ftnref1"/>
      <w:bookmarkEnd w:id="0"/>
      <w:r w:rsidRPr="007C3C82">
        <w:t>.</w:t>
      </w:r>
      <w:r>
        <w:t xml:space="preserve"> </w:t>
      </w:r>
      <w:r w:rsidRPr="006238B5">
        <w:rPr>
          <w:color w:val="000000" w:themeColor="text1"/>
        </w:rPr>
        <w:t xml:space="preserve">A recent </w:t>
      </w:r>
      <w:r w:rsidRPr="007A7001">
        <w:t>Farm Safety Foundation survey of 750 farmers, showed that 91% rank poor mental health as an issue (1)</w:t>
      </w:r>
      <w:r>
        <w:t xml:space="preserve">… </w:t>
      </w:r>
      <w:r w:rsidRPr="001B35BD">
        <w:t>In 2023, the British Association for Counselling and Psychology reported that every week, three people in the UK farming and agricultural industry die by suicide. They also found that male farm workers are three times more likely to die by suicide than the male national average (3). The Office for National Statistics show that suicide deaths among farmers have increased year-on-year between 2021 - 2023.  </w:t>
      </w:r>
      <w:r>
        <w:fldChar w:fldCharType="begin"/>
      </w:r>
      <w:r>
        <w:instrText xml:space="preserve"> HYPERLINK "https://mhfaengland.org/mhfa-centre/blog/encouraging-conversations-about-mental-health-and-suicide-in-farming-communities/" </w:instrText>
      </w:r>
      <w:r>
        <w:fldChar w:fldCharType="separate"/>
      </w:r>
      <w:r w:rsidRPr="00F468DC">
        <w:rPr>
          <w:rStyle w:val="Hyperlink"/>
        </w:rPr>
        <w:t>Source</w:t>
      </w:r>
      <w:r>
        <w:fldChar w:fldCharType="end"/>
      </w:r>
    </w:p>
    <w:p w:rsidR="00000000" w:rsidP="00D8558F">
      <w:pPr>
        <w:pStyle w:val="ListParagraph"/>
        <w:numPr>
          <w:ilvl w:val="1"/>
          <w:numId w:val="1"/>
        </w:numPr>
      </w:pPr>
      <w:r w:rsidRPr="00A96F51">
        <w:rPr>
          <w:color w:val="000000" w:themeColor="text1"/>
        </w:rPr>
        <w:t xml:space="preserve">The age of </w:t>
      </w:r>
      <w:r>
        <w:rPr>
          <w:color w:val="000000" w:themeColor="text1"/>
        </w:rPr>
        <w:t xml:space="preserve">the </w:t>
      </w:r>
      <w:r>
        <w:t xml:space="preserve">farming and rural community is increasing, with younger generations moving away from rural areas. In many instances there is decreased interest in younger generations to take over the farm. Where younger generations are entering farming, they are adopting a different farming approach with more focus on business viability, gross margin, and regenerative agriculture. See also the Insight ‘Challenges for the next generation’, in </w:t>
      </w:r>
      <w:r>
        <w:fldChar w:fldCharType="begin"/>
      </w:r>
      <w:r>
        <w:instrText xml:space="preserve"> HYPERLINK "https://www.gov.uk/government/publications/uplands-review-a-report-on-upland-communities-in-england/towards-a-flourishing-uplands-phase-1" \l "towards-a-flourishing-uplands--19-insights" </w:instrText>
      </w:r>
      <w:r>
        <w:fldChar w:fldCharType="separate"/>
      </w:r>
      <w:r w:rsidRPr="00630994">
        <w:rPr>
          <w:rStyle w:val="Hyperlink"/>
        </w:rPr>
        <w:t>Hillary Cottam</w:t>
      </w:r>
      <w:r>
        <w:fldChar w:fldCharType="end"/>
      </w:r>
      <w:r>
        <w:t xml:space="preserve">’s report. </w:t>
      </w:r>
    </w:p>
    <w:p w:rsidR="00000000" w:rsidP="00D8558F">
      <w:pPr>
        <w:pStyle w:val="ListParagraph"/>
        <w:ind w:left="792"/>
      </w:pPr>
    </w:p>
    <w:p w:rsidR="00000000" w:rsidRPr="0087058A" w:rsidP="00D8558F">
      <w:pPr>
        <w:pStyle w:val="ListParagraph"/>
        <w:numPr>
          <w:ilvl w:val="0"/>
          <w:numId w:val="1"/>
        </w:numPr>
        <w:rPr>
          <w:color w:val="156082" w:themeColor="accent1"/>
        </w:rPr>
      </w:pPr>
      <w:r w:rsidRPr="0087058A">
        <w:rPr>
          <w:color w:val="156082" w:themeColor="accent1"/>
        </w:rPr>
        <w:t>How can government policy ensure that rural communities in upland areas benefit from changes? </w:t>
      </w:r>
    </w:p>
    <w:p w:rsidR="00000000" w:rsidP="00D8558F">
      <w:pPr>
        <w:pStyle w:val="ListParagraph"/>
        <w:numPr>
          <w:ilvl w:val="1"/>
          <w:numId w:val="1"/>
        </w:numPr>
      </w:pPr>
      <w:r>
        <w:t>Local farmer networks/cluster groups such as the Exmoor Hill Farming Network are important in supporting facilitation, providing a central hub, and tackling rural isolation.</w:t>
      </w:r>
    </w:p>
    <w:p w:rsidR="00000000" w:rsidP="00D8558F">
      <w:pPr>
        <w:pStyle w:val="ListParagraph"/>
        <w:numPr>
          <w:ilvl w:val="1"/>
          <w:numId w:val="1"/>
        </w:numPr>
      </w:pPr>
      <w:r>
        <w:t>Business management advice is an important part of business transition, adapting to changing policy, building risk planning around climate impacts and market volatility.</w:t>
      </w:r>
    </w:p>
    <w:p w:rsidR="00000000" w:rsidP="00D8558F">
      <w:pPr>
        <w:pStyle w:val="ListParagraph"/>
        <w:numPr>
          <w:ilvl w:val="1"/>
          <w:numId w:val="1"/>
        </w:numPr>
      </w:pPr>
      <w:r>
        <w:t>Succession advice is area far more farmers have considered in response to the IHT changes but needs to continue to be supported.</w:t>
      </w:r>
    </w:p>
    <w:p w:rsidR="00C74513" w:rsidP="00C74513">
      <w:pPr>
        <w:pStyle w:val="ListParagraph"/>
        <w:ind w:left="544"/>
      </w:pPr>
    </w:p>
    <w:p w:rsidR="00C74513" w:rsidP="00C74513">
      <w:pPr>
        <w:pStyle w:val="ListParagraph"/>
        <w:ind w:left="544"/>
      </w:pPr>
      <w:r>
        <w:t>June 2026</w:t>
      </w:r>
    </w:p>
    <w:sectPr w:rsidSect="00D85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74F22A3"/>
    <w:multiLevelType w:val="multilevel"/>
    <w:tmpl w:val="0FD4B5A2"/>
    <w:lvl w:ilvl="0">
      <w:start w:val="1"/>
      <w:numFmt w:val="decimal"/>
      <w:lvlText w:val="%1."/>
      <w:lvlJc w:val="left"/>
      <w:pPr>
        <w:ind w:left="357" w:hanging="357"/>
      </w:pPr>
      <w:rPr>
        <w:rFonts w:hint="default"/>
      </w:rPr>
    </w:lvl>
    <w:lvl w:ilvl="1">
      <w:start w:val="1"/>
      <w:numFmt w:val="decimal"/>
      <w:lvlText w:val="%1.%2."/>
      <w:lvlJc w:val="left"/>
      <w:pPr>
        <w:ind w:left="544" w:hanging="357"/>
      </w:pPr>
      <w:rPr>
        <w:rFonts w:hint="default"/>
      </w:rPr>
    </w:lvl>
    <w:lvl w:ilvl="2">
      <w:start w:val="1"/>
      <w:numFmt w:val="decimal"/>
      <w:lvlText w:val="%1.%2.%3."/>
      <w:lvlJc w:val="left"/>
      <w:pPr>
        <w:ind w:left="731" w:hanging="357"/>
      </w:pPr>
      <w:rPr>
        <w:rFonts w:hint="default"/>
      </w:rPr>
    </w:lvl>
    <w:lvl w:ilvl="3">
      <w:start w:val="1"/>
      <w:numFmt w:val="decimal"/>
      <w:lvlText w:val="%1.%2.%3.%4."/>
      <w:lvlJc w:val="left"/>
      <w:pPr>
        <w:ind w:left="918" w:hanging="357"/>
      </w:pPr>
      <w:rPr>
        <w:rFonts w:hint="default"/>
      </w:rPr>
    </w:lvl>
    <w:lvl w:ilvl="4">
      <w:start w:val="1"/>
      <w:numFmt w:val="decimal"/>
      <w:lvlText w:val="%1.%2.%3.%4.%5."/>
      <w:lvlJc w:val="left"/>
      <w:pPr>
        <w:ind w:left="1105" w:hanging="357"/>
      </w:pPr>
      <w:rPr>
        <w:rFonts w:hint="default"/>
      </w:rPr>
    </w:lvl>
    <w:lvl w:ilvl="5">
      <w:start w:val="1"/>
      <w:numFmt w:val="decimal"/>
      <w:lvlText w:val="%1.%2.%3.%4.%5.%6."/>
      <w:lvlJc w:val="left"/>
      <w:pPr>
        <w:ind w:left="1292" w:hanging="357"/>
      </w:pPr>
      <w:rPr>
        <w:rFonts w:hint="default"/>
      </w:rPr>
    </w:lvl>
    <w:lvl w:ilvl="6">
      <w:start w:val="1"/>
      <w:numFmt w:val="decimal"/>
      <w:lvlText w:val="%1.%2.%3.%4.%5.%6.%7."/>
      <w:lvlJc w:val="left"/>
      <w:pPr>
        <w:ind w:left="1479" w:hanging="357"/>
      </w:pPr>
      <w:rPr>
        <w:rFonts w:hint="default"/>
      </w:rPr>
    </w:lvl>
    <w:lvl w:ilvl="7">
      <w:start w:val="1"/>
      <w:numFmt w:val="decimal"/>
      <w:lvlText w:val="%1.%2.%3.%4.%5.%6.%7.%8."/>
      <w:lvlJc w:val="left"/>
      <w:pPr>
        <w:ind w:left="1666" w:hanging="357"/>
      </w:pPr>
      <w:rPr>
        <w:rFonts w:hint="default"/>
      </w:rPr>
    </w:lvl>
    <w:lvl w:ilvl="8">
      <w:start w:val="1"/>
      <w:numFmt w:val="decimal"/>
      <w:lvlText w:val="%1.%2.%3.%4.%5.%6.%7.%8.%9."/>
      <w:lvlJc w:val="left"/>
      <w:pPr>
        <w:ind w:left="1853" w:hanging="35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558F"/>
  </w:style>
  <w:style w:type="paragraph" w:styleId="Heading1">
    <w:name w:val="heading 1"/>
    <w:basedOn w:val="Normal"/>
    <w:next w:val="Normal"/>
    <w:link w:val="Heading1Char"/>
    <w:uiPriority w:val="9"/>
    <w:qFormat/>
    <w:rsid w:val="00D85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58F"/>
    <w:rPr>
      <w:rFonts w:eastAsiaTheme="majorEastAsia" w:cstheme="majorBidi"/>
      <w:color w:val="272727" w:themeColor="text1" w:themeTint="D8"/>
    </w:rPr>
  </w:style>
  <w:style w:type="paragraph" w:styleId="Title">
    <w:name w:val="Title"/>
    <w:basedOn w:val="Normal"/>
    <w:next w:val="Normal"/>
    <w:link w:val="TitleChar"/>
    <w:uiPriority w:val="10"/>
    <w:qFormat/>
    <w:rsid w:val="00D85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58F"/>
    <w:pPr>
      <w:spacing w:before="160"/>
      <w:jc w:val="center"/>
    </w:pPr>
    <w:rPr>
      <w:i/>
      <w:iCs/>
      <w:color w:val="404040" w:themeColor="text1" w:themeTint="BF"/>
    </w:rPr>
  </w:style>
  <w:style w:type="character" w:customStyle="1" w:styleId="QuoteChar">
    <w:name w:val="Quote Char"/>
    <w:basedOn w:val="DefaultParagraphFont"/>
    <w:link w:val="Quote"/>
    <w:uiPriority w:val="29"/>
    <w:rsid w:val="00D8558F"/>
    <w:rPr>
      <w:i/>
      <w:iCs/>
      <w:color w:val="404040" w:themeColor="text1" w:themeTint="BF"/>
    </w:rPr>
  </w:style>
  <w:style w:type="paragraph" w:styleId="ListParagraph">
    <w:name w:val="List Paragraph"/>
    <w:basedOn w:val="Normal"/>
    <w:uiPriority w:val="34"/>
    <w:qFormat/>
    <w:rsid w:val="00D8558F"/>
    <w:pPr>
      <w:ind w:left="720"/>
      <w:contextualSpacing/>
    </w:pPr>
  </w:style>
  <w:style w:type="character" w:styleId="IntenseEmphasis">
    <w:name w:val="Intense Emphasis"/>
    <w:basedOn w:val="DefaultParagraphFont"/>
    <w:uiPriority w:val="21"/>
    <w:qFormat/>
    <w:rsid w:val="00D8558F"/>
    <w:rPr>
      <w:i/>
      <w:iCs/>
      <w:color w:val="0F4761" w:themeColor="accent1" w:themeShade="BF"/>
    </w:rPr>
  </w:style>
  <w:style w:type="paragraph" w:styleId="IntenseQuote">
    <w:name w:val="Intense Quote"/>
    <w:basedOn w:val="Normal"/>
    <w:next w:val="Normal"/>
    <w:link w:val="IntenseQuoteChar"/>
    <w:uiPriority w:val="30"/>
    <w:qFormat/>
    <w:rsid w:val="00D85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58F"/>
    <w:rPr>
      <w:i/>
      <w:iCs/>
      <w:color w:val="0F4761" w:themeColor="accent1" w:themeShade="BF"/>
    </w:rPr>
  </w:style>
  <w:style w:type="character" w:styleId="IntenseReference">
    <w:name w:val="Intense Reference"/>
    <w:basedOn w:val="DefaultParagraphFont"/>
    <w:uiPriority w:val="32"/>
    <w:qFormat/>
    <w:rsid w:val="00D8558F"/>
    <w:rPr>
      <w:b/>
      <w:bCs/>
      <w:smallCaps/>
      <w:color w:val="0F4761" w:themeColor="accent1" w:themeShade="BF"/>
      <w:spacing w:val="5"/>
    </w:rPr>
  </w:style>
  <w:style w:type="character" w:styleId="Hyperlink">
    <w:name w:val="Hyperlink"/>
    <w:basedOn w:val="DefaultParagraphFont"/>
    <w:uiPriority w:val="99"/>
    <w:unhideWhenUsed/>
    <w:rsid w:val="00D8558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LUN0047</dc:title>
  <cp:revision>0</cp:revision>
</cp:coreProperties>
</file>