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674BC2">
      <w:pPr>
        <w:shd w:val="clear" w:color="auto" w:fill="F8F6FC"/>
        <w:spacing w:before="450" w:after="270" w:line="240" w:lineRule="auto"/>
        <w:outlineLvl w:val="2"/>
        <w:rPr>
          <w:rFonts w:ascii="Arial" w:eastAsia="Times New Roman" w:hAnsi="Arial" w:cs="Arial"/>
          <w:color w:val="373151"/>
          <w:kern w:val="0"/>
          <w:sz w:val="27"/>
          <w:szCs w:val="27"/>
          <w:lang w:eastAsia="en-GB"/>
        </w:rPr>
      </w:pPr>
      <w:r>
        <w:rPr>
          <w:rFonts w:ascii="Arial" w:eastAsia="Times New Roman" w:hAnsi="Arial" w:cs="Arial"/>
          <w:color w:val="373151"/>
          <w:kern w:val="0"/>
          <w:sz w:val="27"/>
          <w:szCs w:val="27"/>
          <w:lang w:eastAsia="en-GB"/>
        </w:rPr>
        <w:t>Written evidence submitted by</w:t>
      </w:r>
      <w:r>
        <w:rPr>
          <w:rFonts w:ascii="Arial" w:eastAsia="Times New Roman" w:hAnsi="Arial" w:cs="Arial"/>
          <w:color w:val="373151"/>
          <w:kern w:val="0"/>
          <w:sz w:val="27"/>
          <w:szCs w:val="27"/>
          <w:lang w:eastAsia="en-GB"/>
        </w:rPr>
        <w:t xml:space="preserve"> Upper </w:t>
      </w:r>
      <w:r>
        <w:rPr>
          <w:rFonts w:ascii="Arial" w:eastAsia="Times New Roman" w:hAnsi="Arial" w:cs="Arial"/>
          <w:color w:val="373151"/>
          <w:kern w:val="0"/>
          <w:sz w:val="27"/>
          <w:szCs w:val="27"/>
          <w:lang w:eastAsia="en-GB"/>
        </w:rPr>
        <w:t>Teesdale</w:t>
      </w:r>
      <w:r>
        <w:rPr>
          <w:rFonts w:ascii="Arial" w:eastAsia="Times New Roman" w:hAnsi="Arial" w:cs="Arial"/>
          <w:color w:val="373151"/>
          <w:kern w:val="0"/>
          <w:sz w:val="27"/>
          <w:szCs w:val="27"/>
          <w:lang w:eastAsia="en-GB"/>
        </w:rPr>
        <w:t xml:space="preserve"> Agricultural Services </w:t>
      </w:r>
      <w:r>
        <w:rPr>
          <w:rFonts w:ascii="Arial" w:eastAsia="Times New Roman" w:hAnsi="Arial" w:cs="Arial"/>
          <w:color w:val="373151"/>
          <w:kern w:val="0"/>
          <w:sz w:val="27"/>
          <w:szCs w:val="27"/>
          <w:lang w:eastAsia="en-GB"/>
        </w:rPr>
        <w:t>(LUN0040)</w:t>
      </w:r>
    </w:p>
    <w:p w:rsidR="00000000" w:rsidP="005B6D87">
      <w:pPr>
        <w:rPr>
          <w:rFonts w:ascii="Times New Roman" w:hAnsi="Times New Roman" w:cs="Times New Roman"/>
          <w:sz w:val="24"/>
          <w:szCs w:val="24"/>
          <w:lang w:val="en-US"/>
        </w:rPr>
      </w:pPr>
      <w:r>
        <w:rPr>
          <w:rFonts w:ascii="Times New Roman" w:hAnsi="Times New Roman" w:cs="Times New Roman"/>
          <w:sz w:val="24"/>
          <w:szCs w:val="24"/>
          <w:lang w:val="en-US"/>
        </w:rPr>
        <w:t>The Upper Teesdale Agricultural Support Services is a charity that supports farmers and the wider rural community in Upper Teesdale County Durham. Most of our members are tenant farmers. The area is of significance being:</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Mainly classified as a </w:t>
      </w:r>
      <w:r w:rsidRPr="00B720F3">
        <w:rPr>
          <w:rFonts w:ascii="Times New Roman" w:hAnsi="Times New Roman" w:cs="Times New Roman"/>
          <w:sz w:val="24"/>
          <w:szCs w:val="24"/>
          <w:lang w:val="en-US"/>
        </w:rPr>
        <w:t>Less Favored</w:t>
      </w:r>
      <w:r>
        <w:rPr>
          <w:rFonts w:ascii="Times New Roman" w:hAnsi="Times New Roman" w:cs="Times New Roman"/>
          <w:sz w:val="24"/>
          <w:szCs w:val="24"/>
          <w:lang w:val="en-US"/>
        </w:rPr>
        <w:t xml:space="preserve"> Area (LFA).</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Mainly within the North Pennine National Landscape.</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Mainly </w:t>
      </w:r>
      <w:r w:rsidRPr="00B720F3">
        <w:rPr>
          <w:rFonts w:ascii="Times New Roman" w:hAnsi="Times New Roman" w:cs="Times New Roman"/>
          <w:sz w:val="24"/>
          <w:szCs w:val="24"/>
          <w:lang w:val="en-US"/>
        </w:rPr>
        <w:t>suitable for extensive livestock rearing</w:t>
      </w:r>
      <w:r>
        <w:rPr>
          <w:rFonts w:ascii="Times New Roman" w:hAnsi="Times New Roman" w:cs="Times New Roman"/>
          <w:sz w:val="24"/>
          <w:szCs w:val="24"/>
          <w:lang w:val="en-US"/>
        </w:rPr>
        <w:t xml:space="preserve"> but with a few mixed farms further down the valley.</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Predominantly tenanted.</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Contains a National Nature Reserve</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Numerous Site of Special Scientific Interest (SSSI) designations.</w:t>
      </w:r>
    </w:p>
    <w:p w:rsidR="00000000" w:rsidP="005B6D87">
      <w:pPr>
        <w:pStyle w:val="ListParagraph"/>
        <w:numPr>
          <w:ilvl w:val="0"/>
          <w:numId w:val="4"/>
        </w:numPr>
        <w:rPr>
          <w:rFonts w:ascii="Times New Roman" w:hAnsi="Times New Roman" w:cs="Times New Roman"/>
          <w:sz w:val="24"/>
          <w:szCs w:val="24"/>
          <w:lang w:val="en-US"/>
        </w:rPr>
      </w:pPr>
      <w:r w:rsidRPr="00B720F3">
        <w:rPr>
          <w:rFonts w:ascii="Times New Roman" w:hAnsi="Times New Roman" w:cs="Times New Roman"/>
          <w:sz w:val="24"/>
          <w:szCs w:val="24"/>
          <w:lang w:val="en-US"/>
        </w:rPr>
        <w:t>Containing significant Special Areas of Conservation (SAC) and Special Protection Areas (SPA)</w:t>
      </w:r>
      <w:r>
        <w:rPr>
          <w:rFonts w:ascii="Times New Roman" w:hAnsi="Times New Roman" w:cs="Times New Roman"/>
          <w:sz w:val="24"/>
          <w:szCs w:val="24"/>
          <w:lang w:val="en-US"/>
        </w:rPr>
        <w:t>.</w:t>
      </w:r>
    </w:p>
    <w:p w:rsidR="00000000" w:rsidP="005B6D87">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Important for water supply with six reservoirs and the river Tees forming an open-air water main for abstraction at Darlington.</w:t>
      </w:r>
    </w:p>
    <w:p w:rsidR="00000000" w:rsidP="00674BC2">
      <w:pPr>
        <w:shd w:val="clear" w:color="auto" w:fill="F8F6FC"/>
        <w:spacing w:before="450" w:after="270" w:line="240" w:lineRule="auto"/>
        <w:outlineLvl w:val="2"/>
        <w:rPr>
          <w:rFonts w:ascii="Arial" w:eastAsia="Times New Roman" w:hAnsi="Arial" w:cs="Arial"/>
          <w:color w:val="373151"/>
          <w:kern w:val="0"/>
          <w:sz w:val="27"/>
          <w:szCs w:val="27"/>
          <w:lang w:eastAsia="en-GB"/>
        </w:rPr>
      </w:pPr>
    </w:p>
    <w:p w:rsidR="00000000" w:rsidP="00674BC2">
      <w:pPr>
        <w:shd w:val="clear" w:color="auto" w:fill="F8F6FC"/>
        <w:spacing w:before="450" w:after="270" w:line="240" w:lineRule="auto"/>
        <w:outlineLvl w:val="2"/>
        <w:rPr>
          <w:rFonts w:ascii="Arial" w:eastAsia="Times New Roman" w:hAnsi="Arial" w:cs="Arial"/>
          <w:color w:val="373151"/>
          <w:kern w:val="0"/>
          <w:sz w:val="27"/>
          <w:szCs w:val="27"/>
          <w:lang w:eastAsia="en-GB"/>
        </w:rPr>
      </w:pPr>
    </w:p>
    <w:p w:rsidR="00000000" w:rsidRPr="00674BC2" w:rsidP="00674BC2">
      <w:pPr>
        <w:shd w:val="clear" w:color="auto" w:fill="F8F6FC"/>
        <w:spacing w:before="450" w:after="270" w:line="240" w:lineRule="auto"/>
        <w:outlineLvl w:val="2"/>
        <w:rPr>
          <w:rFonts w:ascii="Arial" w:eastAsia="Times New Roman" w:hAnsi="Arial" w:cs="Arial"/>
          <w:color w:val="373151"/>
          <w:kern w:val="0"/>
          <w:sz w:val="27"/>
          <w:szCs w:val="27"/>
          <w:lang w:eastAsia="en-GB"/>
        </w:rPr>
      </w:pPr>
      <w:r w:rsidRPr="00674BC2">
        <w:rPr>
          <w:rFonts w:ascii="Arial" w:eastAsia="Times New Roman" w:hAnsi="Arial" w:cs="Arial"/>
          <w:color w:val="373151"/>
          <w:kern w:val="0"/>
          <w:sz w:val="27"/>
          <w:szCs w:val="27"/>
          <w:lang w:eastAsia="en-GB"/>
        </w:rPr>
        <w:t>Questions</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How effectively do current policies balance competing demands in the uplands, including food production, nature recovery, climate mitigation, water management, and public access, and where do the key tensions remain?</w:t>
      </w:r>
    </w:p>
    <w:p w:rsidR="00000000" w:rsidP="00674BC2">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The delivery of current policies are split between the agencies forming the Defra family. Defra was originally created during the 2001 Foot and Mouth outbreak to “join up rural delivery”. The agencies however still work as silos with silos within silos</w:t>
      </w:r>
      <w:r>
        <w:rPr>
          <w:rStyle w:val="FootnoteReference"/>
          <w:rFonts w:ascii="Arial" w:eastAsia="Times New Roman" w:hAnsi="Arial" w:cs="Arial"/>
          <w:color w:val="4D4D4D"/>
          <w:kern w:val="0"/>
          <w:sz w:val="27"/>
          <w:szCs w:val="27"/>
          <w:lang w:eastAsia="en-GB"/>
        </w:rPr>
        <w:footnoteReference w:id="2"/>
      </w:r>
      <w:r>
        <w:rPr>
          <w:rFonts w:ascii="Arial" w:eastAsia="Times New Roman" w:hAnsi="Arial" w:cs="Arial"/>
          <w:color w:val="4D4D4D"/>
          <w:kern w:val="0"/>
          <w:sz w:val="27"/>
          <w:szCs w:val="27"/>
          <w:lang w:eastAsia="en-GB"/>
        </w:rPr>
        <w:t xml:space="preserve"> causing frustration, bureaucracy and inertia for farmers who have to deal with them. This is not helped by inter agency rivalry with blame for delivery failures regularly passed on: this is particularly true of the RPA and Natural England.</w:t>
      </w:r>
      <w:r>
        <w:rPr>
          <w:rFonts w:ascii="Arial" w:eastAsia="Times New Roman" w:hAnsi="Arial" w:cs="Arial"/>
          <w:color w:val="4D4D4D"/>
          <w:kern w:val="0"/>
          <w:sz w:val="27"/>
          <w:szCs w:val="27"/>
          <w:lang w:eastAsia="en-GB"/>
        </w:rPr>
        <w:t xml:space="preserve"> Natural England leads on nature recovery, the Environment Agency on water management and climate mitigation, local </w:t>
      </w:r>
      <w:r>
        <w:rPr>
          <w:rFonts w:ascii="Arial" w:eastAsia="Times New Roman" w:hAnsi="Arial" w:cs="Arial"/>
          <w:color w:val="4D4D4D"/>
          <w:kern w:val="0"/>
          <w:sz w:val="27"/>
          <w:szCs w:val="27"/>
          <w:lang w:eastAsia="en-GB"/>
        </w:rPr>
        <w:t>authorities on public access, APHA on animal and plant welfare, RPA administration/technical services and local authorities on public access. The only place</w:t>
      </w:r>
      <w:r>
        <w:rPr>
          <w:rFonts w:ascii="Arial" w:eastAsia="Times New Roman" w:hAnsi="Arial" w:cs="Arial"/>
          <w:color w:val="4D4D4D"/>
          <w:kern w:val="0"/>
          <w:sz w:val="27"/>
          <w:szCs w:val="27"/>
          <w:lang w:eastAsia="en-GB"/>
        </w:rPr>
        <w:t xml:space="preserve"> these conflicting and, at times, diverse agendas get joined up is at farm level.</w:t>
      </w:r>
    </w:p>
    <w:p w:rsidR="00000000" w:rsidP="000C4D7D">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Key current tensions:</w:t>
      </w:r>
    </w:p>
    <w:p w:rsidR="00000000" w:rsidP="000C4D7D">
      <w:pPr>
        <w:pStyle w:val="ListParagraph"/>
        <w:numPr>
          <w:ilvl w:val="0"/>
          <w:numId w:val="3"/>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Undergrazing</w:t>
      </w:r>
      <w:r>
        <w:rPr>
          <w:rFonts w:ascii="Arial" w:eastAsia="Times New Roman" w:hAnsi="Arial" w:cs="Arial"/>
          <w:color w:val="4D4D4D"/>
          <w:kern w:val="0"/>
          <w:sz w:val="27"/>
          <w:szCs w:val="27"/>
          <w:lang w:eastAsia="en-GB"/>
        </w:rPr>
        <w:t xml:space="preserve"> due to NE unrealistic low stocking requirements.</w:t>
      </w:r>
    </w:p>
    <w:p w:rsidR="00000000" w:rsidP="000C4D7D">
      <w:pPr>
        <w:pStyle w:val="ListParagraph"/>
        <w:numPr>
          <w:ilvl w:val="0"/>
          <w:numId w:val="3"/>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Risk of wildfire due to the increased fuel load created through under-stocking and management restrictions.</w:t>
      </w:r>
    </w:p>
    <w:p w:rsidR="00000000" w:rsidP="000C4D7D">
      <w:pPr>
        <w:pStyle w:val="ListParagraph"/>
        <w:numPr>
          <w:ilvl w:val="0"/>
          <w:numId w:val="3"/>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Ignorance of farming systems and practical farming management issues within the agencies expert and policy staff.</w:t>
      </w:r>
    </w:p>
    <w:p w:rsidR="00000000" w:rsidP="000C4D7D">
      <w:pPr>
        <w:pStyle w:val="ListParagraph"/>
        <w:numPr>
          <w:ilvl w:val="0"/>
          <w:numId w:val="3"/>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Conflict between cattle grazing and access especially with dog walkers. This is exacerbated by NE’s preference for replacing sheep with cattle</w:t>
      </w:r>
      <w:r>
        <w:rPr>
          <w:rStyle w:val="FootnoteReference"/>
          <w:rFonts w:ascii="Arial" w:eastAsia="Times New Roman" w:hAnsi="Arial" w:cs="Arial"/>
          <w:color w:val="4D4D4D"/>
          <w:kern w:val="0"/>
          <w:sz w:val="27"/>
          <w:szCs w:val="27"/>
          <w:lang w:eastAsia="en-GB"/>
        </w:rPr>
        <w:footnoteReference w:id="3"/>
      </w:r>
      <w:r>
        <w:rPr>
          <w:rFonts w:ascii="Arial" w:eastAsia="Times New Roman" w:hAnsi="Arial" w:cs="Arial"/>
          <w:color w:val="4D4D4D"/>
          <w:kern w:val="0"/>
          <w:sz w:val="27"/>
          <w:szCs w:val="27"/>
          <w:lang w:eastAsia="en-GB"/>
        </w:rPr>
        <w:t xml:space="preserve"> where there is a management agreement.</w:t>
      </w:r>
    </w:p>
    <w:p w:rsidR="00000000" w:rsidRPr="000C4D7D" w:rsidP="000C4D7D">
      <w:pPr>
        <w:pStyle w:val="ListParagraph"/>
        <w:numPr>
          <w:ilvl w:val="0"/>
          <w:numId w:val="3"/>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Unsuitability of current ELMS management scheme for upland farms with very few actions and limited payments and eligibility.</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What has been the impact of agricultural policy changes (including the transition away from direct payments) on upland farming businesses, and the impact of these changes on farming profitability?</w:t>
      </w:r>
    </w:p>
    <w:p w:rsidR="00000000" w:rsidRPr="00674BC2" w:rsidP="002E13DF">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The Basic Payment Scheme provided a regular payment that cushioned all farms from market fluctuations. Its removal has hit the uplands the hardest</w:t>
      </w:r>
      <w:r>
        <w:rPr>
          <w:rFonts w:ascii="Arial" w:eastAsia="Times New Roman" w:hAnsi="Arial" w:cs="Arial"/>
          <w:color w:val="4D4D4D"/>
          <w:kern w:val="0"/>
          <w:sz w:val="27"/>
          <w:szCs w:val="27"/>
          <w:lang w:eastAsia="en-GB"/>
        </w:rPr>
        <w:t xml:space="preserve"> as the most primary part of a primary industry. Upland farms on the whole produce store and breeding stock for lowland farms (our unique pyramid structure for the sheep sector). Farming has long been a price taker rather than a price maker. Farmers can’t go on strike and have to accept what is offered for their production irrespective of the cost of production. The slow implementation of ELMS has left many upland farmers unable to fill the hole in their income. This includes many who were already doing the</w:t>
      </w:r>
      <w:r>
        <w:rPr>
          <w:rFonts w:ascii="Arial" w:eastAsia="Times New Roman" w:hAnsi="Arial" w:cs="Arial"/>
          <w:color w:val="4D4D4D"/>
          <w:kern w:val="0"/>
          <w:sz w:val="27"/>
          <w:szCs w:val="27"/>
          <w:lang w:eastAsia="en-GB"/>
        </w:rPr>
        <w:t xml:space="preserve">ir bit for the environment through classic schemes who were unable to access SFI. Those who could have largely found SFI actions based on compensation for income foregone did not make a material contribution to their net income while enmeshing them in a regulatory framework that the government had promised would be vastly reduced through Brexit. </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 xml:space="preserve">To what extent do the current Environmental Land Management (ELM) schemes and other support like the Farming in Protected </w:t>
      </w:r>
      <w:r w:rsidRPr="00674BC2">
        <w:rPr>
          <w:rFonts w:ascii="Arial" w:eastAsia="Times New Roman" w:hAnsi="Arial" w:cs="Arial"/>
          <w:color w:val="4D4D4D"/>
          <w:kern w:val="0"/>
          <w:sz w:val="27"/>
          <w:szCs w:val="27"/>
          <w:lang w:eastAsia="en-GB"/>
        </w:rPr>
        <w:t>Landscapes (FiPL) schemes support financially and environmentally sustainable land management in the uplands?</w:t>
      </w:r>
    </w:p>
    <w:p w:rsidR="00000000" w:rsidRPr="00674BC2" w:rsidP="000A26A3">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Current ELM schemes do make some contribution to environmental sustainability. However, while payments are based on compensation for income foregone, the contribution to the financial sustainability of upland farming is minimal. FIPL is essentially an environmental capital grant scheme so any contribution to financial sustainability</w:t>
      </w:r>
      <w:r>
        <w:rPr>
          <w:rFonts w:ascii="Arial" w:eastAsia="Times New Roman" w:hAnsi="Arial" w:cs="Arial"/>
          <w:color w:val="4D4D4D"/>
          <w:kern w:val="0"/>
          <w:sz w:val="27"/>
          <w:szCs w:val="27"/>
          <w:lang w:eastAsia="en-GB"/>
        </w:rPr>
        <w:t xml:space="preserve"> is both indirect and minimal.</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How do legal protections for uplands areas (including designation as a National Park or Area of Outstanding Natural Beauty / Protected Landscape, and designations such as Site of Special Scientific Interest, or Special Area of Conservation) impact decision-making, land management, and outcomes?</w:t>
      </w:r>
    </w:p>
    <w:p w:rsidR="00000000" w:rsidRPr="00674BC2" w:rsidP="00A82ADE">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Making and agency that is not competent the “competent authority” with a statutory duty is always going to have a perverted influence on decision making, land management and outcomes. Natural England as judge and jury on the condition of SSSIs has taken the focus away from outcomes to the imposition of highly complicated agreements. Most farmers find that NE whole site assessments bear limited relevance to what is actually on the ground and seem to suffer from ever moving goal posts at the whim of experts using meagre and inadequate evidence.</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What improvements are needed in land use data, mapping, and modelling to support effective decision-making in the uplands? What training or other skill development options are needed to support this?</w:t>
      </w:r>
    </w:p>
    <w:p w:rsidR="00000000" w:rsidRPr="00674BC2" w:rsidP="00A82ADE">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Mapping and modelling is totally dependent on the quality of the data imputted. There needs to be better peer review (including farmers) on the veracity and reliability of the data being imputed. At the moment Natural England stocking rates and prescriptions for different habitats are basically the same for 15,000 FAS in the North Pennines as at sea level in the Southwest. It is no surprise that Natural England does not produce outcomes.</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How might land use and business changes in the uplands impact rural communities?</w:t>
      </w:r>
    </w:p>
    <w:p w:rsidR="00000000" w:rsidRPr="00674BC2" w:rsidP="00A82ADE">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 xml:space="preserve">Upland farming is on a knife edge financially after the phasing out of direct payments. It is quite clear from research that visitors to the uplands mainly come to see the managed farmed landscape with the </w:t>
      </w:r>
      <w:r>
        <w:rPr>
          <w:rFonts w:ascii="Arial" w:eastAsia="Times New Roman" w:hAnsi="Arial" w:cs="Arial"/>
          <w:color w:val="4D4D4D"/>
          <w:kern w:val="0"/>
          <w:sz w:val="27"/>
          <w:szCs w:val="27"/>
          <w:lang w:eastAsia="en-GB"/>
        </w:rPr>
        <w:t>field patterns and the livestock. Rewilding the uplands and phasing down or out livestock farming has never been endorsed by the general public</w:t>
      </w:r>
      <w:r>
        <w:rPr>
          <w:rFonts w:ascii="Arial" w:eastAsia="Times New Roman" w:hAnsi="Arial" w:cs="Arial"/>
          <w:color w:val="4D4D4D"/>
          <w:kern w:val="0"/>
          <w:sz w:val="27"/>
          <w:szCs w:val="27"/>
          <w:lang w:eastAsia="en-GB"/>
        </w:rPr>
        <w:t xml:space="preserve"> despite the propaganda from some environmentalists Equally most of our visitors</w:t>
      </w:r>
      <w:r>
        <w:rPr>
          <w:rFonts w:ascii="Arial" w:eastAsia="Times New Roman" w:hAnsi="Arial" w:cs="Arial"/>
          <w:color w:val="4D4D4D"/>
          <w:kern w:val="0"/>
          <w:sz w:val="27"/>
          <w:szCs w:val="27"/>
          <w:lang w:eastAsia="en-GB"/>
        </w:rPr>
        <w:t xml:space="preserve"> have never expressed a desire to swap their stick for a machete to access the uplands. Rural communities all depend to a certain extent on tourism: to wilfully destroy what visitors value would be crass and dangerous.</w:t>
      </w:r>
    </w:p>
    <w:p w:rsidR="00000000" w:rsidP="00674BC2">
      <w:pPr>
        <w:numPr>
          <w:ilvl w:val="0"/>
          <w:numId w:val="1"/>
        </w:numPr>
        <w:shd w:val="clear" w:color="auto" w:fill="F8F6FC"/>
        <w:spacing w:before="100" w:beforeAutospacing="1" w:after="100" w:afterAutospacing="1" w:line="240" w:lineRule="auto"/>
        <w:rPr>
          <w:rFonts w:ascii="Arial" w:eastAsia="Times New Roman" w:hAnsi="Arial" w:cs="Arial"/>
          <w:color w:val="4D4D4D"/>
          <w:kern w:val="0"/>
          <w:sz w:val="27"/>
          <w:szCs w:val="27"/>
          <w:lang w:eastAsia="en-GB"/>
        </w:rPr>
      </w:pPr>
      <w:r w:rsidRPr="00674BC2">
        <w:rPr>
          <w:rFonts w:ascii="Arial" w:eastAsia="Times New Roman" w:hAnsi="Arial" w:cs="Arial"/>
          <w:color w:val="4D4D4D"/>
          <w:kern w:val="0"/>
          <w:sz w:val="27"/>
          <w:szCs w:val="27"/>
          <w:lang w:eastAsia="en-GB"/>
        </w:rPr>
        <w:t>How can government policy ensure that rural communities in upland areas benefit from changes?</w:t>
      </w:r>
    </w:p>
    <w:p w:rsidR="00000000" w:rsidRPr="00674BC2" w:rsidP="001C56F9">
      <w:pPr>
        <w:shd w:val="clear" w:color="auto" w:fill="F8F6FC"/>
        <w:spacing w:before="100" w:beforeAutospacing="1" w:after="100" w:afterAutospacing="1" w:line="240" w:lineRule="auto"/>
        <w:ind w:left="720"/>
        <w:rPr>
          <w:rFonts w:ascii="Arial" w:eastAsia="Times New Roman" w:hAnsi="Arial" w:cs="Arial"/>
          <w:color w:val="4D4D4D"/>
          <w:kern w:val="0"/>
          <w:sz w:val="27"/>
          <w:szCs w:val="27"/>
          <w:lang w:eastAsia="en-GB"/>
        </w:rPr>
      </w:pPr>
      <w:r>
        <w:rPr>
          <w:rFonts w:ascii="Arial" w:eastAsia="Times New Roman" w:hAnsi="Arial" w:cs="Arial"/>
          <w:color w:val="4D4D4D"/>
          <w:kern w:val="0"/>
          <w:sz w:val="27"/>
          <w:szCs w:val="27"/>
          <w:lang w:eastAsia="en-GB"/>
        </w:rPr>
        <w:t xml:space="preserve">Proper financing of upland farming that actually makes some contribution to net farm income would be a good start. The principle of paying a municipal park keeper or national park ranger is well-established: this principle needs to be extended to farmers. If the uplands are to be environmentally sustainable the people who look after them and manage them need to make a living above the minimum wage that gives them a fair return for their labour, skills and knowledge as well as providing for succession where appropriate and retirement. This is especially true for the many tenants in the uplands. To this end government policy needs to look at a better way for fixing the annual payments for environmental schemes than the discredited payment for income foregone system currently used. </w:t>
      </w:r>
    </w:p>
    <w:p w:rsidR="00000000">
      <w: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C30A1" w:rsidP="00674BC2">
      <w:pPr>
        <w:spacing w:after="0" w:line="240" w:lineRule="auto"/>
      </w:pPr>
      <w:r>
        <w:separator/>
      </w:r>
    </w:p>
  </w:footnote>
  <w:footnote w:type="continuationSeparator" w:id="1">
    <w:p w:rsidR="00BC30A1" w:rsidP="00674BC2">
      <w:pPr>
        <w:spacing w:after="0" w:line="240" w:lineRule="auto"/>
      </w:pPr>
      <w:r>
        <w:continuationSeparator/>
      </w:r>
    </w:p>
  </w:footnote>
  <w:footnote w:id="2">
    <w:p w:rsidR="00000000" w:rsidRPr="00674BC2">
      <w:pPr>
        <w:pStyle w:val="FootnoteText"/>
        <w:rPr>
          <w:lang w:val="en-US"/>
        </w:rPr>
      </w:pPr>
      <w:r>
        <w:rPr>
          <w:rStyle w:val="FootnoteReference"/>
        </w:rPr>
        <w:footnoteRef/>
      </w:r>
      <w:r>
        <w:t xml:space="preserve"> </w:t>
      </w:r>
      <w:r>
        <w:rPr>
          <w:lang w:val="en-US"/>
        </w:rPr>
        <w:t>One department of NE insisted on a boundary fence as part of a Countryside Stewardship</w:t>
      </w:r>
      <w:r>
        <w:rPr>
          <w:lang w:val="en-US"/>
        </w:rPr>
        <w:t xml:space="preserve"> Higher Tier agreement to ensure </w:t>
      </w:r>
      <w:r>
        <w:rPr>
          <w:lang w:val="en-US"/>
        </w:rPr>
        <w:t xml:space="preserve">that </w:t>
      </w:r>
      <w:r>
        <w:rPr>
          <w:lang w:val="en-US"/>
        </w:rPr>
        <w:t xml:space="preserve">reduced stocking densities </w:t>
      </w:r>
      <w:r>
        <w:rPr>
          <w:lang w:val="en-US"/>
        </w:rPr>
        <w:t xml:space="preserve">could be delivered, </w:t>
      </w:r>
      <w:r>
        <w:rPr>
          <w:lang w:val="en-US"/>
        </w:rPr>
        <w:t xml:space="preserve">while another department opposed </w:t>
      </w:r>
      <w:r>
        <w:rPr>
          <w:lang w:val="en-US"/>
        </w:rPr>
        <w:t xml:space="preserve">in principle </w:t>
      </w:r>
      <w:r>
        <w:rPr>
          <w:lang w:val="en-US"/>
        </w:rPr>
        <w:t>the erection of a boundary fence on open moorland.</w:t>
      </w:r>
    </w:p>
  </w:footnote>
  <w:footnote w:id="3">
    <w:p w:rsidR="00000000" w:rsidRPr="002E13DF">
      <w:pPr>
        <w:pStyle w:val="FootnoteText"/>
        <w:rPr>
          <w:lang w:val="en-US"/>
        </w:rPr>
      </w:pPr>
      <w:r>
        <w:rPr>
          <w:rStyle w:val="FootnoteReference"/>
        </w:rPr>
        <w:footnoteRef/>
      </w:r>
      <w:r>
        <w:t xml:space="preserve"> </w:t>
      </w:r>
      <w:r>
        <w:rPr>
          <w:lang w:val="en-US"/>
        </w:rPr>
        <w:t>The North Pennines and other upland areas have been grazed with sheep for 10 centuries. This originally was dominated by the large monastic foundations. English wool was highly sought after with its mass export creating much of the wealthy of this county as well as the mechanization of cloth production being the key pre-cursor of our industrial reveloution.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E26937"/>
    <w:multiLevelType w:val="hybridMultilevel"/>
    <w:tmpl w:val="3B9E80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196C51"/>
    <w:multiLevelType w:val="hybridMultilevel"/>
    <w:tmpl w:val="48EAB53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6B01FB4"/>
    <w:multiLevelType w:val="multilevel"/>
    <w:tmpl w:val="D9A8C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6A0A3D"/>
    <w:multiLevelType w:val="hybridMultilevel"/>
    <w:tmpl w:val="E4983E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74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BC2"/>
    <w:rPr>
      <w:rFonts w:eastAsiaTheme="majorEastAsia" w:cstheme="majorBidi"/>
      <w:color w:val="272727" w:themeColor="text1" w:themeTint="D8"/>
    </w:rPr>
  </w:style>
  <w:style w:type="paragraph" w:styleId="Title">
    <w:name w:val="Title"/>
    <w:basedOn w:val="Normal"/>
    <w:next w:val="Normal"/>
    <w:link w:val="TitleChar"/>
    <w:uiPriority w:val="10"/>
    <w:qFormat/>
    <w:rsid w:val="00674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BC2"/>
    <w:pPr>
      <w:spacing w:before="160"/>
      <w:jc w:val="center"/>
    </w:pPr>
    <w:rPr>
      <w:i/>
      <w:iCs/>
      <w:color w:val="404040" w:themeColor="text1" w:themeTint="BF"/>
    </w:rPr>
  </w:style>
  <w:style w:type="character" w:customStyle="1" w:styleId="QuoteChar">
    <w:name w:val="Quote Char"/>
    <w:basedOn w:val="DefaultParagraphFont"/>
    <w:link w:val="Quote"/>
    <w:uiPriority w:val="29"/>
    <w:rsid w:val="00674BC2"/>
    <w:rPr>
      <w:i/>
      <w:iCs/>
      <w:color w:val="404040" w:themeColor="text1" w:themeTint="BF"/>
    </w:rPr>
  </w:style>
  <w:style w:type="paragraph" w:styleId="ListParagraph">
    <w:name w:val="List Paragraph"/>
    <w:basedOn w:val="Normal"/>
    <w:uiPriority w:val="34"/>
    <w:qFormat/>
    <w:rsid w:val="00674BC2"/>
    <w:pPr>
      <w:ind w:left="720"/>
      <w:contextualSpacing/>
    </w:pPr>
  </w:style>
  <w:style w:type="character" w:styleId="IntenseEmphasis">
    <w:name w:val="Intense Emphasis"/>
    <w:basedOn w:val="DefaultParagraphFont"/>
    <w:uiPriority w:val="21"/>
    <w:qFormat/>
    <w:rsid w:val="00674BC2"/>
    <w:rPr>
      <w:i/>
      <w:iCs/>
      <w:color w:val="0F4761" w:themeColor="accent1" w:themeShade="BF"/>
    </w:rPr>
  </w:style>
  <w:style w:type="paragraph" w:styleId="IntenseQuote">
    <w:name w:val="Intense Quote"/>
    <w:basedOn w:val="Normal"/>
    <w:next w:val="Normal"/>
    <w:link w:val="IntenseQuoteChar"/>
    <w:uiPriority w:val="30"/>
    <w:qFormat/>
    <w:rsid w:val="00674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BC2"/>
    <w:rPr>
      <w:i/>
      <w:iCs/>
      <w:color w:val="0F4761" w:themeColor="accent1" w:themeShade="BF"/>
    </w:rPr>
  </w:style>
  <w:style w:type="character" w:styleId="IntenseReference">
    <w:name w:val="Intense Reference"/>
    <w:basedOn w:val="DefaultParagraphFont"/>
    <w:uiPriority w:val="32"/>
    <w:qFormat/>
    <w:rsid w:val="00674BC2"/>
    <w:rPr>
      <w:b/>
      <w:bCs/>
      <w:smallCaps/>
      <w:color w:val="0F4761" w:themeColor="accent1" w:themeShade="BF"/>
      <w:spacing w:val="5"/>
    </w:rPr>
  </w:style>
  <w:style w:type="paragraph" w:styleId="FootnoteText">
    <w:name w:val="footnote text"/>
    <w:basedOn w:val="Normal"/>
    <w:link w:val="FootnoteTextChar"/>
    <w:uiPriority w:val="99"/>
    <w:semiHidden/>
    <w:unhideWhenUsed/>
    <w:rsid w:val="00674B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4BC2"/>
    <w:rPr>
      <w:sz w:val="20"/>
      <w:szCs w:val="20"/>
    </w:rPr>
  </w:style>
  <w:style w:type="character" w:styleId="FootnoteReference">
    <w:name w:val="footnote reference"/>
    <w:basedOn w:val="DefaultParagraphFont"/>
    <w:uiPriority w:val="99"/>
    <w:semiHidden/>
    <w:unhideWhenUsed/>
    <w:rsid w:val="00674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D6F3-79EA-4C0B-B1DE-390AD4223FC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LUN0040</dc:title>
  <cp:revision>0</cp:revision>
</cp:coreProperties>
</file>