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4B1489">
      <w:pPr>
        <w:spacing w:after="80"/>
        <w:rPr>
          <w:b/>
          <w:bCs/>
          <w:color w:val="2E5A30"/>
        </w:rPr>
      </w:pPr>
    </w:p>
    <w:p w:rsidR="00000000" w:rsidRPr="004B1489" w:rsidP="004B1489">
      <w:pPr>
        <w:spacing w:after="80"/>
        <w:jc w:val="center"/>
      </w:pPr>
      <w:r w:rsidRPr="004B1489">
        <w:rPr>
          <w:b/>
          <w:bCs/>
          <w:noProof/>
          <w:color w:val="2E5A30"/>
        </w:rPr>
        <w:t xml:space="preserve">Written evidence submitted by the </w:t>
      </w:r>
      <w:r w:rsidRPr="004B1489">
        <w:rPr>
          <w:b/>
          <w:bCs/>
          <w:color w:val="2E5A30"/>
        </w:rPr>
        <w:t>Dartmoor Commoners’ Council</w:t>
      </w:r>
      <w:r w:rsidRPr="004B1489">
        <w:rPr>
          <w:b/>
          <w:bCs/>
          <w:color w:val="2E5A30"/>
        </w:rPr>
        <w:t xml:space="preserve"> (LUN0035)</w:t>
      </w:r>
    </w:p>
    <w:p w:rsidR="00000000" w:rsidP="005E061C">
      <w:pPr>
        <w:pBdr>
          <w:bottom w:val="single" w:sz="6" w:space="6" w:color="2E5A30"/>
        </w:pBdr>
        <w:spacing w:after="240"/>
      </w:pPr>
      <w:r>
        <w:rPr>
          <w:b/>
          <w:bCs/>
          <w:sz w:val="24"/>
          <w:szCs w:val="24"/>
        </w:rPr>
        <w:t xml:space="preserve">Written Evidence to the EFRA Committee Inquiry: </w:t>
      </w:r>
      <w:r>
        <w:rPr>
          <w:b/>
          <w:bCs/>
          <w:sz w:val="24"/>
          <w:szCs w:val="24"/>
        </w:rPr>
        <w:t>The future of England’s uplands</w:t>
      </w:r>
    </w:p>
    <w:p w:rsidR="00000000">
      <w:pPr>
        <w:pStyle w:val="Heading1"/>
      </w:pPr>
      <w:r>
        <w:t>Introduction</w:t>
      </w:r>
    </w:p>
    <w:p w:rsidR="00000000" w:rsidP="005E061C">
      <w:pPr>
        <w:spacing w:after="160" w:line="276" w:lineRule="auto"/>
        <w:jc w:val="both"/>
      </w:pPr>
      <w:r>
        <w:t>This evidence is submitted by the Dartmoor Commoners’ Council (DaCC), the statutory body established under the Dartmoor Commons Act 1985 to regulate and manage the Dartmoor Commons. Our remit is the good management of the commons themselves — their habitats, their condition, the rights of common exercised over them, and the public access they provide — in the wider public interest.</w:t>
      </w:r>
    </w:p>
    <w:p w:rsidR="00000000" w:rsidP="005E061C">
      <w:pPr>
        <w:spacing w:after="160" w:line="276" w:lineRule="auto"/>
        <w:jc w:val="both"/>
      </w:pPr>
      <w:r>
        <w:t>The Dartmoor Commons are an extensive area of registered common land within Dartmoor National Park, layered with national and international designations and carrying a statutory public right of access on foot and horseback under the 1985 Act. They are among the most heavily designated and most publicly valued landscapes in England. Sustaining them in good condition depends on active, well-managed commoning. Our evidence therefore focuses on what the commons need, and on the policy conditions required to keep them in favourable condition and accessible to the public.</w:t>
      </w:r>
    </w:p>
    <w:p w:rsidR="00000000" w:rsidP="005E061C">
      <w:pPr>
        <w:pStyle w:val="Heading2"/>
        <w:jc w:val="both"/>
      </w:pPr>
      <w:r>
        <w:t>Q1. How effectively do current policies balance competing demands in the uplands, including food production, nature recovery, climate mitigation, water management, and public access, and where do the key tensions remain?</w:t>
      </w:r>
    </w:p>
    <w:p w:rsidR="00000000" w:rsidP="005E061C">
      <w:pPr>
        <w:pStyle w:val="ListParagraph"/>
        <w:numPr>
          <w:ilvl w:val="0"/>
          <w:numId w:val="2"/>
        </w:numPr>
        <w:spacing w:after="120" w:line="276" w:lineRule="auto"/>
        <w:jc w:val="both"/>
      </w:pPr>
      <w:r>
        <w:t>The budget for the delivery of public goods is not adequate. With a significant number of environmental targets to meet — such as 30x30, peat restoration commitments, and bringing SSSIs into favourable condition — these outcomes may not be achievable across the commons under current budgetary constraints.</w:t>
      </w:r>
    </w:p>
    <w:p w:rsidR="00000000" w:rsidP="005E061C">
      <w:pPr>
        <w:pStyle w:val="ListParagraph"/>
        <w:numPr>
          <w:ilvl w:val="0"/>
          <w:numId w:val="2"/>
        </w:numPr>
        <w:spacing w:after="120" w:line="276" w:lineRule="auto"/>
        <w:jc w:val="both"/>
      </w:pPr>
      <w:r>
        <w:t>Robust monitoring of environmental schemes, at both the start and the end of agreements, is essential to understanding how the commons are changing. At present there is no consistent methodology for this, so valuable data on habitat performance and change across the commons is not captured. Consistent baseline and exit monitoring would provide a clearer understanding of how schemes have performed on the commons, and whether they have delivered the intended outcomes.</w:t>
      </w:r>
    </w:p>
    <w:p w:rsidR="00000000" w:rsidP="005E061C">
      <w:pPr>
        <w:pStyle w:val="ListParagraph"/>
        <w:numPr>
          <w:ilvl w:val="0"/>
          <w:numId w:val="2"/>
        </w:numPr>
        <w:spacing w:after="120" w:line="276" w:lineRule="auto"/>
        <w:jc w:val="both"/>
      </w:pPr>
      <w:r>
        <w:t>Water management and water quality: there are genuine tensions on the commons between effective vegetation management, livestock grazing, and water quality. Solutions must recognise the balance needed between these activities rather than simply restricting management practice.</w:t>
      </w:r>
    </w:p>
    <w:p w:rsidR="00000000" w:rsidP="005E061C">
      <w:pPr>
        <w:pStyle w:val="ListParagraph"/>
        <w:numPr>
          <w:ilvl w:val="0"/>
          <w:numId w:val="2"/>
        </w:numPr>
        <w:spacing w:after="120" w:line="276" w:lineRule="auto"/>
        <w:jc w:val="both"/>
      </w:pPr>
      <w:r>
        <w:t xml:space="preserve">There </w:t>
      </w:r>
      <w:r>
        <w:t>is a requirement for significant support for capital works funding to improve the delivery of public goods on the commons, including public access infrastructure and SSSI condition.</w:t>
      </w:r>
    </w:p>
    <w:p w:rsidR="00000000" w:rsidP="005E061C">
      <w:pPr>
        <w:pStyle w:val="ListParagraph"/>
        <w:numPr>
          <w:ilvl w:val="0"/>
          <w:numId w:val="2"/>
        </w:numPr>
        <w:spacing w:after="120" w:line="276" w:lineRule="auto"/>
        <w:jc w:val="both"/>
      </w:pPr>
      <w:r>
        <w:t>Climate mitigation and peat restoration: While the environmental benefits of restoring degraded peatlands are widely recognised, the Council does not endorse a one-size-fits-all approach to delivery. Peatland restoration must be undertaken in a manner that respects commoning rights, maintains viable grazing systems, and treats commoners as active partners in consultation, planning and decision-making.</w:t>
      </w:r>
    </w:p>
    <w:p w:rsidR="00000000" w:rsidP="005E061C">
      <w:pPr>
        <w:pStyle w:val="ListParagraph"/>
        <w:numPr>
          <w:ilvl w:val="0"/>
          <w:numId w:val="2"/>
        </w:numPr>
        <w:spacing w:after="120" w:line="276" w:lineRule="auto"/>
        <w:jc w:val="both"/>
      </w:pPr>
      <w:r>
        <w:t xml:space="preserve">Public access is a defining feature of the Dartmoor Commons, secured by the Dartmoor Commons Act 1985 and, in the case of wild camping, confirmed by the Supreme Court. Access and active management of the commons are interdependent: </w:t>
      </w:r>
      <w:r>
        <w:t>the open landscape the public values exists because the commons are grazed and managed. However, this access also imposes real and rising costs on those who own and manage the commons</w:t>
      </w:r>
      <w:r>
        <w:t xml:space="preserve">; path erosion, soil compaction, litter, disturbance to livestock and ground-nesting birds, and the repair and maintenance these pressures demand. At present these costs fall on landowners and commoners without any dedicated support, even though the access they bear is enjoyed by the wider public. Policy should therefore treat access not as a burden on the land but as a public good co-produced with its </w:t>
      </w:r>
      <w:r>
        <w:t>management and should provide direct financial support for the maintenance and visitor-management costs that public access creates on the commons.</w:t>
      </w:r>
    </w:p>
    <w:p w:rsidR="00000000" w:rsidP="005E061C">
      <w:pPr>
        <w:pStyle w:val="Heading2"/>
        <w:jc w:val="both"/>
      </w:pPr>
      <w:r>
        <w:t>Q2. What has been the impact of agricultural policy changes (including the transition away from direct payments) on upland farming businesses, and the impact of these changes on farming profitability?</w:t>
      </w:r>
    </w:p>
    <w:p w:rsidR="00000000" w:rsidP="005E061C">
      <w:pPr>
        <w:spacing w:after="160" w:line="276" w:lineRule="auto"/>
        <w:jc w:val="both"/>
      </w:pPr>
      <w:r>
        <w:t>The viability of the businesses that graze and manage the Dartmoor Commons is directly relevant to the condition of the commons themselves. Where those businesses fail, the commons lose the grazing and management on which their habitats and favourable condition depend.</w:t>
      </w:r>
    </w:p>
    <w:p w:rsidR="00000000" w:rsidP="005E061C">
      <w:pPr>
        <w:pStyle w:val="ListParagraph"/>
        <w:numPr>
          <w:ilvl w:val="0"/>
          <w:numId w:val="2"/>
        </w:numPr>
        <w:spacing w:after="120" w:line="276" w:lineRule="auto"/>
        <w:jc w:val="both"/>
      </w:pPr>
      <w:r>
        <w:t>The phasing-out of the Basic Payment Scheme has removed a predictable income stream before equivalent ELM funding has become reliably accessible to common land. This has left a funding gap for the businesses that manage the commons, compounded by the structural difficulty of entering schemes collectively over common land (see Q3). The result is reduced profitability and increased uncertainty at precisely the point when active commoning — and therefore the management of the commons — is most fragile.</w:t>
      </w:r>
    </w:p>
    <w:p w:rsidR="00000000" w:rsidP="005E061C">
      <w:pPr>
        <w:pStyle w:val="ListParagraph"/>
        <w:numPr>
          <w:ilvl w:val="0"/>
          <w:numId w:val="2"/>
        </w:numPr>
        <w:spacing w:after="120" w:line="276" w:lineRule="auto"/>
        <w:jc w:val="both"/>
      </w:pPr>
      <w:r>
        <w:t>There is a lack of certainty about the future and about entry to schemes, despite the existence of an agricultural transition policy and the publication of a Land Use Framework.</w:t>
      </w:r>
    </w:p>
    <w:p w:rsidR="00000000" w:rsidP="005E061C">
      <w:pPr>
        <w:pStyle w:val="ListParagraph"/>
        <w:numPr>
          <w:ilvl w:val="0"/>
          <w:numId w:val="2"/>
        </w:numPr>
        <w:spacing w:after="120" w:line="276" w:lineRule="auto"/>
        <w:jc w:val="both"/>
      </w:pPr>
      <w:r>
        <w:t>Concerns have been raised about the cost of peat restoration works on the commons: whether these costs are sustainable, and whether the works will deliver the necessary changes.</w:t>
      </w:r>
    </w:p>
    <w:p w:rsidR="00000000" w:rsidP="005E061C">
      <w:pPr>
        <w:pStyle w:val="Heading2"/>
        <w:jc w:val="both"/>
      </w:pPr>
      <w:r>
        <w:t>Q3. To what extent do the current Environmental Land Management (ELM) schemes and other support like the Farming in Protected Landscapes (FiPL) schemes support financially and environmentally sustainable land management in the uplands?</w:t>
      </w:r>
    </w:p>
    <w:p w:rsidR="00000000" w:rsidP="005E061C">
      <w:pPr>
        <w:spacing w:after="160" w:line="276" w:lineRule="auto"/>
        <w:jc w:val="both"/>
      </w:pPr>
      <w:r>
        <w:t>Environmental schemes can be highly beneficial in improving the condition of the commons and sustaining the communities associated with them. However, current schemes are not readily open to common land, which is a serious concern. All commons should have the ability to enter environmental schemes that benefit both the land and those who manage it.</w:t>
      </w:r>
    </w:p>
    <w:p w:rsidR="00000000" w:rsidP="005E061C">
      <w:pPr>
        <w:spacing w:after="160" w:line="276" w:lineRule="auto"/>
        <w:jc w:val="both"/>
      </w:pPr>
      <w:r>
        <w:t>The principal barrier is structural: ELM agreements are difficult to deliver across common land because they require the simultaneous agreement of multiple commoners and the landowner. A scheme design that recognises common-land governance — and bodies such as the Dartmoor Commoners’ Council as facilitating partners — would unlock participation across the commons that is currently blocked by administrative design rather than by any lack of willingness.</w:t>
      </w:r>
    </w:p>
    <w:p w:rsidR="00000000" w:rsidP="005E061C">
      <w:pPr>
        <w:spacing w:after="160" w:line="276" w:lineRule="auto"/>
        <w:jc w:val="both"/>
      </w:pPr>
      <w:r>
        <w:t xml:space="preserve">It would also be beneficial if schemes could take into account not only different soil </w:t>
      </w:r>
      <w:r>
        <w:t>types, but the varied habitats and regional differences found across England’s commons, rather than applying a uniform approach.</w:t>
      </w:r>
    </w:p>
    <w:p w:rsidR="00000000" w:rsidP="005E061C">
      <w:pPr>
        <w:spacing w:after="160" w:line="276" w:lineRule="auto"/>
        <w:jc w:val="both"/>
      </w:pPr>
      <w:r>
        <w:t>There should be opportunities to build better relationships between the various organisations involved with and linked to the Dartmoor Commons. These complex landscapes require a genuinely joined-up approach, and the Dartmoor Commoners’ Council would be well placed to act as an active partner in this work.</w:t>
      </w:r>
    </w:p>
    <w:p w:rsidR="00000000" w:rsidP="005E061C">
      <w:pPr>
        <w:pStyle w:val="Heading2"/>
        <w:jc w:val="both"/>
      </w:pPr>
      <w:r>
        <w:t>Q4. How do legal protections for upland areas (including designation as a National Park or Area of Outstanding Natural Beauty / Protected Landscape, and designations such as Site of Special Scientific Interest, or Special Area of Conservation) impact decision-making, land management, and outcomes?</w:t>
      </w:r>
    </w:p>
    <w:p w:rsidR="00000000" w:rsidP="005E061C">
      <w:pPr>
        <w:spacing w:after="160" w:line="276" w:lineRule="auto"/>
        <w:jc w:val="both"/>
      </w:pPr>
      <w:r>
        <w:t>The Dartmoor Commons sit beneath an unusually dense set of overlapping protections</w:t>
      </w:r>
      <w:r>
        <w:t>; National Park status, SSSI and SAC designations, scheduled monuments and an exceptionally rich archaeological and historic landscape, and the statutory framework of the Dartmoor Commons Act 1985</w:t>
      </w:r>
      <w:r>
        <w:t>; alongside the rights of common exercised over them. Each of these designations carries its own objectives, its own consenting regime, and its own responsible body, and the management each requires is not the same. What is good for one designation is not automatically good for another, and the regimes frequently pull in different directions.</w:t>
      </w:r>
    </w:p>
    <w:p w:rsidR="00000000" w:rsidP="005E061C">
      <w:pPr>
        <w:spacing w:after="160" w:line="276" w:lineRule="auto"/>
        <w:jc w:val="both"/>
      </w:pPr>
      <w:r>
        <w:t>These conflicts are real and routine on the commons. Habitat condition targets under SSSI and SAC designations may call for particular grazing levels, vegetation management, or scrub control, while the protection of scheduled monuments and buried archaeology may require precisely the opposite</w:t>
      </w:r>
      <w:r>
        <w:t>; restricting grazing, stock movement, or ground-disturbing works in the same locations. Vegetation management that benefits a habitat can damage an archaeological feature; management that protects a monument can work against the favourable condition of the surrounding habitat. Those who manage the commons are left to navigate these competing requirements with little guidance and no single point at which the designations are weighed against one another, and decision-making is fragmented across Natural England, Historic England, the National Park Authority, landowners, and commoners.</w:t>
      </w:r>
    </w:p>
    <w:p w:rsidR="00000000" w:rsidP="005E061C">
      <w:pPr>
        <w:spacing w:after="160" w:line="276" w:lineRule="auto"/>
        <w:jc w:val="both"/>
      </w:pPr>
      <w:r>
        <w:t>The effect is that the management of the commons must answer to multiple, sometimes directly conflicting, requirements, without any single body bringing them together or resolving the conflicts between them. Designations should be accompanied by a clear duty on the responsible bodies to align their requirements and to provide a means of weighing one designation against another where they conflict on the same ground, so that those managing the commons are not left to resolve these tensions alone. This should go hand in hand with recognition that favourable condition on the commons depends on, rather than competes with, active commoning. As the statutory body for the Dartmoor Commons, the Dartmoor Commoners’ Council is well placed to act as an active partner in bringing these interests together.</w:t>
      </w:r>
    </w:p>
    <w:p w:rsidR="00000000" w:rsidP="005E061C">
      <w:pPr>
        <w:pStyle w:val="Heading2"/>
        <w:jc w:val="both"/>
      </w:pPr>
      <w:r>
        <w:t>Q5. What improvements are needed in land use data, mapping, and modelling to support effective decision-making in the uplands? What training or other skill development options are needed to support this?</w:t>
      </w:r>
    </w:p>
    <w:p w:rsidR="00000000" w:rsidP="005E061C">
      <w:pPr>
        <w:spacing w:after="160" w:line="276" w:lineRule="auto"/>
        <w:jc w:val="both"/>
      </w:pPr>
      <w:r>
        <w:t>Up-to-date, interactive habitat mapping would be a valuable tool for ensuring the commons are kept in good condition — a core function of the Dartmoor Commoners’ Council. The ability to discuss habitat condition openly with the local commoners’ associations and the relevant governing bodies would support better management of the commons.</w:t>
      </w:r>
    </w:p>
    <w:p w:rsidR="00000000" w:rsidP="005E061C">
      <w:pPr>
        <w:spacing w:after="160" w:line="276" w:lineRule="auto"/>
        <w:jc w:val="both"/>
      </w:pPr>
      <w:r>
        <w:t>SSSI assessment of the commons could be improved by providing data on a common-by-common basis, rather than by the vegetation-type method currently used, which does not map cleanly onto how the commons are actually managed.</w:t>
      </w:r>
    </w:p>
    <w:p w:rsidR="00000000" w:rsidP="005E061C">
      <w:pPr>
        <w:spacing w:after="160" w:line="276" w:lineRule="auto"/>
        <w:jc w:val="both"/>
      </w:pPr>
      <w:r>
        <w:t>Local Nature Recovery Strategy maps need to be dynamic, reflecting change on the ground and the ground-truthing of data. The accuracy of the England Peat Map is a particular concern for the commons and needs to be ground-truthed.</w:t>
      </w:r>
    </w:p>
    <w:p w:rsidR="00000000" w:rsidP="005E061C">
      <w:pPr>
        <w:spacing w:after="160" w:line="276" w:lineRule="auto"/>
        <w:jc w:val="both"/>
      </w:pPr>
      <w:r>
        <w:t>Skills support is also needed: commoners’ associations and those managing the commons would benefit from training in interpreting habitat and condition data, so that mapping tools genuinely inform local management of the commons rather than sitting solely with external bodies.</w:t>
      </w:r>
    </w:p>
    <w:p w:rsidR="00000000" w:rsidP="005E061C">
      <w:pPr>
        <w:pStyle w:val="Heading2"/>
        <w:jc w:val="both"/>
      </w:pPr>
      <w:r>
        <w:t>Q6. How might land use and business changes in the uplands impact rural communities?</w:t>
      </w:r>
    </w:p>
    <w:p w:rsidR="00000000" w:rsidP="005E061C">
      <w:pPr>
        <w:spacing w:after="160" w:line="276" w:lineRule="auto"/>
        <w:jc w:val="both"/>
      </w:pPr>
      <w:r>
        <w:t>Policy changes may significantly affect the rural communities tied to the commons, yet there are no established methods for monitoring the resulting changes to the businesses that manage them. The uplands were recognised as Areas of Natural Constraint; while they remain so in reality, they are no longer formally identified as such. The vulnerability of these areas is widely recognised yet poorly supported.</w:t>
      </w:r>
    </w:p>
    <w:p w:rsidR="00000000" w:rsidP="005E061C">
      <w:pPr>
        <w:spacing w:after="160" w:line="276" w:lineRule="auto"/>
        <w:jc w:val="both"/>
      </w:pPr>
      <w:r>
        <w:t>The Dartmoor Commoners’ Council recognises that the commons depend on the network of commoners who hold rights over them</w:t>
      </w:r>
      <w:r>
        <w:t xml:space="preserve"> and the land owners of the commons </w:t>
      </w:r>
      <w:r>
        <w:t>to manage them. Without that network, we risk losing what we value most: the landscape, the heritage, and the public benefits the commons provide.</w:t>
      </w:r>
    </w:p>
    <w:p w:rsidR="00000000" w:rsidP="005E061C">
      <w:pPr>
        <w:spacing w:after="160" w:line="276" w:lineRule="auto"/>
        <w:jc w:val="both"/>
      </w:pPr>
      <w:r>
        <w:t>The Council is currently reviewing its working methodology and assessing the numbers of grazing livestock and of actively grazing commoners across the commons. This data will be key going forward, as anecdotally there has been a decline in both. Maintaining viable numbers of each is essential to keeping the commons in favourable condition, and the ability to monitor that change is critical.</w:t>
      </w:r>
    </w:p>
    <w:p w:rsidR="00000000" w:rsidP="005E061C">
      <w:pPr>
        <w:pStyle w:val="Heading2"/>
        <w:jc w:val="both"/>
      </w:pPr>
      <w:r>
        <w:t>Q7. How can government policy ensure that rural communities in upland areas benefit from changes?</w:t>
      </w:r>
    </w:p>
    <w:p w:rsidR="00000000" w:rsidP="005E061C">
      <w:pPr>
        <w:spacing w:after="160" w:line="276" w:lineRule="auto"/>
        <w:jc w:val="both"/>
      </w:pPr>
      <w:r>
        <w:t>As noted above, we are assessing the numbers of both graziers and grazing livestock across the commons, and these figures are critical — the recent attention given to the risk facing Dartmoor’s ponies illustrates the public’s concern about any decline in the grazing that shapes the commons. The ability to monitor change is essential; more crucial still is the ability of government to respond to it — to implement support where necessary, to identify issues, and to act in a timely manner. In short: to listen.</w:t>
      </w:r>
    </w:p>
    <w:p w:rsidR="00000000" w:rsidP="005E061C">
      <w:pPr>
        <w:spacing w:after="160" w:line="276" w:lineRule="auto"/>
        <w:jc w:val="both"/>
      </w:pPr>
      <w:r>
        <w:t>To ensure that the communities and the commons benefit from change, we would ask government to:</w:t>
      </w:r>
    </w:p>
    <w:p w:rsidR="00000000" w:rsidP="005E061C">
      <w:pPr>
        <w:pStyle w:val="ListParagraph"/>
        <w:numPr>
          <w:ilvl w:val="0"/>
          <w:numId w:val="2"/>
        </w:numPr>
        <w:spacing w:after="120" w:line="276" w:lineRule="auto"/>
        <w:jc w:val="both"/>
      </w:pPr>
      <w:r>
        <w:t>Reinstate meaningful recognition and funding for Areas of Natural Constraint, so that the structural disadvantage of managing upland commons is properly reflected in support.</w:t>
      </w:r>
    </w:p>
    <w:p w:rsidR="00000000" w:rsidP="005E061C">
      <w:pPr>
        <w:pStyle w:val="ListParagraph"/>
        <w:numPr>
          <w:ilvl w:val="0"/>
          <w:numId w:val="2"/>
        </w:numPr>
        <w:spacing w:after="120" w:line="276" w:lineRule="auto"/>
        <w:jc w:val="both"/>
      </w:pPr>
      <w:r>
        <w:t>Provide a commons-specific route into ELM that recognises common-land governance and the practical reality of securing multi-party agreement, with bodies such as the DaCC supported as facilitating partners.</w:t>
      </w:r>
    </w:p>
    <w:p w:rsidR="00000000" w:rsidP="005E061C">
      <w:pPr>
        <w:pStyle w:val="ListParagraph"/>
        <w:numPr>
          <w:ilvl w:val="0"/>
          <w:numId w:val="2"/>
        </w:numPr>
        <w:spacing w:after="120" w:line="276" w:lineRule="auto"/>
        <w:jc w:val="both"/>
      </w:pPr>
      <w:r>
        <w:t>Fund consistent, comparable monitoring of habitat condition and of grazing levels on a common-by-common basis, so that change can be detected and acted on early.</w:t>
      </w:r>
    </w:p>
    <w:p w:rsidR="00000000" w:rsidP="005E061C">
      <w:pPr>
        <w:pStyle w:val="ListParagraph"/>
        <w:numPr>
          <w:ilvl w:val="0"/>
          <w:numId w:val="2"/>
        </w:numPr>
        <w:spacing w:after="120" w:line="276" w:lineRule="auto"/>
        <w:jc w:val="both"/>
      </w:pPr>
      <w:r>
        <w:t>Provide dedicated financial support for the costs that public access imposes on the commons</w:t>
      </w:r>
      <w:r>
        <w:t>; including path and erosion repair, addressing soil compaction, litter management, and wider visitor-management measures</w:t>
      </w:r>
      <w:r>
        <w:t>; so that those who own and manage the commons are not left to bear, unsupported, the costs of access enjoyed by the wider public.</w:t>
      </w:r>
    </w:p>
    <w:p w:rsidR="00000000" w:rsidP="005E061C">
      <w:pPr>
        <w:pStyle w:val="ListParagraph"/>
        <w:numPr>
          <w:ilvl w:val="0"/>
          <w:numId w:val="2"/>
        </w:numPr>
        <w:spacing w:after="120" w:line="276" w:lineRule="auto"/>
        <w:jc w:val="both"/>
      </w:pPr>
      <w:r>
        <w:t>Consult statutory bodies such as the Dartmoor Commoners’ Council before policy changes affecting common land are finalised, so that measures are workable on the ground.</w:t>
      </w:r>
    </w:p>
    <w:p w:rsidR="00000000" w:rsidP="005E061C">
      <w:pPr>
        <w:spacing w:after="160" w:line="276" w:lineRule="auto"/>
        <w:jc w:val="both"/>
        <w:rPr>
          <w:i/>
          <w:iCs/>
        </w:rPr>
      </w:pPr>
      <w:r>
        <w:rPr>
          <w:i/>
          <w:iCs/>
        </w:rPr>
        <w:t>The Dartmoor Commoners’ Council would welcome the opportunity to provide further evidence to the Committee.</w:t>
      </w:r>
    </w:p>
    <w:p w:rsidR="00000000" w:rsidP="005E061C"/>
    <w:p w:rsidR="00000000" w:rsidRPr="005E061C" w:rsidP="005E061C">
      <w:pPr>
        <w:rPr>
          <w:i/>
          <w:iCs/>
        </w:rPr>
      </w:pPr>
      <w:r w:rsidRPr="005E061C">
        <w:rPr>
          <w:i/>
          <w:iCs/>
        </w:rPr>
        <w:t>The Dartmoor Commoners’ Council is a statutory body established under the Dartmoor Commons Act 1985. Our Council’s members are from the farming community on Dartmoor and are elected by the commoners who have common rights on Dartmoor.</w:t>
      </w:r>
    </w:p>
    <w:p w:rsidR="00000000" w:rsidRPr="005E061C" w:rsidP="005E061C">
      <w:pPr>
        <w:rPr>
          <w:i/>
          <w:iCs/>
        </w:rPr>
      </w:pPr>
      <w:r w:rsidRPr="005E061C">
        <w:rPr>
          <w:i/>
          <w:iCs/>
        </w:rPr>
        <w:t xml:space="preserve">The Dartmoor Commoners’ Council was constituted primarily to maintain and promote the proper standards of livestock husbandry and management of the commons. Council has taken an active role in seeking to secure regulations and best practice that are efficient in their objectives whilst enabling the grazing of livestock within the Dartmoor National Park.  </w:t>
      </w:r>
    </w:p>
    <w:p w:rsidR="00000000" w:rsidRPr="005E061C" w:rsidP="005E061C">
      <w:pPr>
        <w:rPr>
          <w:i/>
          <w:iCs/>
        </w:rPr>
      </w:pPr>
    </w:p>
    <w:p w:rsidR="00000000" w:rsidP="005E061C">
      <w:pPr>
        <w:spacing w:after="160" w:line="276" w:lineRule="auto"/>
        <w:jc w:val="both"/>
      </w:pPr>
      <w:r>
        <w:t>June 2026</w:t>
      </w:r>
    </w:p>
    <w:sectPr w:rsidSect="005951A2">
      <w:pgSz w:w="11906" w:h="16838"/>
      <w:pgMar w:top="568"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5A54AB9"/>
    <w:multiLevelType w:val="hybridMultilevel"/>
    <w:tmpl w:val="E118E462"/>
    <w:lvl w:ilvl="0">
      <w:start w:val="1"/>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5C237F2C"/>
    <w:multiLevelType w:val="hybridMultilevel"/>
    <w:tmpl w:val="FE000F36"/>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uiPriority w:val="9"/>
    <w:qFormat/>
    <w:pPr>
      <w:spacing w:before="280" w:after="160"/>
      <w:outlineLvl w:val="0"/>
    </w:pPr>
    <w:rPr>
      <w:b/>
      <w:bCs/>
      <w:color w:val="2E5A30"/>
      <w:sz w:val="26"/>
      <w:szCs w:val="26"/>
    </w:rPr>
  </w:style>
  <w:style w:type="paragraph" w:styleId="Heading2">
    <w:name w:val="heading 2"/>
    <w:uiPriority w:val="9"/>
    <w:unhideWhenUsed/>
    <w:qFormat/>
    <w:pPr>
      <w:spacing w:before="260" w:after="120"/>
      <w:outlineLvl w:val="1"/>
    </w:pPr>
    <w:rPr>
      <w:b/>
      <w:bCs/>
      <w:color w:val="1F1F1F"/>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LUN0035</dc:title>
  <cp:revision>0</cp:revision>
</cp:coreProperties>
</file>