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1605B3" w:rsidP="001605B3">
      <w:pPr>
        <w:jc w:val="center"/>
        <w:rPr>
          <w:rFonts w:ascii="Arial" w:hAnsi="Arial" w:cs="Arial"/>
          <w:b/>
          <w:bCs/>
          <w:sz w:val="22"/>
          <w:szCs w:val="22"/>
        </w:rPr>
      </w:pPr>
      <w:r w:rsidRPr="001605B3">
        <w:rPr>
          <w:rFonts w:ascii="Arial" w:hAnsi="Arial" w:cs="Arial"/>
          <w:b/>
          <w:bCs/>
          <w:sz w:val="22"/>
          <w:szCs w:val="22"/>
        </w:rPr>
        <w:t>Written evidence submitted by the NFU (LUN0034)</w:t>
      </w:r>
    </w:p>
    <w:p w:rsidR="00000000" w:rsidRPr="000D2040" w:rsidP="6A7E27E5">
      <w:pPr>
        <w:rPr>
          <w:rFonts w:ascii="Arial" w:hAnsi="Arial" w:cs="Arial"/>
          <w:sz w:val="20"/>
          <w:szCs w:val="20"/>
        </w:rPr>
      </w:pPr>
    </w:p>
    <w:p w:rsidR="00000000" w:rsidP="003773E5">
      <w:pPr>
        <w:spacing w:line="259" w:lineRule="auto"/>
        <w:rPr>
          <w:rFonts w:ascii="Arial" w:hAnsi="Arial" w:cs="Arial"/>
          <w:color w:val="016938"/>
          <w:sz w:val="32"/>
          <w:szCs w:val="32"/>
        </w:rPr>
      </w:pPr>
      <w:r w:rsidRPr="00E327C2">
        <w:rPr>
          <w:rFonts w:ascii="Arial" w:hAnsi="Arial" w:cs="Arial"/>
          <w:color w:val="016938"/>
          <w:sz w:val="32"/>
          <w:szCs w:val="32"/>
        </w:rPr>
        <w:t>NFU response to the EFRA Committee Call for Evidence on Uplands</w:t>
      </w:r>
    </w:p>
    <w:p w:rsidR="00000000" w:rsidP="00481C9F">
      <w:pPr>
        <w:rPr>
          <w:rFonts w:ascii="Arial" w:hAnsi="Arial" w:cs="Arial"/>
          <w:sz w:val="22"/>
          <w:szCs w:val="22"/>
        </w:rPr>
      </w:pPr>
    </w:p>
    <w:p w:rsidR="00000000" w:rsidP="00A97FBA">
      <w:pPr>
        <w:spacing w:line="276" w:lineRule="auto"/>
        <w:rPr>
          <w:rFonts w:ascii="Arial" w:hAnsi="Arial" w:cs="Arial"/>
          <w:sz w:val="22"/>
          <w:szCs w:val="22"/>
        </w:rPr>
      </w:pPr>
      <w:r w:rsidRPr="00E327C2">
        <w:rPr>
          <w:rFonts w:ascii="Arial" w:hAnsi="Arial" w:cs="Arial"/>
          <w:sz w:val="22"/>
          <w:szCs w:val="22"/>
        </w:rPr>
        <w:t xml:space="preserve">The NFU represents 43,000 farmer and grower businesses across England and Wales. Upland farmers are the stewards of iconic, cherished and environmentally significant landscapes. They sustain the UK’s stratified </w:t>
      </w:r>
      <w:r>
        <w:rPr>
          <w:rFonts w:ascii="Arial" w:hAnsi="Arial" w:cs="Arial"/>
          <w:sz w:val="22"/>
          <w:szCs w:val="22"/>
        </w:rPr>
        <w:t>livestock sector</w:t>
      </w:r>
      <w:r w:rsidRPr="00E327C2">
        <w:rPr>
          <w:rFonts w:ascii="Arial" w:hAnsi="Arial" w:cs="Arial"/>
          <w:sz w:val="22"/>
          <w:szCs w:val="22"/>
        </w:rPr>
        <w:t>, have immense potential to drive growth in remote rural areas, safeguard food security and support the government’s environmental and climate goals through multi-functional land use.</w:t>
      </w:r>
    </w:p>
    <w:p w:rsidR="00000000" w:rsidRPr="00E327C2" w:rsidP="00A97FBA">
      <w:pPr>
        <w:spacing w:line="276" w:lineRule="auto"/>
        <w:rPr>
          <w:rFonts w:ascii="Arial" w:hAnsi="Arial" w:cs="Arial"/>
          <w:sz w:val="22"/>
          <w:szCs w:val="22"/>
        </w:rPr>
      </w:pPr>
    </w:p>
    <w:p w:rsidR="00000000" w:rsidRPr="00E327C2" w:rsidP="00A97FBA">
      <w:pPr>
        <w:spacing w:line="276" w:lineRule="auto"/>
        <w:rPr>
          <w:rFonts w:ascii="Arial" w:hAnsi="Arial" w:cs="Arial"/>
          <w:b/>
          <w:bCs/>
          <w:sz w:val="22"/>
          <w:szCs w:val="22"/>
        </w:rPr>
      </w:pPr>
      <w:r w:rsidRPr="00E327C2">
        <w:rPr>
          <w:rFonts w:ascii="Arial" w:hAnsi="Arial" w:cs="Arial"/>
          <w:b/>
          <w:bCs/>
          <w:sz w:val="22"/>
          <w:szCs w:val="22"/>
        </w:rPr>
        <w:t>Executive Summary</w:t>
      </w:r>
    </w:p>
    <w:p w:rsidR="00000000" w:rsidRPr="00E327C2" w:rsidP="00A97FBA">
      <w:pPr>
        <w:numPr>
          <w:ilvl w:val="0"/>
          <w:numId w:val="7"/>
        </w:numPr>
        <w:tabs>
          <w:tab w:val="num" w:pos="720"/>
        </w:tabs>
        <w:spacing w:line="276" w:lineRule="auto"/>
        <w:rPr>
          <w:rFonts w:ascii="Arial" w:hAnsi="Arial" w:cs="Arial"/>
          <w:sz w:val="22"/>
          <w:szCs w:val="22"/>
        </w:rPr>
      </w:pPr>
      <w:r w:rsidRPr="00E327C2">
        <w:rPr>
          <w:rFonts w:ascii="Arial" w:hAnsi="Arial" w:cs="Arial"/>
          <w:sz w:val="22"/>
          <w:szCs w:val="22"/>
        </w:rPr>
        <w:t>There must be a clear, joined-up strategy to deliver a collaborative approach to multi-functional land use in the uplands, with thriving farm businesses at its heart.</w:t>
      </w:r>
    </w:p>
    <w:p w:rsidR="00000000" w:rsidRPr="00E327C2" w:rsidP="00A97FBA">
      <w:pPr>
        <w:numPr>
          <w:ilvl w:val="0"/>
          <w:numId w:val="7"/>
        </w:numPr>
        <w:tabs>
          <w:tab w:val="num" w:pos="720"/>
        </w:tabs>
        <w:spacing w:line="276" w:lineRule="auto"/>
        <w:rPr>
          <w:rFonts w:ascii="Arial" w:hAnsi="Arial" w:cs="Arial"/>
          <w:sz w:val="22"/>
          <w:szCs w:val="22"/>
        </w:rPr>
      </w:pPr>
      <w:r w:rsidRPr="00E327C2">
        <w:rPr>
          <w:rFonts w:ascii="Arial" w:hAnsi="Arial" w:cs="Arial"/>
          <w:sz w:val="22"/>
          <w:szCs w:val="22"/>
        </w:rPr>
        <w:t>The agricultural transition has failed to deliver for upland farm businesses and rural communities. Government must ensure there is a fair, accessible and adequately funded ELMs offering for the uplands. This must include significant improvements to the delivery of Countryside Stewardship Higher Tier (CSHT), and access to ELMs for graziers of common land.</w:t>
      </w:r>
    </w:p>
    <w:p w:rsidR="00000000" w:rsidRPr="00E327C2" w:rsidP="00A97FBA">
      <w:pPr>
        <w:numPr>
          <w:ilvl w:val="0"/>
          <w:numId w:val="7"/>
        </w:numPr>
        <w:tabs>
          <w:tab w:val="num" w:pos="720"/>
        </w:tabs>
        <w:spacing w:line="276" w:lineRule="auto"/>
        <w:rPr>
          <w:rFonts w:ascii="Arial" w:hAnsi="Arial" w:cs="Arial"/>
          <w:sz w:val="22"/>
          <w:szCs w:val="22"/>
        </w:rPr>
      </w:pPr>
      <w:r w:rsidRPr="00E327C2">
        <w:rPr>
          <w:rFonts w:ascii="Arial" w:hAnsi="Arial" w:cs="Arial"/>
          <w:sz w:val="22"/>
          <w:szCs w:val="22"/>
        </w:rPr>
        <w:t>The uplands’ role in UK livestock production must be safeguarded as part of a resilient food system. Government must deliver a long-term plan for farming and food production which recognises the value of the uplands’ stratified livestock sector to both domestic production and export markets.</w:t>
      </w:r>
    </w:p>
    <w:p w:rsidR="00000000" w:rsidRPr="00E327C2" w:rsidP="00A97FBA">
      <w:pPr>
        <w:numPr>
          <w:ilvl w:val="0"/>
          <w:numId w:val="7"/>
        </w:numPr>
        <w:tabs>
          <w:tab w:val="num" w:pos="720"/>
        </w:tabs>
        <w:spacing w:line="276" w:lineRule="auto"/>
        <w:rPr>
          <w:rFonts w:ascii="Arial" w:hAnsi="Arial" w:cs="Arial"/>
          <w:sz w:val="22"/>
          <w:szCs w:val="22"/>
        </w:rPr>
      </w:pPr>
      <w:r w:rsidRPr="00E327C2">
        <w:rPr>
          <w:rFonts w:ascii="Arial" w:hAnsi="Arial" w:cs="Arial"/>
          <w:sz w:val="22"/>
          <w:szCs w:val="22"/>
        </w:rPr>
        <w:t>Environmental delivery must sit alongside profitable farm businesses that support critical food system infrastructure and form the backbone of rural communities. The statutory purposes of Natural England (NE) and the Environment Agency (EA) should be amended to include sustainable economic growth and food production, making these considerations more integral to their decision making.</w:t>
      </w:r>
    </w:p>
    <w:p w:rsidR="00000000" w:rsidP="00A97FBA">
      <w:pPr>
        <w:numPr>
          <w:ilvl w:val="0"/>
          <w:numId w:val="7"/>
        </w:numPr>
        <w:tabs>
          <w:tab w:val="num" w:pos="720"/>
        </w:tabs>
        <w:spacing w:line="276" w:lineRule="auto"/>
        <w:rPr>
          <w:rFonts w:ascii="Arial" w:hAnsi="Arial" w:cs="Arial"/>
          <w:sz w:val="22"/>
          <w:szCs w:val="22"/>
        </w:rPr>
      </w:pPr>
      <w:r w:rsidRPr="00E327C2">
        <w:rPr>
          <w:rFonts w:ascii="Arial" w:hAnsi="Arial" w:cs="Arial"/>
          <w:sz w:val="22"/>
          <w:szCs w:val="22"/>
        </w:rPr>
        <w:t>Local collaboration between farmers and ALBs (arm’s length bodies) should be facilitated through sustained relationships and improvements to the evidence base used by Defra and NE to shape decisions. This should include an independent review of evidence at the institutional level, as well as improved communication and co-operation with farmers at a local level. Empowering farmers to collect data, ground truth maps and inform land management decisions would build shared understanding on how best to deliver environmental outcomes.</w:t>
      </w:r>
    </w:p>
    <w:p w:rsidR="00000000" w:rsidRPr="00E327C2" w:rsidP="00A97FBA">
      <w:pPr>
        <w:spacing w:line="276" w:lineRule="auto"/>
        <w:ind w:left="720"/>
        <w:rPr>
          <w:rFonts w:ascii="Arial" w:hAnsi="Arial" w:cs="Arial"/>
          <w:sz w:val="22"/>
          <w:szCs w:val="22"/>
        </w:rPr>
      </w:pPr>
    </w:p>
    <w:p w:rsidR="00000000" w:rsidRPr="00E327C2" w:rsidP="00A97FBA">
      <w:pPr>
        <w:spacing w:line="276" w:lineRule="auto"/>
        <w:rPr>
          <w:rFonts w:ascii="Arial" w:hAnsi="Arial" w:cs="Arial"/>
          <w:b/>
          <w:bCs/>
          <w:sz w:val="22"/>
          <w:szCs w:val="22"/>
        </w:rPr>
      </w:pPr>
      <w:r w:rsidRPr="00E327C2">
        <w:rPr>
          <w:rFonts w:ascii="Arial" w:hAnsi="Arial" w:cs="Arial"/>
          <w:b/>
          <w:bCs/>
          <w:sz w:val="22"/>
          <w:szCs w:val="22"/>
        </w:rPr>
        <w:t>Question 1. How effectively do current policies balance competing demands in the uplands, including food production, nature recovery, climate mitigation, water management, and public access, and where do the key tensions remain?</w:t>
      </w:r>
    </w:p>
    <w:p w:rsidR="00000000" w:rsidP="00A97FBA">
      <w:pPr>
        <w:spacing w:line="276" w:lineRule="auto"/>
        <w:ind w:left="720"/>
        <w:rPr>
          <w:rFonts w:ascii="Arial" w:hAnsi="Arial" w:cs="Arial"/>
          <w:sz w:val="22"/>
          <w:szCs w:val="22"/>
        </w:rPr>
      </w:pP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Current policies and institutional structures fail to balance competing demands on land use in the uplands. Demands for environmental public goods such as nature, climate mitigation and water management are given institutional weight through regulation backed by the structure of Defra’s arm’s length bodies (ALBs) and their legal rights and obligations. These ALBs are given immense power over land use in the uplands, often experienced by farm businesses as increased restriction, regulation, and criticism of management practices.</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 xml:space="preserve">The way in which environmental demands are made, combined with the failure to protect livestock production and farm business viability within this institutional and legal structure, is the source of much tension between upland farmers and ALBs, particularly NE. </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 xml:space="preserve">At a time of increasing global instability, UK food security and the resilience of our food systems must be accorded greater value and priority in government policy frameworks. The uplands play </w:t>
      </w:r>
      <w:r w:rsidRPr="00E327C2">
        <w:rPr>
          <w:rFonts w:ascii="Arial" w:hAnsi="Arial" w:cs="Arial"/>
          <w:sz w:val="22"/>
          <w:szCs w:val="22"/>
        </w:rPr>
        <w:t>a vital role in safeguarding UK food security through their role as a breeding base in the UK’s stratified livestock sector. Currently, around 40% of England’s breeding ewes and 27% of beef breeding cows are based in upland areas and their fringes.</w:t>
      </w:r>
      <w:r>
        <w:rPr>
          <w:rFonts w:ascii="Arial" w:hAnsi="Arial" w:cs="Arial"/>
          <w:sz w:val="22"/>
          <w:szCs w:val="22"/>
          <w:vertAlign w:val="superscript"/>
        </w:rPr>
        <w:footnoteReference w:id="2"/>
      </w:r>
      <w:r w:rsidRPr="00E327C2">
        <w:rPr>
          <w:rFonts w:ascii="Arial" w:hAnsi="Arial" w:cs="Arial"/>
          <w:sz w:val="22"/>
          <w:szCs w:val="22"/>
        </w:rPr>
        <w:t xml:space="preserve"> These animals produce offspring that are sold to lowland farms, where they are finished on richer pastures, supplying the market with premium beef and lamb. Without the breeding base provided by the uplands, the UK’s livestock sector, worth an estimated £5.9 billion</w:t>
      </w:r>
      <w:r>
        <w:rPr>
          <w:rFonts w:ascii="Arial" w:hAnsi="Arial" w:cs="Arial"/>
          <w:sz w:val="22"/>
          <w:szCs w:val="22"/>
          <w:vertAlign w:val="superscript"/>
        </w:rPr>
        <w:footnoteReference w:id="3"/>
      </w:r>
      <w:r w:rsidRPr="00E327C2">
        <w:rPr>
          <w:rFonts w:ascii="Arial" w:hAnsi="Arial" w:cs="Arial"/>
          <w:sz w:val="22"/>
          <w:szCs w:val="22"/>
        </w:rPr>
        <w:t>, would face significant disruption. Already, it is under threat and declining.</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The UK sheep sector is a net exporter of lamb, a strength that should be protected and developed, including through an increased national flock. In 2025, the UK exported 85,700 tonnes of sheep meat worth £609.6 million, and imported 79,080 tonnes, of which 87% came from non-EU countries (predominantly Australia and New Zealand). These products can be produced to lower environmental standards. With global demand for sheep meat expected to increase 16% by 2033, reductions in domestic production due to destocking will damage export potential and increase our imports whilst offshoring environmental considerations.</w:t>
      </w:r>
      <w:r>
        <w:rPr>
          <w:rFonts w:ascii="Arial" w:hAnsi="Arial" w:cs="Arial"/>
          <w:sz w:val="22"/>
          <w:szCs w:val="22"/>
          <w:vertAlign w:val="superscript"/>
        </w:rPr>
        <w:footnoteReference w:id="4"/>
      </w:r>
    </w:p>
    <w:p w:rsidR="00000000" w:rsidP="00A97FBA">
      <w:pPr>
        <w:numPr>
          <w:ilvl w:val="0"/>
          <w:numId w:val="7"/>
        </w:numPr>
        <w:spacing w:line="276" w:lineRule="auto"/>
        <w:rPr>
          <w:rFonts w:ascii="Arial" w:hAnsi="Arial" w:cs="Arial"/>
          <w:sz w:val="22"/>
          <w:szCs w:val="22"/>
        </w:rPr>
      </w:pPr>
      <w:r w:rsidRPr="00E327C2">
        <w:rPr>
          <w:rFonts w:ascii="Arial" w:hAnsi="Arial" w:cs="Arial"/>
          <w:sz w:val="22"/>
          <w:szCs w:val="22"/>
        </w:rPr>
        <w:t>Farm businesses in the uplands require a coherent framework of policy and regulation that sustains the delivery of public goods including food and environment, whilst preserving the unique cultural heritage of the uplands. Unfortunately, food security does not have legal status with targets or protections, as the environment has, through the Environmental Improvement Plan, and underpinned by the Climate Change Act 2008 and the Environment Act 2021. NFU members strongly believe we need ambitious statutory targets for increased food production and security.</w:t>
      </w:r>
    </w:p>
    <w:p w:rsidR="00000000" w:rsidRPr="00E327C2" w:rsidP="00A97FBA">
      <w:pPr>
        <w:spacing w:line="276" w:lineRule="auto"/>
        <w:ind w:left="720"/>
        <w:rPr>
          <w:rFonts w:ascii="Arial" w:hAnsi="Arial" w:cs="Arial"/>
          <w:sz w:val="22"/>
          <w:szCs w:val="22"/>
        </w:rPr>
      </w:pPr>
    </w:p>
    <w:p w:rsidR="00000000" w:rsidRPr="00E327C2" w:rsidP="00A97FBA">
      <w:pPr>
        <w:spacing w:line="276" w:lineRule="auto"/>
        <w:rPr>
          <w:rFonts w:ascii="Arial" w:hAnsi="Arial" w:cs="Arial"/>
          <w:b/>
          <w:bCs/>
          <w:sz w:val="22"/>
          <w:szCs w:val="22"/>
        </w:rPr>
      </w:pPr>
      <w:r w:rsidRPr="00E327C2">
        <w:rPr>
          <w:rFonts w:ascii="Arial" w:hAnsi="Arial" w:cs="Arial"/>
          <w:b/>
          <w:bCs/>
          <w:sz w:val="22"/>
          <w:szCs w:val="22"/>
        </w:rPr>
        <w:t>Question 2. What has been the impact of agricultural policy changes (including the transition away from direct payments) on upland farming businesses, and the impact of these changes on farming profitability?</w:t>
      </w:r>
    </w:p>
    <w:p w:rsidR="00000000" w:rsidRPr="00E327C2" w:rsidP="00A97FBA">
      <w:pPr>
        <w:spacing w:line="276" w:lineRule="auto"/>
        <w:rPr>
          <w:rFonts w:ascii="Arial" w:hAnsi="Arial" w:cs="Arial"/>
          <w:sz w:val="22"/>
          <w:szCs w:val="22"/>
        </w:rPr>
      </w:pP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Defra’s agricultural transition is failing to deliver for upland farmers, many of whom have experienced the transition away from basic payments as a devastating financial blow. The ELMs offering has not replaced the financial stability of basic payments. Farm businesses face cliff edge funding, future scheme uncertainty and cashflow gaps. This has left farmers without confidence in public goods provision, with little funding to reinvest or certainty to plan their businesses.</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 xml:space="preserve">Many upland farm businesses are facing a crisis of profitability. Most upland farms have low incomes, with the average LFA (Less Favoured Area) grazing livestock farm bringing in less than £50,000 per year per farm business. In the period 2024-25, the largest contribution to farm business income came from </w:t>
      </w:r>
      <w:r w:rsidRPr="00E327C2">
        <w:rPr>
          <w:rFonts w:ascii="Arial" w:hAnsi="Arial" w:cs="Arial"/>
          <w:sz w:val="22"/>
          <w:szCs w:val="22"/>
        </w:rPr>
        <w:t>agri</w:t>
      </w:r>
      <w:r w:rsidRPr="00E327C2">
        <w:rPr>
          <w:rFonts w:ascii="Arial" w:hAnsi="Arial" w:cs="Arial"/>
          <w:sz w:val="22"/>
          <w:szCs w:val="22"/>
        </w:rPr>
        <w:t>-environment schemes with the second largest coming from (delinked) basic payments.</w:t>
      </w:r>
      <w:r>
        <w:rPr>
          <w:rFonts w:ascii="Arial" w:hAnsi="Arial" w:cs="Arial"/>
          <w:sz w:val="22"/>
          <w:szCs w:val="22"/>
          <w:vertAlign w:val="superscript"/>
        </w:rPr>
        <w:footnoteReference w:id="5"/>
      </w:r>
      <w:r w:rsidRPr="00E327C2">
        <w:rPr>
          <w:rFonts w:ascii="Arial" w:hAnsi="Arial" w:cs="Arial"/>
          <w:sz w:val="22"/>
          <w:szCs w:val="22"/>
        </w:rPr>
        <w:t xml:space="preserve"> In 2026 and 2027, delinked payments will be effectively limited to £600 per farm business. Government forecasts for 2025-2026 put the average LFA grazing livestock farm business income down 8% at £37,000, despite a 13% increase in livestock (financial) output, because of the impact of delinked payment reductions, lower net income from </w:t>
      </w:r>
      <w:r w:rsidRPr="00E327C2">
        <w:rPr>
          <w:rFonts w:ascii="Arial" w:hAnsi="Arial" w:cs="Arial"/>
          <w:sz w:val="22"/>
          <w:szCs w:val="22"/>
        </w:rPr>
        <w:t>agri</w:t>
      </w:r>
      <w:r w:rsidRPr="00E327C2">
        <w:rPr>
          <w:rFonts w:ascii="Arial" w:hAnsi="Arial" w:cs="Arial"/>
          <w:sz w:val="22"/>
          <w:szCs w:val="22"/>
        </w:rPr>
        <w:t>-environment payments and rising input costs.</w:t>
      </w:r>
      <w:r>
        <w:rPr>
          <w:rFonts w:ascii="Arial" w:hAnsi="Arial" w:cs="Arial"/>
          <w:sz w:val="22"/>
          <w:szCs w:val="22"/>
          <w:vertAlign w:val="superscript"/>
        </w:rPr>
        <w:footnoteReference w:id="6"/>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 xml:space="preserve">With the phasing out of basic payments, many upland farms now rely on historically inflated beef and lamb prices, alongside continued participation in legacy </w:t>
      </w:r>
      <w:r w:rsidRPr="00E327C2">
        <w:rPr>
          <w:rFonts w:ascii="Arial" w:hAnsi="Arial" w:cs="Arial"/>
          <w:sz w:val="22"/>
          <w:szCs w:val="22"/>
        </w:rPr>
        <w:t>agri</w:t>
      </w:r>
      <w:r w:rsidRPr="00E327C2">
        <w:rPr>
          <w:rFonts w:ascii="Arial" w:hAnsi="Arial" w:cs="Arial"/>
          <w:sz w:val="22"/>
          <w:szCs w:val="22"/>
        </w:rPr>
        <w:t xml:space="preserve">-environment schemes </w:t>
      </w:r>
      <w:r w:rsidRPr="00E327C2">
        <w:rPr>
          <w:rFonts w:ascii="Arial" w:hAnsi="Arial" w:cs="Arial"/>
          <w:sz w:val="22"/>
          <w:szCs w:val="22"/>
        </w:rPr>
        <w:t>such as HLS. However, around 5,400 HLS agreements are due to expire in 2027–28, leaving many upland farmers facing the end of these agreements without assurance that they will be able to transition into functional replacement schemes.</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 xml:space="preserve">Upland farmers were early adopters of </w:t>
      </w:r>
      <w:r w:rsidRPr="00E327C2">
        <w:rPr>
          <w:rFonts w:ascii="Arial" w:hAnsi="Arial" w:cs="Arial"/>
          <w:sz w:val="22"/>
          <w:szCs w:val="22"/>
        </w:rPr>
        <w:t>agri</w:t>
      </w:r>
      <w:r w:rsidRPr="00E327C2">
        <w:rPr>
          <w:rFonts w:ascii="Arial" w:hAnsi="Arial" w:cs="Arial"/>
          <w:sz w:val="22"/>
          <w:szCs w:val="22"/>
        </w:rPr>
        <w:t>-environment schemes.</w:t>
      </w:r>
      <w:r>
        <w:rPr>
          <w:rFonts w:ascii="Arial" w:hAnsi="Arial" w:cs="Arial"/>
          <w:sz w:val="22"/>
          <w:szCs w:val="22"/>
          <w:vertAlign w:val="superscript"/>
        </w:rPr>
        <w:footnoteReference w:id="7"/>
      </w:r>
      <w:r w:rsidRPr="00E327C2">
        <w:rPr>
          <w:rFonts w:ascii="Arial" w:hAnsi="Arial" w:cs="Arial"/>
          <w:sz w:val="22"/>
          <w:szCs w:val="22"/>
        </w:rPr>
        <w:t xml:space="preserve"> Many have built their business models to include the delivery of environmental goods alongside livestock production. However, NFU members have told us that low reward and a lack of stability in the ELMs offering is pushing even those with decades of commitment to environmental delivery towards intensification. A fair, accessible and stable ELMs offering is essential both for farmers and for the ecosystems they have built and protected over decades.</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ELMs funding operates on a model of income foregone plus costs incurred and, for many upland farm businesses, it fails to adequately reward the value of public goods they are delivering.</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 xml:space="preserve">In stark contrast to England’s uplands, Scottish and Welsh governments continue to provide an area-based support payment for their hill farmers in recognition of their wide-ranging contributions to communities and ecosystems in remote rural areas. In Wales, the Welsh Sustainable Farming Scheme (SFS) includes a Social Value </w:t>
      </w:r>
      <w:r w:rsidRPr="00E327C2">
        <w:rPr>
          <w:rFonts w:ascii="Arial" w:hAnsi="Arial" w:cs="Arial"/>
          <w:sz w:val="22"/>
          <w:szCs w:val="22"/>
        </w:rPr>
        <w:t>Payment</w:t>
      </w:r>
      <w:r w:rsidRPr="00E327C2">
        <w:rPr>
          <w:rFonts w:ascii="Arial" w:hAnsi="Arial" w:cs="Arial"/>
          <w:sz w:val="22"/>
          <w:szCs w:val="22"/>
        </w:rPr>
        <w:t xml:space="preserve"> and the scheme recognises differing stock requirements across upland habitats. Scottish schemes such as Less Favoured Area Support Scheme (LFASS) help maintain agricultural land use in remote and constrained areas.</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The NFU has welcomed Dr Hilary Cottam’s independent report on the uplands and her experimental work on Dartmoor and later in Cumbria, but the crisis of profitability facing upland farm businesses needs urgent solutions that cannot wait for Dr Cottam’s seven-year project to conclude.</w:t>
      </w:r>
      <w:r>
        <w:rPr>
          <w:rFonts w:ascii="Arial" w:hAnsi="Arial" w:cs="Arial"/>
          <w:sz w:val="22"/>
          <w:szCs w:val="22"/>
          <w:vertAlign w:val="superscript"/>
        </w:rPr>
        <w:footnoteReference w:id="8"/>
      </w:r>
    </w:p>
    <w:p w:rsidR="00000000" w:rsidRPr="00E327C2" w:rsidP="00A97FBA">
      <w:pPr>
        <w:spacing w:line="276" w:lineRule="auto"/>
        <w:rPr>
          <w:rFonts w:ascii="Arial" w:hAnsi="Arial" w:cs="Arial"/>
          <w:b/>
          <w:bCs/>
          <w:sz w:val="22"/>
          <w:szCs w:val="22"/>
        </w:rPr>
      </w:pPr>
    </w:p>
    <w:p w:rsidR="00000000" w:rsidRPr="00E327C2" w:rsidP="00A97FBA">
      <w:pPr>
        <w:spacing w:line="276" w:lineRule="auto"/>
        <w:rPr>
          <w:rFonts w:ascii="Arial" w:hAnsi="Arial" w:cs="Arial"/>
          <w:b/>
          <w:bCs/>
          <w:sz w:val="22"/>
          <w:szCs w:val="22"/>
        </w:rPr>
      </w:pPr>
      <w:r w:rsidRPr="00E327C2">
        <w:rPr>
          <w:rFonts w:ascii="Arial" w:hAnsi="Arial" w:cs="Arial"/>
          <w:b/>
          <w:bCs/>
          <w:sz w:val="22"/>
          <w:szCs w:val="22"/>
        </w:rPr>
        <w:t xml:space="preserve"> Question 3. To what extent do the current Environmental Land Management (ELM) schemes and other support like the Farming in Protected Landscapes (</w:t>
      </w:r>
      <w:r w:rsidRPr="00E327C2">
        <w:rPr>
          <w:rFonts w:ascii="Arial" w:hAnsi="Arial" w:cs="Arial"/>
          <w:b/>
          <w:bCs/>
          <w:sz w:val="22"/>
          <w:szCs w:val="22"/>
        </w:rPr>
        <w:t>FiPL</w:t>
      </w:r>
      <w:r w:rsidRPr="00E327C2">
        <w:rPr>
          <w:rFonts w:ascii="Arial" w:hAnsi="Arial" w:cs="Arial"/>
          <w:b/>
          <w:bCs/>
          <w:sz w:val="22"/>
          <w:szCs w:val="22"/>
        </w:rPr>
        <w:t>) schemes support financially and environmentally sustainable land management in the uplands?</w:t>
      </w:r>
    </w:p>
    <w:p w:rsidR="00000000" w:rsidRPr="00E327C2" w:rsidP="00A97FBA">
      <w:pPr>
        <w:spacing w:line="276" w:lineRule="auto"/>
        <w:rPr>
          <w:rFonts w:ascii="Arial" w:hAnsi="Arial" w:cs="Arial"/>
          <w:sz w:val="22"/>
          <w:szCs w:val="22"/>
        </w:rPr>
      </w:pP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The NFU supports the principle of public money for the delivery of environmental goods that underpins Defra’s Environmental Land Management schemes (ELMs); however, these schemes must be fair, accessible and relevant to all farm businesses.</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Currently, limitations in Defra’s capacity, technology and budget are restricting access to schemes. Sudden scheme closures and a lack of clarity on future offers have created uncertainty, leading to gaps in environmental delivery and risks to government targets.</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There must be a functional and delivering CSHT offer. Delivery has fallen short. Of the 1,200 agreements targeted by March 2026, only 431 had been delivered by May 2026. NE’s limited capacity to offer pre-application advice and the Rural Payment Agency’s (RPA) inefficiency in processing applications have created backlogs that have discouraged uptake. As HLS agreements expire, demand will further strain capacity.</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 xml:space="preserve">While increased SFI moorland payments are welcome, many upland farms also manage land below the moorland line (i.e. more productive grassland), which will not benefit. The SFI must include suitable actions </w:t>
      </w:r>
      <w:r>
        <w:rPr>
          <w:rFonts w:ascii="Arial" w:hAnsi="Arial" w:cs="Arial"/>
          <w:sz w:val="22"/>
          <w:szCs w:val="22"/>
        </w:rPr>
        <w:t xml:space="preserve">across whole farm systems </w:t>
      </w:r>
      <w:r>
        <w:rPr>
          <w:rFonts w:ascii="Arial" w:hAnsi="Arial" w:cs="Arial"/>
          <w:sz w:val="22"/>
          <w:szCs w:val="22"/>
        </w:rPr>
        <w:t>to recognise</w:t>
      </w:r>
      <w:r w:rsidRPr="00E327C2">
        <w:rPr>
          <w:rFonts w:ascii="Arial" w:hAnsi="Arial" w:cs="Arial"/>
          <w:sz w:val="22"/>
          <w:szCs w:val="22"/>
        </w:rPr>
        <w:t xml:space="preserve"> the range of unique landscapes and habitats that upland farms steward, including a permanent pasture standard.</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To ensure upland scheme offerings meet the needs of these landscapes, and are compatible with viable farm businesses, Defra should re-establish the Upland Task and Finish group and revisit its work thus far, to inform upland scheme design.</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Common land must have access to SFI and CSHT. 82% of England’s common land is in the uplands.</w:t>
      </w:r>
      <w:r>
        <w:rPr>
          <w:rFonts w:ascii="Arial" w:hAnsi="Arial" w:cs="Arial"/>
          <w:sz w:val="22"/>
          <w:szCs w:val="22"/>
          <w:vertAlign w:val="superscript"/>
        </w:rPr>
        <w:footnoteReference w:id="9"/>
      </w:r>
      <w:r w:rsidRPr="00E327C2">
        <w:rPr>
          <w:rFonts w:ascii="Arial" w:hAnsi="Arial" w:cs="Arial"/>
          <w:sz w:val="22"/>
          <w:szCs w:val="22"/>
        </w:rPr>
        <w:t xml:space="preserve"> Despite its immense cultural and environmental value, it has been excluded from SFI and CSHT, due to inadequate computer software in the RPA and refusal to implement previously used paper-based alternatives.</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Defra must set out a long-term plan for SFI and CSHT, and back this with sufficient long-term funding. The NFU is concerned that the £240m allocated for SFI 2026 is wholly inadequate to meet likely demand, not just from farmers with expiring ‘legacy’ agreements but also to give those who have not yet entered or wish to expand their agreement participation a reasonable chance of scheme entry. This endangers longstanding environmental delivery. For those upland farmers who can apply to SFI, the budget announced threatens both access to and confidence in ELM schemes.</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It was Defra’s original plan that Landscape Recovery (LR) attracted private finance for long term public good provision. However, Government has failed to provide an appealing framework for investment, with clear rules and standards to support buyer confidence, and Defra is consequently subsidising LR at the expense of other ELM schemes, notably SFI. LR funding should not constrain Defra’s future budgets and the viability of the wider ELMs programme of delivery.</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Greater transparency in how a LR bid is developed is also needed so participants, most particularly tenant farmers, can make informed decisions for their businesses. Where large landowners take the lead in co-ordinating a LR bid, the power imbalance inherent in this relationship must be adequately considered and those authorising schemes should ensure that the participation of tenant farmers is voluntary and, in worst case examples, not tied to securing the continuation of their tenancies.</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Many upland farmers are tenants. The design of ELM schemes can incentivise landlords to end tenancies, as scheme options allow them to derive (potentially increased) income from the land without having a tenant, or to put pressure on tenants to reduce stock numbers so that land to be entered into schemes that require lower stocking densities.</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ELMs actions that require stock removal can also limit the capital assets and financial stability of tenant farmers, undermining their historic investment in their businesses.</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 xml:space="preserve">The lack of certainty around whether ELM scheme rules will change from one year to the next, or whether their application will even be accepted, makes it difficult for tenant farmers to </w:t>
      </w:r>
      <w:r w:rsidRPr="00E327C2">
        <w:rPr>
          <w:rFonts w:ascii="Arial" w:hAnsi="Arial" w:cs="Arial"/>
          <w:sz w:val="22"/>
          <w:szCs w:val="22"/>
        </w:rPr>
        <w:t>plan ahead</w:t>
      </w:r>
      <w:r w:rsidRPr="00E327C2">
        <w:rPr>
          <w:rFonts w:ascii="Arial" w:hAnsi="Arial" w:cs="Arial"/>
          <w:sz w:val="22"/>
          <w:szCs w:val="22"/>
        </w:rPr>
        <w:t xml:space="preserve"> for rent reviews or tendering for new land.</w:t>
      </w:r>
    </w:p>
    <w:p w:rsidR="00000000" w:rsidRPr="00E327C2" w:rsidP="00A97FBA">
      <w:pPr>
        <w:spacing w:line="276" w:lineRule="auto"/>
        <w:rPr>
          <w:rFonts w:ascii="Arial" w:hAnsi="Arial" w:cs="Arial"/>
          <w:b/>
          <w:bCs/>
          <w:sz w:val="22"/>
          <w:szCs w:val="22"/>
        </w:rPr>
      </w:pPr>
    </w:p>
    <w:p w:rsidR="00000000" w:rsidRPr="00E327C2" w:rsidP="00A97FBA">
      <w:pPr>
        <w:spacing w:line="276" w:lineRule="auto"/>
        <w:rPr>
          <w:rFonts w:ascii="Arial" w:hAnsi="Arial" w:cs="Arial"/>
          <w:b/>
          <w:bCs/>
          <w:sz w:val="22"/>
          <w:szCs w:val="22"/>
        </w:rPr>
      </w:pPr>
      <w:r w:rsidRPr="00E327C2">
        <w:rPr>
          <w:rFonts w:ascii="Arial" w:hAnsi="Arial" w:cs="Arial"/>
          <w:b/>
          <w:bCs/>
          <w:sz w:val="22"/>
          <w:szCs w:val="22"/>
        </w:rPr>
        <w:t>Question 4. How do legal protections for uplands areas (including designation as a National Park or Area of Outstanding Natural Beauty / Protected Landscape, and designations such as Site of Special Scientific Interest, or Special Area of Conservation) impact decision-making, land management, and outcomes?</w:t>
      </w:r>
    </w:p>
    <w:p w:rsidR="00000000" w:rsidRPr="00E327C2" w:rsidP="00A97FBA">
      <w:pPr>
        <w:spacing w:line="276" w:lineRule="auto"/>
        <w:rPr>
          <w:rFonts w:ascii="Arial" w:hAnsi="Arial" w:cs="Arial"/>
          <w:sz w:val="22"/>
          <w:szCs w:val="22"/>
        </w:rPr>
      </w:pP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Upland areas are typically subject to multiple overlapping designations (e.g. National Parks, SSSIs, SACs and Protected Landscapes), creating a complex regulatory environment for land managers to operate their businesses.</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Decision making in designated areas can involve multiple public bodies, including NE, the EA, National Park Authorities, and Local Authorities, resulting in a fragmented system where stakeholders are asking multiple and sometimes conflicting outcomes of these landscapes.</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A more collaborative and balanced approach to livestock management and environmental delivery is needed. Dr Cottam’s report emphasised the importance of local empowerment, horizontal networks and a reconfiguring of power structures to facilitate collaboration.</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Statutory obligations for NE and the EA to consider sustainable growth and food production would provide regulators with the mandate to take a more holistic approach and increase the common ground between farmers and ALBs, thus creating the conditions for improved environmental delivery.</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NE must rebuild trust and build sustained relationships with farmers based on two-way communication and transparency. Collaborative environmental delivery requires a shared understanding of what actions are required to improve habitats and a shared vision for desired outcomes, underpinned by clear evidence and accountable decision making.</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The NFU is calling for Defra and NE’s evidence base to be strengthened. Dr Cottam’s report noted that “science guiding decision making (at Defra) is contested and data rarely takes whole system factors into account” and highlighted the importance of a robust evidence base to underpin collaborative decision making. A review of the evidence base on key upland issues such as controlled burning and grazing management is needed.</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NE must communicate a clear vision of what good land management looks like, with viable farm businesses at its heart. The NFU has called for NE to provide transparent, accurate baseline data for designated sites with a clear system for updating this information. Current SSSI assessments are infrequent, outdated, and do not account for changing climate conditions, leaving farmers feeling blamed for outcomes beyond their control, despite them following guidance issued by NE.</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NFU members report that NE often defaults to reducing stocking rates, even when this exacerbates grazing pressure (as </w:t>
      </w:r>
      <w:r>
        <w:rPr>
          <w:rFonts w:ascii="Arial" w:hAnsi="Arial" w:cs="Arial"/>
          <w:sz w:val="22"/>
          <w:szCs w:val="22"/>
        </w:rPr>
        <w:t>unpalatable vegetation</w:t>
      </w:r>
      <w:r w:rsidRPr="00E327C2">
        <w:rPr>
          <w:rFonts w:ascii="Arial" w:hAnsi="Arial" w:cs="Arial"/>
          <w:sz w:val="22"/>
          <w:szCs w:val="22"/>
        </w:rPr>
        <w:t xml:space="preserve"> spread</w:t>
      </w:r>
      <w:r>
        <w:rPr>
          <w:rFonts w:ascii="Arial" w:hAnsi="Arial" w:cs="Arial"/>
          <w:sz w:val="22"/>
          <w:szCs w:val="22"/>
        </w:rPr>
        <w:t>s</w:t>
      </w:r>
      <w:r w:rsidRPr="00E327C2">
        <w:rPr>
          <w:rFonts w:ascii="Arial" w:hAnsi="Arial" w:cs="Arial"/>
          <w:sz w:val="22"/>
          <w:szCs w:val="22"/>
        </w:rPr>
        <w:t xml:space="preserve"> and reduce</w:t>
      </w:r>
      <w:r>
        <w:rPr>
          <w:rFonts w:ascii="Arial" w:hAnsi="Arial" w:cs="Arial"/>
          <w:sz w:val="22"/>
          <w:szCs w:val="22"/>
        </w:rPr>
        <w:t>s</w:t>
      </w:r>
      <w:r w:rsidRPr="00E327C2">
        <w:rPr>
          <w:rFonts w:ascii="Arial" w:hAnsi="Arial" w:cs="Arial"/>
          <w:sz w:val="22"/>
          <w:szCs w:val="22"/>
        </w:rPr>
        <w:t xml:space="preserve"> the remaining available grazing area) and leads to further site degradation, with NE using </w:t>
      </w:r>
      <w:r w:rsidRPr="00E327C2">
        <w:rPr>
          <w:rFonts w:ascii="Arial" w:hAnsi="Arial" w:cs="Arial"/>
          <w:sz w:val="22"/>
          <w:szCs w:val="22"/>
        </w:rPr>
        <w:t>agri</w:t>
      </w:r>
      <w:r w:rsidRPr="00E327C2">
        <w:rPr>
          <w:rFonts w:ascii="Arial" w:hAnsi="Arial" w:cs="Arial"/>
          <w:sz w:val="22"/>
          <w:szCs w:val="22"/>
        </w:rPr>
        <w:t>-environment agreements or SSSI consents as measures to enforce compliance. This poses a challenge to farm business viability and often feels arbitrary given the poor evidence base employed. On many sites, NE have made repeated stock reductions over time, whilst continuing to find sites in degraded conditions and providing little transparency about what future reductions could be required. This has resulted in declining trust in NE’s methodology in places like Dartmoor. Alternatives to stock reduction (tackling the spread of unpalatable </w:t>
      </w:r>
      <w:r w:rsidRPr="00E327C2">
        <w:rPr>
          <w:rFonts w:ascii="Arial" w:hAnsi="Arial" w:cs="Arial"/>
          <w:i/>
          <w:iCs/>
          <w:sz w:val="22"/>
          <w:szCs w:val="22"/>
        </w:rPr>
        <w:t>Molinia </w:t>
      </w:r>
      <w:r w:rsidRPr="00E327C2">
        <w:rPr>
          <w:rFonts w:ascii="Arial" w:hAnsi="Arial" w:cs="Arial"/>
          <w:i/>
          <w:iCs/>
          <w:sz w:val="22"/>
          <w:szCs w:val="22"/>
        </w:rPr>
        <w:t>spp</w:t>
      </w:r>
      <w:r w:rsidRPr="00E327C2">
        <w:rPr>
          <w:rFonts w:ascii="Arial" w:hAnsi="Arial" w:cs="Arial"/>
          <w:i/>
          <w:iCs/>
          <w:sz w:val="22"/>
          <w:szCs w:val="22"/>
        </w:rPr>
        <w:t>,</w:t>
      </w:r>
      <w:r w:rsidRPr="00E327C2">
        <w:rPr>
          <w:rFonts w:ascii="Arial" w:hAnsi="Arial" w:cs="Arial"/>
          <w:sz w:val="22"/>
          <w:szCs w:val="22"/>
        </w:rPr>
        <w:t> for example) should be fully considered where they can achieve better environmental outcomes.</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Designated sites and protected landscapes face stricter planning regulations. Local planning policies should be proportionate and outcome-focused, including rules which facilitate “betterment” in key infrastructure such as slurry stores near protected sites, and recognising where development or improvement can lead to improvement in production and the environment.</w:t>
      </w:r>
    </w:p>
    <w:p w:rsidR="00000000" w:rsidRPr="00E327C2" w:rsidP="00A97FBA">
      <w:pPr>
        <w:spacing w:line="276" w:lineRule="auto"/>
        <w:rPr>
          <w:rFonts w:ascii="Arial" w:hAnsi="Arial" w:cs="Arial"/>
          <w:sz w:val="22"/>
          <w:szCs w:val="22"/>
        </w:rPr>
      </w:pPr>
    </w:p>
    <w:p w:rsidR="00000000" w:rsidRPr="00E327C2" w:rsidP="00A97FBA">
      <w:pPr>
        <w:spacing w:line="276" w:lineRule="auto"/>
        <w:rPr>
          <w:rFonts w:ascii="Arial" w:hAnsi="Arial" w:cs="Arial"/>
          <w:b/>
          <w:bCs/>
          <w:sz w:val="22"/>
          <w:szCs w:val="22"/>
        </w:rPr>
      </w:pPr>
      <w:r w:rsidRPr="00E327C2">
        <w:rPr>
          <w:rFonts w:ascii="Arial" w:hAnsi="Arial" w:cs="Arial"/>
          <w:b/>
          <w:bCs/>
          <w:sz w:val="22"/>
          <w:szCs w:val="22"/>
        </w:rPr>
        <w:t>Question 5. What improvements are needed in land use data, mapping, and modelling to support effective decision-making in the uplands? What training or other skill development options are needed to support this?</w:t>
      </w:r>
    </w:p>
    <w:p w:rsidR="00000000" w:rsidRPr="00E327C2" w:rsidP="00A97FBA">
      <w:pPr>
        <w:spacing w:line="276" w:lineRule="auto"/>
        <w:rPr>
          <w:rFonts w:ascii="Arial" w:hAnsi="Arial" w:cs="Arial"/>
          <w:sz w:val="22"/>
          <w:szCs w:val="22"/>
        </w:rPr>
      </w:pP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Mapping and data skills can empower farmers to better understand their own land, as well as building an evidence base to facilitate collaborative land use decisions. There is strong appetite among NFU members to undertake land monitoring, with appropriate training and reward.</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The ELMs action MOR1 previously enabled farmer-led data collection. We would welcome the return of this action.</w:t>
      </w:r>
    </w:p>
    <w:p w:rsidR="00000000" w:rsidRPr="00E327C2" w:rsidP="00A97FBA">
      <w:pPr>
        <w:numPr>
          <w:ilvl w:val="0"/>
          <w:numId w:val="7"/>
        </w:numPr>
        <w:spacing w:line="276" w:lineRule="auto"/>
        <w:rPr>
          <w:rFonts w:ascii="Arial" w:hAnsi="Arial" w:cs="Arial"/>
          <w:sz w:val="22"/>
          <w:szCs w:val="22"/>
          <w:lang w:val="en-US"/>
        </w:rPr>
      </w:pPr>
      <w:r w:rsidRPr="00E327C2">
        <w:rPr>
          <w:rFonts w:ascii="Arial" w:hAnsi="Arial" w:cs="Arial"/>
          <w:sz w:val="22"/>
          <w:szCs w:val="22"/>
        </w:rPr>
        <w:t>Farmer-led evidence collection has immense potential to improve upland land maps by ground truthing modelled and remote data. This is particularly important as many farmers do not believe that current maps accurately reflect their land.</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Current land use data and mapping is decentralised, complex to access and held across multiple organisations. Farmer-led mapping should be undertaken alongside greater community access to existing land use data.</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Farmers should have opportunities to develop skills in data collection and habitat assessment as well as training on the use of GIS systems to analyse their data.</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The NFU has called for a standardised national dataset on wildfires, as monitoring and data collection on wildfire cause, extent and impact remains inadequate. Please see our recent submission on wildfires to your committee for further information.</w:t>
      </w:r>
    </w:p>
    <w:p w:rsidR="00000000" w:rsidRPr="00E327C2" w:rsidP="00A97FBA">
      <w:pPr>
        <w:spacing w:line="276" w:lineRule="auto"/>
        <w:rPr>
          <w:rFonts w:ascii="Arial" w:hAnsi="Arial" w:cs="Arial"/>
          <w:sz w:val="22"/>
          <w:szCs w:val="22"/>
        </w:rPr>
      </w:pPr>
    </w:p>
    <w:p w:rsidR="00000000" w:rsidRPr="00E327C2" w:rsidP="00A97FBA">
      <w:pPr>
        <w:spacing w:line="276" w:lineRule="auto"/>
        <w:rPr>
          <w:rFonts w:ascii="Arial" w:hAnsi="Arial" w:cs="Arial"/>
          <w:b/>
          <w:bCs/>
          <w:sz w:val="22"/>
          <w:szCs w:val="22"/>
        </w:rPr>
      </w:pPr>
      <w:r w:rsidRPr="00E327C2">
        <w:rPr>
          <w:rFonts w:ascii="Arial" w:hAnsi="Arial" w:cs="Arial"/>
          <w:b/>
          <w:bCs/>
          <w:sz w:val="22"/>
          <w:szCs w:val="22"/>
        </w:rPr>
        <w:t>Question 6. How might land use and business changes in the uplands impact rural communities?</w:t>
      </w:r>
    </w:p>
    <w:p w:rsidR="00000000" w:rsidRPr="00E327C2" w:rsidP="00A97FBA">
      <w:pPr>
        <w:spacing w:line="276" w:lineRule="auto"/>
        <w:rPr>
          <w:rFonts w:ascii="Arial" w:hAnsi="Arial" w:cs="Arial"/>
          <w:sz w:val="22"/>
          <w:szCs w:val="22"/>
        </w:rPr>
      </w:pP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Upland farms play a key role in the rural economy and are central to the sustainability of rural communities. They create secure employment which promotes growth in some of England’s most remote areas, supporting 13% of the national agricultural workforce.</w:t>
      </w:r>
      <w:r>
        <w:rPr>
          <w:rFonts w:ascii="Arial" w:hAnsi="Arial" w:cs="Arial"/>
          <w:sz w:val="22"/>
          <w:szCs w:val="22"/>
          <w:vertAlign w:val="superscript"/>
        </w:rPr>
        <w:footnoteReference w:id="10"/>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 xml:space="preserve">For many upland farmers, their identity is linked to these unique landscapes and is reinforced through their community and shared cultural heritage. They support local services such as schools and shops year-round. Changes to land use or reductions in agricultural activity therefore have direct and indirect impacts on employment, local services and community cohesion. </w:t>
      </w:r>
      <w:r w:rsidRPr="00E327C2">
        <w:rPr>
          <w:rFonts w:ascii="Arial" w:hAnsi="Arial" w:cs="Arial"/>
          <w:sz w:val="22"/>
          <w:szCs w:val="22"/>
        </w:rPr>
        <w:t>In particular, changes</w:t>
      </w:r>
      <w:r w:rsidRPr="00E327C2">
        <w:rPr>
          <w:rFonts w:ascii="Arial" w:hAnsi="Arial" w:cs="Arial"/>
          <w:sz w:val="22"/>
          <w:szCs w:val="22"/>
        </w:rPr>
        <w:t xml:space="preserve"> in land use can mean a transition of ownership and tenancies away from those who live in the community.</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It is vital that critical food system infrastructure is maintained through a productive upland livestock sector. Upland farms are interdependent with other rural businesses such as auction marts, abattoirs, butchers, vets and feed stores. The destocking that is happening because of ELMS is reducing the turnover of livestock which in turn impacts associated businesses. Low farm profitability can exacerbate rural poverty both for farmers and those in related businesses.</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Upland farming communities are key custodians of cultural heritage and traditional land management practices. Skills such as shepherding, dry-stone walling, hedge laying, hay making and the maintenance of traditional field boundaries would not exist without livestock management. These skills are passed down through generations and contribute significantly to the character of these landscapes.</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Upland farmers also provide a range of essential services that support community resilience. These include maintaining access during adverse weather, assisting emergency services, and responding to environmental incidents such as wildfires, as seen during the 2025 Saddleworth Moor wildfire.</w:t>
      </w:r>
    </w:p>
    <w:p w:rsidR="00000000" w:rsidRPr="00E327C2" w:rsidP="00A97FBA">
      <w:pPr>
        <w:spacing w:line="276" w:lineRule="auto"/>
        <w:rPr>
          <w:rFonts w:ascii="Arial" w:hAnsi="Arial" w:cs="Arial"/>
          <w:b/>
          <w:bCs/>
          <w:sz w:val="22"/>
          <w:szCs w:val="22"/>
        </w:rPr>
      </w:pPr>
    </w:p>
    <w:p w:rsidR="00000000" w:rsidRPr="00E327C2" w:rsidP="00A97FBA">
      <w:pPr>
        <w:spacing w:line="276" w:lineRule="auto"/>
        <w:rPr>
          <w:rFonts w:ascii="Arial" w:hAnsi="Arial" w:cs="Arial"/>
          <w:i/>
          <w:iCs/>
          <w:sz w:val="22"/>
          <w:szCs w:val="22"/>
        </w:rPr>
      </w:pPr>
      <w:r w:rsidRPr="00E327C2">
        <w:rPr>
          <w:rFonts w:ascii="Arial" w:hAnsi="Arial" w:cs="Arial"/>
          <w:b/>
          <w:bCs/>
          <w:sz w:val="22"/>
          <w:szCs w:val="22"/>
        </w:rPr>
        <w:t>Question 7. How can government policy ensure that rural communities in upland areas benefit from changes?</w:t>
      </w:r>
    </w:p>
    <w:p w:rsidR="00000000" w:rsidRPr="00E327C2" w:rsidP="00A97FBA">
      <w:pPr>
        <w:spacing w:line="276" w:lineRule="auto"/>
        <w:rPr>
          <w:rFonts w:ascii="Arial" w:hAnsi="Arial" w:cs="Arial"/>
          <w:i/>
          <w:iCs/>
          <w:sz w:val="22"/>
          <w:szCs w:val="22"/>
        </w:rPr>
      </w:pP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Government policy must deliver prosperity to remote upland communities through frameworks which support thriving businesses and good job opportunities for young people. Policy should prioritise local decision-making and make use of existing expertise within the rural sector, to ensure local communities benefit from changes.</w:t>
      </w:r>
    </w:p>
    <w:p w:rsidR="00000000" w:rsidRPr="00E327C2" w:rsidP="00A97FBA">
      <w:pPr>
        <w:numPr>
          <w:ilvl w:val="0"/>
          <w:numId w:val="7"/>
        </w:numPr>
        <w:spacing w:line="276" w:lineRule="auto"/>
        <w:rPr>
          <w:rFonts w:ascii="Arial" w:hAnsi="Arial" w:cs="Arial"/>
          <w:sz w:val="22"/>
          <w:szCs w:val="22"/>
        </w:rPr>
      </w:pPr>
      <w:r w:rsidRPr="00E327C2">
        <w:rPr>
          <w:rFonts w:ascii="Arial" w:hAnsi="Arial" w:cs="Arial"/>
          <w:sz w:val="22"/>
          <w:szCs w:val="22"/>
        </w:rPr>
        <w:t>Thriving rural businesses must be supported through functional connectivity infrastructure, including roads, public transport, postal services and broadband.</w:t>
      </w:r>
    </w:p>
    <w:p w:rsidR="00000000" w:rsidP="00A97FBA">
      <w:pPr>
        <w:numPr>
          <w:ilvl w:val="0"/>
          <w:numId w:val="7"/>
        </w:numPr>
        <w:spacing w:line="276" w:lineRule="auto"/>
        <w:rPr>
          <w:rFonts w:ascii="Arial" w:hAnsi="Arial" w:cs="Arial"/>
          <w:sz w:val="22"/>
          <w:szCs w:val="22"/>
        </w:rPr>
      </w:pPr>
      <w:r w:rsidRPr="00E327C2">
        <w:rPr>
          <w:rFonts w:ascii="Arial" w:hAnsi="Arial" w:cs="Arial"/>
          <w:sz w:val="22"/>
          <w:szCs w:val="22"/>
        </w:rPr>
        <w:t>As Dr Cottam’s report has highlighted, rural communities face distinct challenges that are often less reported and less fully understood than their urban counterparts. Government policy must improve the quality of life for those living in rural areas and ensure policies across departments are ‘rural proofed’.</w:t>
      </w:r>
    </w:p>
    <w:p w:rsidR="001605B3" w:rsidP="001605B3">
      <w:pPr>
        <w:spacing w:line="276" w:lineRule="auto"/>
        <w:ind w:left="720"/>
        <w:rPr>
          <w:rFonts w:ascii="Arial" w:hAnsi="Arial" w:cs="Arial"/>
          <w:sz w:val="22"/>
          <w:szCs w:val="22"/>
        </w:rPr>
      </w:pPr>
    </w:p>
    <w:p w:rsidR="001605B3" w:rsidRPr="00CF3C77" w:rsidP="001605B3">
      <w:pPr>
        <w:spacing w:line="276" w:lineRule="auto"/>
        <w:rPr>
          <w:rFonts w:ascii="Arial" w:hAnsi="Arial" w:cs="Arial"/>
          <w:sz w:val="22"/>
          <w:szCs w:val="22"/>
        </w:rPr>
      </w:pPr>
      <w:r>
        <w:rPr>
          <w:rFonts w:ascii="Arial" w:hAnsi="Arial" w:cs="Arial"/>
          <w:sz w:val="22"/>
          <w:szCs w:val="22"/>
        </w:rPr>
        <w:t>June 2026</w:t>
      </w:r>
    </w:p>
    <w:sectPr w:rsidSect="00E403FC">
      <w:headerReference w:type="default" r:id="rId8"/>
      <w:footerReference w:type="default" r:id="rId9"/>
      <w:pgSz w:w="11906" w:h="16838"/>
      <w:pgMar w:top="1440" w:right="924" w:bottom="1077" w:left="902" w:header="539" w:footer="816" w:gutter="0"/>
      <w:paperSrc w:first="7" w:other="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481C9F" w:rsidP="00481C9F">
    <w:pPr>
      <w:pStyle w:val="Footer"/>
      <w:spacing w:before="10" w:after="10"/>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Text Box 15" o:spid="_x0000_s2050" type="#_x0000_t202" style="height:27pt;margin-left:-21pt;margin-top:1.65pt;mso-height-percent:0;mso-height-relative:page;mso-width-percent:0;mso-width-relative:page;mso-wrap-distance-bottom:0;mso-wrap-distance-left:9pt;mso-wrap-distance-right:9pt;mso-wrap-distance-top:0;mso-wrap-style:square;position:absolute;v-text-anchor:top;visibility:visible;width:252pt;z-index:251661312" filled="f" stroked="f">
          <v:textbox>
            <w:txbxContent>
              <w:p w:rsidR="00000000" w:rsidRPr="007D1227">
                <w:pPr>
                  <w:rPr>
                    <w:rFonts w:ascii="Arial" w:hAnsi="Arial" w:cs="Arial"/>
                    <w:color w:val="016938"/>
                    <w:sz w:val="28"/>
                    <w:szCs w:val="28"/>
                  </w:rPr>
                </w:pPr>
              </w:p>
            </w:txbxContent>
          </v:textbox>
        </v:shape>
      </w:pict>
    </w:r>
    <w:r>
      <w:rPr>
        <w:rFonts w:ascii="Arial" w:hAnsi="Arial" w:cs="Arial"/>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-22860</wp:posOffset>
              </wp:positionV>
              <wp:extent cx="6515100" cy="0"/>
              <wp:effectExtent l="9525" t="5715" r="9525" b="13335"/>
              <wp:wrapNone/>
              <wp:docPr id="2" name="Line 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515100" cy="0"/>
                      </a:xfrm>
                      <a:prstGeom prst="line">
                        <a:avLst/>
                      </a:prstGeom>
                      <a:noFill/>
                      <a:ln w="9525">
                        <a:solidFill>
                          <a:srgbClr val="016938"/>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2051" style="mso-height-percent:0;mso-height-relative:page;mso-width-percent:0;mso-width-relative:page;mso-wrap-distance-bottom:0;mso-wrap-distance-left:9pt;mso-wrap-distance-right:9pt;mso-wrap-distance-top:0;mso-wrap-style:square;position:absolute;visibility:visible;z-index:251658240" from="0,-1.8pt" to="513pt,-1.8pt" strokecolor="#016938"/>
          </w:pict>
        </mc:Fallback>
      </mc:AlternateContent>
    </w:r>
  </w:p>
  <w:p w:rsidR="00000000" w:rsidP="00B65419">
    <w:pPr>
      <w:tabs>
        <w:tab w:val="left" w:pos="7665"/>
      </w:tabs>
    </w:pPr>
    <w:r>
      <w:rPr>
        <w:noProof/>
      </w:rPr>
      <w:pict>
        <v:shape id="Text Box 14" o:spid="_x0000_s2052" type="#_x0000_t202" style="height:37.45pt;margin-left:-21pt;margin-top:13.85pt;mso-height-percent:0;mso-height-relative:page;mso-width-percent:0;mso-width-relative:page;mso-wrap-distance-bottom:0;mso-wrap-distance-left:9pt;mso-wrap-distance-right:9pt;mso-wrap-distance-top:0;mso-wrap-style:square;position:absolute;v-text-anchor:top;visibility:visible;width:252pt;z-index:251660288" filled="f" stroked="f">
          <v:textbox>
            <w:txbxContent>
              <w:p w:rsidR="00000000" w:rsidRPr="00E50D6F"/>
            </w:txbxContent>
          </v:textbox>
        </v:shape>
      </w:pict>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A2833">
      <w:r>
        <w:separator/>
      </w:r>
    </w:p>
  </w:footnote>
  <w:footnote w:type="continuationSeparator" w:id="1">
    <w:p w:rsidR="007A2833">
      <w:r>
        <w:continuationSeparator/>
      </w:r>
    </w:p>
  </w:footnote>
  <w:footnote w:id="2">
    <w:p w:rsidR="00000000" w:rsidRPr="00CF3C77" w:rsidP="00E327C2">
      <w:pPr>
        <w:pStyle w:val="FootnoteText"/>
        <w:rPr>
          <w:rFonts w:ascii="Aptos" w:hAnsi="Aptos" w:cs="Times New Roman"/>
        </w:rPr>
      </w:pPr>
      <w:r w:rsidRPr="00CF3C77">
        <w:rPr>
          <w:rStyle w:val="FootnoteReference"/>
          <w:rFonts w:ascii="Aptos" w:hAnsi="Aptos" w:cs="Times New Roman"/>
        </w:rPr>
        <w:footnoteRef/>
      </w:r>
      <w:r w:rsidRPr="00CF3C77">
        <w:rPr>
          <w:rFonts w:ascii="Aptos" w:hAnsi="Aptos" w:cs="Times New Roman"/>
        </w:rPr>
        <w:t xml:space="preserve"> </w:t>
      </w:r>
      <w:r>
        <w:fldChar w:fldCharType="begin"/>
      </w:r>
      <w:r>
        <w:instrText xml:space="preserve"> HYPERLINK "https://www.farmbusinesssurvey.co.uk/regional/reports/FBS-HillFarminginEngland2022-23.pdf" </w:instrText>
      </w:r>
      <w:r>
        <w:fldChar w:fldCharType="separate"/>
      </w:r>
      <w:r w:rsidRPr="00CF3C77">
        <w:rPr>
          <w:rStyle w:val="Hyperlink"/>
          <w:rFonts w:ascii="Aptos" w:hAnsi="Aptos" w:cs="Times New Roman"/>
          <w:color w:val="auto"/>
          <w:u w:val="none"/>
        </w:rPr>
        <w:t>Farm Business Survey: Hill farming in England 2023/24, Defra/</w:t>
      </w:r>
      <w:r w:rsidRPr="00CF3C77">
        <w:rPr>
          <w:rStyle w:val="Hyperlink"/>
          <w:rFonts w:ascii="Aptos" w:hAnsi="Aptos" w:cs="Times New Roman"/>
          <w:color w:val="auto"/>
          <w:u w:val="none"/>
        </w:rPr>
        <w:t>Promar</w:t>
      </w:r>
      <w:r>
        <w:fldChar w:fldCharType="end"/>
      </w:r>
      <w:r w:rsidRPr="00CF3C77">
        <w:rPr>
          <w:rFonts w:ascii="Aptos" w:hAnsi="Aptos" w:cs="Times New Roman"/>
        </w:rPr>
        <w:t>, Dec 2024</w:t>
      </w:r>
    </w:p>
  </w:footnote>
  <w:footnote w:id="3">
    <w:p w:rsidR="00000000" w:rsidRPr="00CF3C77" w:rsidP="00E327C2">
      <w:pPr>
        <w:pStyle w:val="FootnoteText"/>
        <w:rPr>
          <w:rFonts w:ascii="Aptos" w:hAnsi="Aptos" w:cs="Times New Roman"/>
        </w:rPr>
      </w:pPr>
      <w:r w:rsidRPr="00CF3C77">
        <w:rPr>
          <w:rStyle w:val="FootnoteReference"/>
          <w:rFonts w:ascii="Aptos" w:hAnsi="Aptos" w:cs="Times New Roman"/>
        </w:rPr>
        <w:footnoteRef/>
      </w:r>
      <w:r w:rsidRPr="00CF3C77">
        <w:rPr>
          <w:rFonts w:ascii="Aptos" w:hAnsi="Aptos" w:cs="Times New Roman"/>
        </w:rPr>
        <w:t xml:space="preserve"> </w:t>
      </w:r>
      <w:r>
        <w:fldChar w:fldCharType="begin"/>
      </w:r>
      <w:r>
        <w:instrText xml:space="preserve"> HYPERLINK "https://www.gov.uk/government/statistics/agriculture-in-the-united-kingdom-2024/chapter-8-livestock" </w:instrText>
      </w:r>
      <w:r>
        <w:fldChar w:fldCharType="separate"/>
      </w:r>
      <w:r w:rsidRPr="00CF3C77">
        <w:rPr>
          <w:rStyle w:val="Hyperlink"/>
          <w:rFonts w:ascii="Aptos" w:hAnsi="Aptos" w:cs="Times New Roman"/>
        </w:rPr>
        <w:t>https://www.gov.uk/government/statistics/agriculture-in-the-united-kingdom-2024/chapter-8-livestock</w:t>
      </w:r>
      <w:r>
        <w:fldChar w:fldCharType="end"/>
      </w:r>
    </w:p>
  </w:footnote>
  <w:footnote w:id="4">
    <w:p w:rsidR="00000000" w:rsidRPr="00CF3C77" w:rsidP="00E327C2">
      <w:pPr>
        <w:pStyle w:val="FootnoteText"/>
        <w:rPr>
          <w:rFonts w:ascii="Aptos" w:hAnsi="Aptos" w:cs="Times New Roman"/>
        </w:rPr>
      </w:pPr>
      <w:r w:rsidRPr="00CF3C77">
        <w:rPr>
          <w:rStyle w:val="FootnoteReference"/>
          <w:rFonts w:ascii="Aptos" w:hAnsi="Aptos" w:cs="Times New Roman"/>
        </w:rPr>
        <w:footnoteRef/>
      </w:r>
      <w:r w:rsidRPr="00CF3C77">
        <w:rPr>
          <w:rFonts w:ascii="Aptos" w:hAnsi="Aptos" w:cs="Times New Roman"/>
        </w:rPr>
        <w:t xml:space="preserve"> </w:t>
      </w:r>
      <w:r>
        <w:fldChar w:fldCharType="begin"/>
      </w:r>
      <w:r>
        <w:instrText xml:space="preserve"> HYPERLINK "https://ahdb.org.uk/the-long-term-outlook-for-beef-and-sheep-meat-consumption" \l ":~:text=According%20to%20the%20Agricultural%20Outlook,and%20incomes%20continue%20to%20rise" </w:instrText>
      </w:r>
      <w:r>
        <w:fldChar w:fldCharType="separate"/>
      </w:r>
      <w:r w:rsidRPr="00CF3C77">
        <w:rPr>
          <w:rStyle w:val="Hyperlink"/>
          <w:rFonts w:ascii="Aptos" w:hAnsi="Aptos" w:cs="Times New Roman"/>
        </w:rPr>
        <w:t>What is the long-term outlook for beef and sheep meat consumption? | AHDB</w:t>
      </w:r>
      <w:r>
        <w:fldChar w:fldCharType="end"/>
      </w:r>
    </w:p>
  </w:footnote>
  <w:footnote w:id="5">
    <w:p w:rsidR="00000000" w:rsidRPr="00CF3C77" w:rsidP="00E327C2">
      <w:pPr>
        <w:pStyle w:val="NoSpacing"/>
        <w:rPr>
          <w:rFonts w:ascii="Aptos" w:hAnsi="Aptos" w:cs="Times New Roman"/>
          <w:sz w:val="20"/>
          <w:szCs w:val="20"/>
        </w:rPr>
      </w:pPr>
      <w:r w:rsidRPr="00CF3C77">
        <w:rPr>
          <w:rStyle w:val="FootnoteReference"/>
          <w:rFonts w:ascii="Aptos" w:hAnsi="Aptos" w:cs="Times New Roman"/>
          <w:sz w:val="20"/>
          <w:szCs w:val="20"/>
        </w:rPr>
        <w:footnoteRef/>
      </w:r>
      <w:r w:rsidRPr="00CF3C77">
        <w:rPr>
          <w:rFonts w:ascii="Aptos" w:hAnsi="Aptos" w:cs="Times New Roman"/>
          <w:sz w:val="20"/>
          <w:szCs w:val="20"/>
        </w:rPr>
        <w:t xml:space="preserve"> </w:t>
      </w:r>
      <w:r>
        <w:fldChar w:fldCharType="begin"/>
      </w:r>
      <w:r>
        <w:instrText xml:space="preserve"> HYPERLINK "https://www.gov.uk/government/statistics/farm-business-income/farm-business-income-by-farm-type-in-england-202425" \l "distribution-of-farm-business-income" </w:instrText>
      </w:r>
      <w:r>
        <w:fldChar w:fldCharType="separate"/>
      </w:r>
      <w:r w:rsidRPr="00CF3C77">
        <w:rPr>
          <w:rStyle w:val="Hyperlink"/>
          <w:rFonts w:ascii="Aptos" w:hAnsi="Aptos" w:cs="Times New Roman"/>
          <w:sz w:val="20"/>
          <w:szCs w:val="20"/>
        </w:rPr>
        <w:t>Farm Business Income by farm type in England 2024/25 - GOV.UK</w:t>
      </w:r>
      <w:r>
        <w:fldChar w:fldCharType="end"/>
      </w:r>
    </w:p>
  </w:footnote>
  <w:footnote w:id="6">
    <w:p w:rsidR="00000000" w:rsidRPr="00CF3C77" w:rsidP="00E327C2">
      <w:pPr>
        <w:pStyle w:val="FootnoteText"/>
        <w:rPr>
          <w:rFonts w:ascii="Aptos" w:hAnsi="Aptos" w:cs="Times New Roman"/>
        </w:rPr>
      </w:pPr>
      <w:r w:rsidRPr="00CF3C77">
        <w:rPr>
          <w:rStyle w:val="FootnoteReference"/>
          <w:rFonts w:ascii="Aptos" w:hAnsi="Aptos" w:cs="Times New Roman"/>
        </w:rPr>
        <w:footnoteRef/>
      </w:r>
      <w:r w:rsidRPr="00CF3C77">
        <w:rPr>
          <w:rFonts w:ascii="Aptos" w:hAnsi="Aptos" w:cs="Times New Roman"/>
        </w:rPr>
        <w:t xml:space="preserve"> </w:t>
      </w:r>
      <w:r>
        <w:fldChar w:fldCharType="begin"/>
      </w:r>
      <w:r>
        <w:instrText xml:space="preserve"> HYPERLINK "https://www.gov.uk/government/statistics/farm-business-income/forecasts-of-farm-business-income-by-type-of-farm-england-202526" </w:instrText>
      </w:r>
      <w:r>
        <w:fldChar w:fldCharType="separate"/>
      </w:r>
      <w:r w:rsidRPr="00CF3C77">
        <w:rPr>
          <w:rStyle w:val="Hyperlink"/>
          <w:rFonts w:ascii="Aptos" w:hAnsi="Aptos" w:cs="Times New Roman"/>
        </w:rPr>
        <w:t>Forecasts of Farm Business Income by type of farm, England, 2025/26 - GOV.UK</w:t>
      </w:r>
      <w:r>
        <w:fldChar w:fldCharType="end"/>
      </w:r>
    </w:p>
  </w:footnote>
  <w:footnote w:id="7">
    <w:p w:rsidR="00000000" w:rsidRPr="00590277" w:rsidP="00E327C2">
      <w:pPr>
        <w:pStyle w:val="FootnoteText"/>
        <w:rPr>
          <w:rFonts w:ascii="Times New Roman" w:hAnsi="Times New Roman" w:cs="Times New Roman"/>
        </w:rPr>
      </w:pPr>
      <w:r w:rsidRPr="00CF3C77">
        <w:rPr>
          <w:rStyle w:val="FootnoteReference"/>
          <w:rFonts w:ascii="Aptos" w:hAnsi="Aptos" w:cs="Times New Roman"/>
        </w:rPr>
        <w:footnoteRef/>
      </w:r>
      <w:r w:rsidRPr="00CF3C77">
        <w:rPr>
          <w:rFonts w:ascii="Aptos" w:hAnsi="Aptos" w:cs="Times New Roman"/>
        </w:rPr>
        <w:t xml:space="preserve"> </w:t>
      </w:r>
      <w:r>
        <w:fldChar w:fldCharType="begin"/>
      </w:r>
      <w:r>
        <w:instrText xml:space="preserve"> HYPERLINK "https://naturalengland-defra.opendata.arcgis.com/datasets/Defra::environmentally-sensitive-area-scheme-options-england/explore?location=51.983967%2C-1.296314%2C7.51" </w:instrText>
      </w:r>
      <w:r>
        <w:fldChar w:fldCharType="separate"/>
      </w:r>
      <w:r w:rsidRPr="00CF3C77">
        <w:rPr>
          <w:rStyle w:val="Hyperlink"/>
          <w:rFonts w:ascii="Aptos" w:hAnsi="Aptos" w:cs="Times New Roman"/>
          <w:color w:val="auto"/>
          <w:u w:val="none"/>
        </w:rPr>
        <w:t>Environmentally Sensitive Area Scheme Options (England) | Natural England Open Data Geoportal</w:t>
      </w:r>
      <w:r>
        <w:fldChar w:fldCharType="end"/>
      </w:r>
    </w:p>
  </w:footnote>
  <w:footnote w:id="8">
    <w:p w:rsidR="00000000" w:rsidRPr="00CF3C77" w:rsidP="00E327C2">
      <w:pPr>
        <w:pStyle w:val="FootnoteText"/>
        <w:rPr>
          <w:rFonts w:ascii="Aptos" w:hAnsi="Aptos" w:cs="Times New Roman"/>
        </w:rPr>
      </w:pPr>
      <w:r w:rsidRPr="00CF3C77">
        <w:rPr>
          <w:rStyle w:val="FootnoteReference"/>
          <w:rFonts w:ascii="Aptos" w:hAnsi="Aptos" w:cs="Times New Roman"/>
        </w:rPr>
        <w:footnoteRef/>
      </w:r>
      <w:r w:rsidRPr="00CF3C77">
        <w:rPr>
          <w:rFonts w:ascii="Aptos" w:hAnsi="Aptos" w:cs="Times New Roman"/>
        </w:rPr>
        <w:t xml:space="preserve"> </w:t>
      </w:r>
      <w:r>
        <w:fldChar w:fldCharType="begin"/>
      </w:r>
      <w:r>
        <w:instrText xml:space="preserve"> HYPERLINK "https://www.gov.uk/government/publications/uplands-review-a-report-on-upland-communities-in-england/towards-a-flourishing-uplands-phase-1" </w:instrText>
      </w:r>
      <w:r>
        <w:fldChar w:fldCharType="separate"/>
      </w:r>
      <w:r w:rsidRPr="00CF3C77">
        <w:rPr>
          <w:rStyle w:val="Hyperlink"/>
          <w:rFonts w:ascii="Aptos" w:hAnsi="Aptos" w:cs="Times New Roman"/>
        </w:rPr>
        <w:t xml:space="preserve">Towards a </w:t>
      </w:r>
      <w:r w:rsidRPr="00CF3C77">
        <w:rPr>
          <w:rStyle w:val="Hyperlink"/>
          <w:rFonts w:ascii="Aptos" w:hAnsi="Aptos" w:cs="Times New Roman"/>
        </w:rPr>
        <w:t>flourishing uplands</w:t>
      </w:r>
      <w:r w:rsidRPr="00CF3C77">
        <w:rPr>
          <w:rStyle w:val="Hyperlink"/>
          <w:rFonts w:ascii="Aptos" w:hAnsi="Aptos" w:cs="Times New Roman"/>
        </w:rPr>
        <w:t>: phase 1 - GOV.UK</w:t>
      </w:r>
      <w:r>
        <w:fldChar w:fldCharType="end"/>
      </w:r>
    </w:p>
  </w:footnote>
  <w:footnote w:id="9">
    <w:p w:rsidR="00000000" w:rsidRPr="00A515F1" w:rsidP="00E327C2">
      <w:pPr>
        <w:pStyle w:val="FootnoteText"/>
        <w:rPr>
          <w:rFonts w:ascii="Times New Roman" w:hAnsi="Times New Roman" w:cs="Times New Roman"/>
        </w:rPr>
      </w:pPr>
      <w:r w:rsidRPr="00CF3C77">
        <w:rPr>
          <w:rStyle w:val="FootnoteReference"/>
          <w:rFonts w:ascii="Aptos" w:hAnsi="Aptos" w:cs="Times New Roman"/>
        </w:rPr>
        <w:footnoteRef/>
      </w:r>
      <w:r w:rsidRPr="00CF3C77">
        <w:rPr>
          <w:rFonts w:ascii="Aptos" w:hAnsi="Aptos" w:cs="Times New Roman"/>
        </w:rPr>
        <w:t xml:space="preserve"> High ground, high potential – a future for England’s uplands communities, Commission for Rural Communities, June 2010</w:t>
      </w:r>
    </w:p>
  </w:footnote>
  <w:footnote w:id="10">
    <w:p w:rsidR="00000000" w:rsidRPr="00CF3C77" w:rsidP="00E327C2">
      <w:pPr>
        <w:pStyle w:val="FootnoteText"/>
        <w:rPr>
          <w:rFonts w:ascii="Aptos" w:hAnsi="Aptos"/>
        </w:rPr>
      </w:pPr>
      <w:r w:rsidRPr="00CF3C77">
        <w:rPr>
          <w:rStyle w:val="FootnoteReference"/>
          <w:rFonts w:ascii="Aptos" w:hAnsi="Aptos"/>
        </w:rPr>
        <w:footnoteRef/>
      </w:r>
      <w:r w:rsidRPr="00CF3C77">
        <w:rPr>
          <w:rFonts w:ascii="Aptos" w:hAnsi="Aptos"/>
        </w:rPr>
        <w:t xml:space="preserve"> </w:t>
      </w:r>
      <w:r>
        <w:fldChar w:fldCharType="begin"/>
      </w:r>
      <w:r>
        <w:instrText xml:space="preserve"> HYPERLINK "https://view.officeapps.live.com/op/view.aspx?src=https%3A%2F%2Fassets.publishing.service.gov.uk%2Fmedia%2F67f76e96563cc9c84bacc441%2Fstructure-england-june-less-favoured-areas-apr25.ods&amp;wdOrigin=BROWSELINK" </w:instrText>
      </w:r>
      <w:r>
        <w:fldChar w:fldCharType="separate"/>
      </w:r>
      <w:r w:rsidRPr="00CF3C77">
        <w:rPr>
          <w:rStyle w:val="Hyperlink"/>
          <w:rFonts w:ascii="Aptos" w:hAnsi="Aptos" w:cs="Times New Roman"/>
          <w:b/>
          <w:bCs/>
        </w:rPr>
        <w:t xml:space="preserve">Numbers of commercial holdings and key land areas/livestock types by Less Favoured areas </w:t>
      </w:r>
      <w:r w:rsidRPr="00CF3C77">
        <w:rPr>
          <w:rStyle w:val="Hyperlink"/>
          <w:rFonts w:ascii="Aptos" w:hAnsi="Aptos" w:cs="Times New Roman"/>
          <w:b/>
          <w:bCs/>
        </w:rPr>
        <w:t>at</w:t>
      </w:r>
      <w:r w:rsidRPr="00CF3C77">
        <w:rPr>
          <w:rStyle w:val="Hyperlink"/>
          <w:rFonts w:ascii="Aptos" w:hAnsi="Aptos" w:cs="Times New Roman"/>
          <w:b/>
          <w:bCs/>
        </w:rPr>
        <w:t xml:space="preserve"> 1 June each year: England</w:t>
      </w:r>
      <w:r>
        <w:fldChar w:fldCharType="end"/>
      </w:r>
      <w:r w:rsidRPr="00CF3C77">
        <w:rPr>
          <w:rFonts w:ascii="Aptos" w:hAnsi="Aptos" w:cs="Times New Roman"/>
        </w:rPr>
        <w:t> – Defra, April 2025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P="001605B3">
    <w:pPr>
      <w:pStyle w:val="Header"/>
      <w:jc w:val="right"/>
    </w:pPr>
    <w:r>
      <w:rPr>
        <w:rFonts w:ascii="Arial" w:hAnsi="Arial" w:cs="Arial"/>
        <w:noProof/>
        <w:color w:val="008535"/>
        <w:sz w:val="20"/>
        <w:szCs w:val="20"/>
      </w:rPr>
      <w:pict>
        <v:shapetype id="_x0000_t202" coordsize="21600,21600" o:spt="202" path="m,l,21600r21600,l21600,xe">
          <v:stroke joinstyle="miter"/>
          <v:path gradientshapeok="t" o:connecttype="rect"/>
        </v:shapetype>
        <v:shape id="Text Box 16" o:spid="_x0000_s2049" type="#_x0000_t202" style="height:27pt;margin-left:-9pt;margin-top:9pt;mso-height-percent:0;mso-height-relative:page;mso-width-percent:0;mso-width-relative:page;mso-wrap-distance-bottom:0;mso-wrap-distance-left:9pt;mso-wrap-distance-right:9pt;mso-wrap-distance-top:0;mso-wrap-style:square;position:absolute;v-text-anchor:top;visibility:visible;width:81pt;z-index:251662336" filled="f" stroked="f">
          <v:textbox>
            <w:txbxContent>
              <w:p w:rsidR="00000000" w:rsidRPr="003747EF">
                <w:pPr>
                  <w:rPr>
                    <w:sz w:val="22"/>
                    <w:szCs w:val="22"/>
                  </w:rPr>
                </w:pPr>
                <w:r>
                  <w:rPr>
                    <w:rFonts w:ascii="Arial" w:hAnsi="Arial" w:cs="Arial"/>
                    <w:color w:val="008535"/>
                    <w:sz w:val="22"/>
                    <w:szCs w:val="22"/>
                  </w:rPr>
                  <w:t xml:space="preserve"> </w:t>
                </w:r>
                <w:r>
                  <w:rPr>
                    <w:rFonts w:ascii="Arial" w:hAnsi="Arial" w:cs="Arial"/>
                    <w:color w:val="008535"/>
                    <w:sz w:val="22"/>
                    <w:szCs w:val="22"/>
                  </w:rPr>
                  <w:t xml:space="preserve">Page </w:t>
                </w:r>
                <w:r w:rsidRPr="003747EF">
                  <w:rPr>
                    <w:rStyle w:val="PageNumber"/>
                    <w:rFonts w:ascii="Arial" w:hAnsi="Arial" w:cs="Arial"/>
                    <w:color w:val="016938"/>
                    <w:sz w:val="22"/>
                    <w:szCs w:val="22"/>
                  </w:rPr>
                  <w:fldChar w:fldCharType="begin"/>
                </w:r>
                <w:r w:rsidRPr="003747EF">
                  <w:rPr>
                    <w:rStyle w:val="PageNumber"/>
                    <w:rFonts w:ascii="Arial" w:hAnsi="Arial" w:cs="Arial"/>
                    <w:color w:val="016938"/>
                    <w:sz w:val="22"/>
                    <w:szCs w:val="22"/>
                  </w:rPr>
                  <w:instrText xml:space="preserve"> PAGE </w:instrText>
                </w:r>
                <w:r w:rsidRPr="003747EF">
                  <w:rPr>
                    <w:rStyle w:val="PageNumber"/>
                    <w:rFonts w:ascii="Arial" w:hAnsi="Arial" w:cs="Arial"/>
                    <w:color w:val="016938"/>
                    <w:sz w:val="22"/>
                    <w:szCs w:val="22"/>
                  </w:rPr>
                  <w:fldChar w:fldCharType="separate"/>
                </w:r>
                <w:r>
                  <w:rPr>
                    <w:rStyle w:val="PageNumber"/>
                    <w:rFonts w:ascii="Arial" w:hAnsi="Arial" w:cs="Arial"/>
                    <w:noProof/>
                    <w:color w:val="016938"/>
                    <w:sz w:val="22"/>
                    <w:szCs w:val="22"/>
                  </w:rPr>
                  <w:t>1</w:t>
                </w:r>
                <w:r w:rsidRPr="003747EF">
                  <w:rPr>
                    <w:rStyle w:val="PageNumber"/>
                    <w:rFonts w:ascii="Arial" w:hAnsi="Arial" w:cs="Arial"/>
                    <w:color w:val="016938"/>
                    <w:sz w:val="22"/>
                    <w:szCs w:val="22"/>
                  </w:rPr>
                  <w:fldChar w:fldCharType="end"/>
                </w:r>
              </w:p>
            </w:txbxContent>
          </v:textbox>
        </v:shape>
      </w:pict>
    </w:r>
    <w:r>
      <w:rPr>
        <w:rFonts w:ascii="Arial" w:hAnsi="Arial" w:cs="Arial"/>
        <w:color w:val="008535"/>
        <w:sz w:val="40"/>
        <w:szCs w:val="4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F8A0AC"/>
    <w:multiLevelType w:val="hybridMultilevel"/>
    <w:tmpl w:val="03148282"/>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A1C01F9"/>
    <w:multiLevelType w:val="hybridMultilevel"/>
    <w:tmpl w:val="A5D438BA"/>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17AA5B68"/>
    <w:multiLevelType w:val="hybridMultilevel"/>
    <w:tmpl w:val="CAEEA0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33A4612C"/>
    <w:multiLevelType w:val="hybridMultilevel"/>
    <w:tmpl w:val="20C6D75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34A62ECC"/>
    <w:multiLevelType w:val="hybridMultilevel"/>
    <w:tmpl w:val="FD0E9DE6"/>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352C17A8"/>
    <w:multiLevelType w:val="hybridMultilevel"/>
    <w:tmpl w:val="A6BAB98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0B97604"/>
    <w:multiLevelType w:val="hybridMultilevel"/>
    <w:tmpl w:val="FAE01412"/>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2"/>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rawingGridHorizontalSpacing w:val="120"/>
  <w:displayHorizontalDrawingGridEvery w:val="2"/>
  <w:displayVerticalDrawingGridEvery w:val="2"/>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81C9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81C9F"/>
    <w:pPr>
      <w:tabs>
        <w:tab w:val="center" w:pos="4153"/>
        <w:tab w:val="right" w:pos="8306"/>
      </w:tabs>
    </w:pPr>
  </w:style>
  <w:style w:type="paragraph" w:styleId="Footer">
    <w:name w:val="footer"/>
    <w:basedOn w:val="Normal"/>
    <w:rsid w:val="00481C9F"/>
    <w:pPr>
      <w:tabs>
        <w:tab w:val="center" w:pos="4153"/>
        <w:tab w:val="right" w:pos="8306"/>
      </w:tabs>
    </w:pPr>
  </w:style>
  <w:style w:type="character" w:styleId="PageNumber">
    <w:name w:val="page number"/>
    <w:basedOn w:val="DefaultParagraphFont"/>
    <w:rsid w:val="00481C9F"/>
  </w:style>
  <w:style w:type="character" w:styleId="Hyperlink">
    <w:name w:val="Hyperlink"/>
    <w:basedOn w:val="DefaultParagraphFont"/>
    <w:uiPriority w:val="99"/>
    <w:unhideWhenUsed/>
    <w:rsid w:val="00880FCF"/>
    <w:rPr>
      <w:color w:val="0563C1"/>
      <w:u w:val="single"/>
    </w:rPr>
  </w:style>
  <w:style w:type="character" w:customStyle="1" w:styleId="UnresolvedMention1">
    <w:name w:val="Unresolved Mention1"/>
    <w:basedOn w:val="DefaultParagraphFont"/>
    <w:uiPriority w:val="99"/>
    <w:semiHidden/>
    <w:unhideWhenUsed/>
    <w:rsid w:val="00330743"/>
    <w:rPr>
      <w:color w:val="605E5C"/>
      <w:shd w:val="clear" w:color="auto" w:fill="E1DFDD"/>
    </w:rPr>
  </w:style>
  <w:style w:type="paragraph" w:styleId="ListParagraph">
    <w:name w:val="List Paragraph"/>
    <w:basedOn w:val="Normal"/>
    <w:uiPriority w:val="34"/>
    <w:qFormat/>
    <w:rsid w:val="00C910AA"/>
    <w:pPr>
      <w:ind w:left="720"/>
      <w:contextualSpacing/>
    </w:pPr>
  </w:style>
  <w:style w:type="paragraph" w:styleId="FootnoteText">
    <w:name w:val="footnote text"/>
    <w:basedOn w:val="Normal"/>
    <w:link w:val="FootnoteTextChar"/>
    <w:unhideWhenUsed/>
    <w:rsid w:val="00E327C2"/>
    <w:rPr>
      <w:rFonts w:asciiTheme="minorHAnsi" w:eastAsiaTheme="minorHAnsi" w:hAnsiTheme="minorHAnsi" w:cstheme="minorBidi"/>
      <w:kern w:val="2"/>
      <w:sz w:val="20"/>
      <w:szCs w:val="20"/>
      <w:lang w:eastAsia="en-US"/>
    </w:rPr>
  </w:style>
  <w:style w:type="character" w:customStyle="1" w:styleId="FootnoteTextChar">
    <w:name w:val="Footnote Text Char"/>
    <w:basedOn w:val="DefaultParagraphFont"/>
    <w:link w:val="FootnoteText"/>
    <w:rsid w:val="00E327C2"/>
    <w:rPr>
      <w:rFonts w:asciiTheme="minorHAnsi" w:eastAsiaTheme="minorHAnsi" w:hAnsiTheme="minorHAnsi" w:cstheme="minorBidi"/>
      <w:kern w:val="2"/>
      <w:lang w:eastAsia="en-US"/>
    </w:rPr>
  </w:style>
  <w:style w:type="character" w:styleId="FootnoteReference">
    <w:name w:val="footnote reference"/>
    <w:basedOn w:val="DefaultParagraphFont"/>
    <w:unhideWhenUsed/>
    <w:rsid w:val="00E327C2"/>
    <w:rPr>
      <w:vertAlign w:val="superscript"/>
    </w:rPr>
  </w:style>
  <w:style w:type="paragraph" w:styleId="NoSpacing">
    <w:name w:val="No Spacing"/>
    <w:uiPriority w:val="1"/>
    <w:qFormat/>
    <w:rsid w:val="00E327C2"/>
    <w:rPr>
      <w:rFonts w:asciiTheme="minorHAnsi" w:eastAsiaTheme="minorHAnsi" w:hAnsiTheme="minorHAnsi" w:cstheme="minorBidi"/>
      <w:kern w:val="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23A143F4F6E94B889DFDBD22BF9D23" ma:contentTypeVersion="12" ma:contentTypeDescription="Create a new document." ma:contentTypeScope="" ma:versionID="a993dd90693b5e5400acbd792369caf8">
  <xsd:schema xmlns:xsd="http://www.w3.org/2001/XMLSchema" xmlns:xs="http://www.w3.org/2001/XMLSchema" xmlns:p="http://schemas.microsoft.com/office/2006/metadata/properties" xmlns:ns2="a81e2d97-3400-43bd-a7cf-b87ea8c5eb0f" xmlns:ns3="0b96abd2-a51d-4798-862f-38c5fe4c6b4a" targetNamespace="http://schemas.microsoft.com/office/2006/metadata/properties" ma:root="true" ma:fieldsID="4bf29e61ab042f5149bf7acd012f1e4c" ns2:_="" ns3:_="">
    <xsd:import namespace="a81e2d97-3400-43bd-a7cf-b87ea8c5eb0f"/>
    <xsd:import namespace="0b96abd2-a51d-4798-862f-38c5fe4c6b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1e2d97-3400-43bd-a7cf-b87ea8c5eb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dac1349-945f-4eee-882f-a9778f82129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96abd2-a51d-4798-862f-38c5fe4c6b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174a21-b5a7-4e75-a311-b775948642a4}" ma:internalName="TaxCatchAll" ma:showField="CatchAllData" ma:web="0b96abd2-a51d-4798-862f-38c5fe4c6b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81e2d97-3400-43bd-a7cf-b87ea8c5eb0f">
      <Terms xmlns="http://schemas.microsoft.com/office/infopath/2007/PartnerControls"/>
    </lcf76f155ced4ddcb4097134ff3c332f>
    <TaxCatchAll xmlns="0b96abd2-a51d-4798-862f-38c5fe4c6b4a" xsi:nil="true"/>
  </documentManagement>
</p:properties>
</file>

<file path=customXml/itemProps1.xml><?xml version="1.0" encoding="utf-8"?>
<ds:datastoreItem xmlns:ds="http://schemas.openxmlformats.org/officeDocument/2006/customXml" ds:itemID="{36564B19-3B71-4F42-B53B-9AED28BC8284}">
  <ds:schemaRefs>
    <ds:schemaRef ds:uri="http://schemas.microsoft.com/sharepoint/v3/contenttype/forms"/>
  </ds:schemaRefs>
</ds:datastoreItem>
</file>

<file path=customXml/itemProps2.xml><?xml version="1.0" encoding="utf-8"?>
<ds:datastoreItem xmlns:ds="http://schemas.openxmlformats.org/officeDocument/2006/customXml" ds:itemID="{8F650E5D-67ED-4D29-AD53-EACF9A1D4A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1e2d97-3400-43bd-a7cf-b87ea8c5eb0f"/>
    <ds:schemaRef ds:uri="0b96abd2-a51d-4798-862f-38c5fe4c6b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A35336-BFCA-4445-B3EC-5401219E2FF7}">
  <ds:schemaRefs>
    <ds:schemaRef ds:uri="http://schemas.microsoft.com/office/2006/metadata/properties"/>
    <ds:schemaRef ds:uri="http://schemas.microsoft.com/office/infopath/2007/PartnerControls"/>
    <ds:schemaRef ds:uri="a81e2d97-3400-43bd-a7cf-b87ea8c5eb0f"/>
    <ds:schemaRef ds:uri="0b96abd2-a51d-4798-862f-38c5fe4c6b4a"/>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LUN0034</dc:title>
  <cp:revision>0</cp:revision>
</cp:coreProperties>
</file>