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E3F9A" w:rsidRPr="00D37160" w:rsidP="000F6C80">
      <w:pPr>
        <w:rPr>
          <w:rFonts w:ascii="Calibri" w:hAnsi="Calibri" w:cs="Calibri"/>
          <w:b/>
          <w:bCs/>
        </w:rPr>
      </w:pPr>
    </w:p>
    <w:p w:rsidR="007E3F9A" w:rsidRPr="00D37160" w:rsidP="000F6C80">
      <w:pPr>
        <w:rPr>
          <w:rFonts w:ascii="Calibri" w:hAnsi="Calibri" w:cs="Calibri"/>
          <w:b/>
          <w:bCs/>
        </w:rPr>
      </w:pPr>
    </w:p>
    <w:p w:rsidR="007E3F9A" w:rsidRPr="00D37160" w:rsidP="000F6C80">
      <w:pPr>
        <w:jc w:val="center"/>
        <w:rPr>
          <w:rFonts w:ascii="Calibri" w:hAnsi="Calibri" w:cs="Calibri"/>
          <w:b/>
          <w:bCs/>
        </w:rPr>
      </w:pPr>
      <w:r>
        <w:rPr>
          <w:rFonts w:ascii="Calibri" w:hAnsi="Calibri" w:cs="Calibri"/>
          <w:b/>
          <w:bCs/>
        </w:rPr>
        <w:t>Written evidence submitted by The Full Impact (FPW00</w:t>
      </w:r>
      <w:r w:rsidR="001548CE">
        <w:rPr>
          <w:rFonts w:ascii="Calibri" w:hAnsi="Calibri" w:cs="Calibri"/>
          <w:b/>
          <w:bCs/>
        </w:rPr>
        <w:t>10</w:t>
      </w:r>
      <w:r>
        <w:rPr>
          <w:rFonts w:ascii="Calibri" w:hAnsi="Calibri" w:cs="Calibri"/>
          <w:b/>
          <w:bCs/>
        </w:rPr>
        <w:t>)</w:t>
      </w:r>
    </w:p>
    <w:p w:rsidR="007E3F9A" w:rsidRPr="00D37160" w:rsidP="000F6C80">
      <w:pPr>
        <w:rPr>
          <w:rFonts w:ascii="Calibri" w:hAnsi="Calibri" w:cs="Calibri"/>
        </w:rPr>
      </w:pPr>
    </w:p>
    <w:p w:rsidR="007E3F9A" w:rsidRPr="00D37160" w:rsidP="006D090A">
      <w:pPr>
        <w:spacing w:line="240" w:lineRule="auto"/>
        <w:rPr>
          <w:rFonts w:ascii="Calibri" w:hAnsi="Calibri" w:cs="Calibri"/>
          <w:b/>
          <w:bCs/>
        </w:rPr>
      </w:pPr>
      <w:r w:rsidRPr="00D37160">
        <w:rPr>
          <w:rFonts w:ascii="Calibri" w:hAnsi="Calibri" w:cs="Calibri"/>
          <w:b/>
          <w:bCs/>
        </w:rPr>
        <w:t>Introduction</w:t>
      </w:r>
    </w:p>
    <w:p w:rsidR="007E3F9A" w:rsidRPr="00D37160" w:rsidP="006D090A">
      <w:pPr>
        <w:spacing w:line="240" w:lineRule="auto"/>
        <w:rPr>
          <w:rFonts w:ascii="Calibri" w:hAnsi="Calibri" w:cs="Calibri"/>
        </w:rPr>
      </w:pPr>
      <w:r w:rsidRPr="00D37160">
        <w:rPr>
          <w:rFonts w:ascii="Calibri" w:hAnsi="Calibri" w:cs="Calibri"/>
        </w:rPr>
        <w:t>I am the founder of The Full Impact, a survivor-led campaign working to improve trauma-informed responses across policing, the criminal justice system, health services and victim support services.</w:t>
      </w:r>
    </w:p>
    <w:p w:rsidR="007E3F9A" w:rsidRPr="00D37160" w:rsidP="006D090A">
      <w:pPr>
        <w:spacing w:line="240" w:lineRule="auto"/>
        <w:rPr>
          <w:rFonts w:ascii="Calibri" w:hAnsi="Calibri" w:cs="Calibri"/>
        </w:rPr>
      </w:pPr>
    </w:p>
    <w:p w:rsidR="007E3F9A" w:rsidRPr="00D37160" w:rsidP="006D090A">
      <w:pPr>
        <w:spacing w:line="240" w:lineRule="auto"/>
        <w:rPr>
          <w:rFonts w:ascii="Calibri" w:hAnsi="Calibri" w:cs="Calibri"/>
        </w:rPr>
      </w:pPr>
      <w:r w:rsidRPr="00D37160">
        <w:rPr>
          <w:rFonts w:ascii="Calibri" w:hAnsi="Calibri" w:cs="Calibri"/>
        </w:rPr>
        <w:t>My submission is informed by lived experience as a survivor, my experience of engaging with the criminal justice system, and ongoing discussions with professionals, organisations and policymakers across Wales and the wider UK.</w:t>
      </w:r>
    </w:p>
    <w:p w:rsidR="007E3F9A" w:rsidRPr="00D37160" w:rsidP="006D090A">
      <w:pPr>
        <w:spacing w:line="240" w:lineRule="auto"/>
        <w:rPr>
          <w:rFonts w:ascii="Calibri" w:hAnsi="Calibri" w:cs="Calibri"/>
        </w:rPr>
      </w:pPr>
      <w:r w:rsidRPr="00D37160">
        <w:rPr>
          <w:rFonts w:ascii="Calibri" w:hAnsi="Calibri" w:cs="Calibri"/>
        </w:rPr>
        <w:t>The future of policing in Wales presents an opportunity not only to consider governance structures, but also how policing can better meet the needs of victims, survivors and communities.</w:t>
      </w:r>
    </w:p>
    <w:p w:rsidR="007E3F9A" w:rsidRPr="00D37160" w:rsidP="006D090A">
      <w:pPr>
        <w:spacing w:line="240" w:lineRule="auto"/>
        <w:rPr>
          <w:rFonts w:ascii="Calibri" w:hAnsi="Calibri" w:cs="Calibri"/>
        </w:rPr>
      </w:pPr>
    </w:p>
    <w:p w:rsidR="007E3F9A" w:rsidRPr="00D37160" w:rsidP="006D090A">
      <w:pPr>
        <w:spacing w:line="240" w:lineRule="auto"/>
        <w:rPr>
          <w:rFonts w:ascii="Calibri" w:hAnsi="Calibri" w:cs="Calibri"/>
          <w:b/>
          <w:bCs/>
        </w:rPr>
      </w:pPr>
      <w:r w:rsidRPr="00D37160">
        <w:rPr>
          <w:rFonts w:ascii="Calibri" w:hAnsi="Calibri" w:cs="Calibri"/>
          <w:b/>
          <w:bCs/>
        </w:rPr>
        <w:t>How Should Police Forces in Wales Be Held to Account?</w:t>
      </w:r>
    </w:p>
    <w:p w:rsidR="007E3F9A" w:rsidRPr="00D37160" w:rsidP="006D090A">
      <w:pPr>
        <w:spacing w:line="240" w:lineRule="auto"/>
        <w:rPr>
          <w:rFonts w:ascii="Calibri" w:hAnsi="Calibri" w:cs="Calibri"/>
          <w:b/>
          <w:bCs/>
        </w:rPr>
      </w:pPr>
    </w:p>
    <w:p w:rsidR="007E3F9A" w:rsidRPr="00D37160" w:rsidP="006D090A">
      <w:pPr>
        <w:spacing w:line="240" w:lineRule="auto"/>
        <w:rPr>
          <w:rFonts w:ascii="Calibri" w:hAnsi="Calibri" w:cs="Calibri"/>
        </w:rPr>
      </w:pPr>
      <w:r w:rsidRPr="00D37160">
        <w:rPr>
          <w:rFonts w:ascii="Calibri" w:hAnsi="Calibri" w:cs="Calibri"/>
        </w:rPr>
        <w:t>If Police and Crime Commissioners are abolished, any replacement model must ensure that police forces remain accountable to the public and that victims continue to have a voice in shaping policing priorities.</w:t>
      </w:r>
    </w:p>
    <w:p w:rsidR="007E3F9A" w:rsidRPr="00D37160" w:rsidP="006D090A">
      <w:pPr>
        <w:spacing w:line="240" w:lineRule="auto"/>
        <w:rPr>
          <w:rFonts w:ascii="Calibri" w:hAnsi="Calibri" w:cs="Calibri"/>
        </w:rPr>
      </w:pPr>
    </w:p>
    <w:p w:rsidR="007E3F9A" w:rsidRPr="00D37160" w:rsidP="006D090A">
      <w:pPr>
        <w:spacing w:line="240" w:lineRule="auto"/>
        <w:rPr>
          <w:rFonts w:ascii="Calibri" w:hAnsi="Calibri" w:cs="Calibri"/>
        </w:rPr>
      </w:pPr>
      <w:r w:rsidRPr="00D37160">
        <w:rPr>
          <w:rFonts w:ascii="Calibri" w:hAnsi="Calibri" w:cs="Calibri"/>
        </w:rPr>
        <w:t>Accountability should extend beyond crime statistics and include:</w:t>
      </w:r>
    </w:p>
    <w:p w:rsidR="007E3F9A" w:rsidRPr="00D37160" w:rsidP="006D090A">
      <w:pPr>
        <w:spacing w:line="240" w:lineRule="auto"/>
        <w:rPr>
          <w:rFonts w:ascii="Calibri" w:hAnsi="Calibri" w:cs="Calibri"/>
        </w:rPr>
      </w:pPr>
    </w:p>
    <w:p w:rsidR="007E3F9A" w:rsidRPr="00D37160" w:rsidP="006D090A">
      <w:pPr>
        <w:numPr>
          <w:ilvl w:val="0"/>
          <w:numId w:val="1"/>
        </w:numPr>
        <w:spacing w:line="240" w:lineRule="auto"/>
        <w:rPr>
          <w:rFonts w:ascii="Calibri" w:hAnsi="Calibri" w:cs="Calibri"/>
        </w:rPr>
      </w:pPr>
      <w:r w:rsidRPr="00D37160">
        <w:rPr>
          <w:rFonts w:ascii="Calibri" w:hAnsi="Calibri" w:cs="Calibri"/>
        </w:rPr>
        <w:t>Victim confidence and satisfaction.</w:t>
      </w:r>
    </w:p>
    <w:p w:rsidR="007E3F9A" w:rsidRPr="00D37160" w:rsidP="006D090A">
      <w:pPr>
        <w:numPr>
          <w:ilvl w:val="0"/>
          <w:numId w:val="1"/>
        </w:numPr>
        <w:spacing w:line="240" w:lineRule="auto"/>
        <w:rPr>
          <w:rFonts w:ascii="Calibri" w:hAnsi="Calibri" w:cs="Calibri"/>
        </w:rPr>
      </w:pPr>
      <w:r w:rsidRPr="00D37160">
        <w:rPr>
          <w:rFonts w:ascii="Calibri" w:hAnsi="Calibri" w:cs="Calibri"/>
        </w:rPr>
        <w:t>Quality of communication with victims.</w:t>
      </w:r>
    </w:p>
    <w:p w:rsidR="007E3F9A" w:rsidRPr="00D37160" w:rsidP="006D090A">
      <w:pPr>
        <w:numPr>
          <w:ilvl w:val="0"/>
          <w:numId w:val="1"/>
        </w:numPr>
        <w:spacing w:line="240" w:lineRule="auto"/>
        <w:rPr>
          <w:rFonts w:ascii="Calibri" w:hAnsi="Calibri" w:cs="Calibri"/>
        </w:rPr>
      </w:pPr>
      <w:r w:rsidRPr="00D37160">
        <w:rPr>
          <w:rFonts w:ascii="Calibri" w:hAnsi="Calibri" w:cs="Calibri"/>
        </w:rPr>
        <w:t>Public trust in policing.</w:t>
      </w:r>
    </w:p>
    <w:p w:rsidR="007E3F9A" w:rsidRPr="00D37160" w:rsidP="006D090A">
      <w:pPr>
        <w:numPr>
          <w:ilvl w:val="0"/>
          <w:numId w:val="1"/>
        </w:numPr>
        <w:spacing w:line="240" w:lineRule="auto"/>
        <w:rPr>
          <w:rFonts w:ascii="Calibri" w:hAnsi="Calibri" w:cs="Calibri"/>
        </w:rPr>
      </w:pPr>
      <w:r w:rsidRPr="00D37160">
        <w:rPr>
          <w:rFonts w:ascii="Calibri" w:hAnsi="Calibri" w:cs="Calibri"/>
        </w:rPr>
        <w:t>Independent scrutiny of police responses to violence against women and girls, domestic abuse and sexual violence.</w:t>
      </w:r>
    </w:p>
    <w:p w:rsidR="007E3F9A" w:rsidRPr="00D37160" w:rsidP="006D090A">
      <w:pPr>
        <w:numPr>
          <w:ilvl w:val="0"/>
          <w:numId w:val="1"/>
        </w:numPr>
        <w:spacing w:line="240" w:lineRule="auto"/>
        <w:rPr>
          <w:rFonts w:ascii="Calibri" w:hAnsi="Calibri" w:cs="Calibri"/>
        </w:rPr>
      </w:pPr>
      <w:r w:rsidRPr="00D37160">
        <w:rPr>
          <w:rFonts w:ascii="Calibri" w:hAnsi="Calibri" w:cs="Calibri"/>
        </w:rPr>
        <w:t>Evidence of trauma-informed practice.</w:t>
      </w:r>
    </w:p>
    <w:p w:rsidR="007E3F9A" w:rsidRPr="00D37160" w:rsidP="006D090A">
      <w:pPr>
        <w:spacing w:line="240" w:lineRule="auto"/>
        <w:rPr>
          <w:rFonts w:ascii="Calibri" w:hAnsi="Calibri" w:cs="Calibri"/>
        </w:rPr>
      </w:pPr>
      <w:r w:rsidRPr="00D37160">
        <w:rPr>
          <w:rFonts w:ascii="Calibri" w:hAnsi="Calibri" w:cs="Calibri"/>
        </w:rPr>
        <w:t>Victims and survivors should be represented within future governance structures through advisory panels, consultation processes and formal engagement mechanisms.</w:t>
      </w:r>
    </w:p>
    <w:p w:rsidR="007E3F9A" w:rsidRPr="00D37160" w:rsidP="006D090A">
      <w:pPr>
        <w:spacing w:line="240" w:lineRule="auto"/>
        <w:rPr>
          <w:rFonts w:ascii="Calibri" w:hAnsi="Calibri" w:cs="Calibri"/>
        </w:rPr>
      </w:pPr>
      <w:r w:rsidRPr="00D37160">
        <w:rPr>
          <w:rFonts w:ascii="Calibri" w:hAnsi="Calibri" w:cs="Calibri"/>
        </w:rPr>
        <w:t>Public confidence is strengthened when communities can see that policing is listening, learning and responding to lived experience.</w:t>
      </w:r>
    </w:p>
    <w:p w:rsidR="007E3F9A" w:rsidRPr="00D37160" w:rsidP="006D090A">
      <w:pPr>
        <w:spacing w:line="240" w:lineRule="auto"/>
        <w:rPr>
          <w:rFonts w:ascii="Calibri" w:hAnsi="Calibri" w:cs="Calibri"/>
          <w:b/>
          <w:bCs/>
        </w:rPr>
      </w:pPr>
    </w:p>
    <w:p w:rsidR="007E3F9A" w:rsidRPr="00D37160" w:rsidP="006D090A">
      <w:pPr>
        <w:spacing w:line="240" w:lineRule="auto"/>
        <w:rPr>
          <w:rFonts w:ascii="Calibri" w:hAnsi="Calibri" w:cs="Calibri"/>
          <w:b/>
          <w:bCs/>
        </w:rPr>
      </w:pPr>
      <w:r w:rsidRPr="00D37160">
        <w:rPr>
          <w:rFonts w:ascii="Calibri" w:hAnsi="Calibri" w:cs="Calibri"/>
          <w:b/>
          <w:bCs/>
        </w:rPr>
        <w:t>Lessons from the Police and Crime Commissioner Model</w:t>
      </w:r>
    </w:p>
    <w:p w:rsidR="007E3F9A" w:rsidRPr="00D37160" w:rsidP="006D090A">
      <w:pPr>
        <w:spacing w:line="240" w:lineRule="auto"/>
        <w:rPr>
          <w:rFonts w:ascii="Calibri" w:hAnsi="Calibri" w:cs="Calibri"/>
          <w:b/>
          <w:bCs/>
        </w:rPr>
      </w:pPr>
    </w:p>
    <w:p w:rsidR="007E3F9A" w:rsidRPr="00D37160" w:rsidP="006D090A">
      <w:pPr>
        <w:spacing w:line="240" w:lineRule="auto"/>
        <w:rPr>
          <w:rFonts w:ascii="Calibri" w:hAnsi="Calibri" w:cs="Calibri"/>
        </w:rPr>
      </w:pPr>
      <w:r w:rsidRPr="00D37160">
        <w:rPr>
          <w:rFonts w:ascii="Calibri" w:hAnsi="Calibri" w:cs="Calibri"/>
        </w:rPr>
        <w:t>Police and Crime Commissioners have played an important role in providing visible public accountability and commissioning services for victims.</w:t>
      </w:r>
    </w:p>
    <w:p w:rsidR="007E3F9A" w:rsidRPr="00D37160" w:rsidP="006D090A">
      <w:pPr>
        <w:spacing w:line="240" w:lineRule="auto"/>
        <w:rPr>
          <w:rFonts w:ascii="Calibri" w:hAnsi="Calibri" w:cs="Calibri"/>
        </w:rPr>
      </w:pPr>
    </w:p>
    <w:p w:rsidR="007E3F9A" w:rsidRPr="00D37160" w:rsidP="006D090A">
      <w:pPr>
        <w:spacing w:line="240" w:lineRule="auto"/>
        <w:rPr>
          <w:rFonts w:ascii="Calibri" w:hAnsi="Calibri" w:cs="Calibri"/>
        </w:rPr>
      </w:pPr>
      <w:r w:rsidRPr="00D37160">
        <w:rPr>
          <w:rFonts w:ascii="Calibri" w:hAnsi="Calibri" w:cs="Calibri"/>
        </w:rPr>
        <w:t>Any future model should retain:</w:t>
      </w:r>
    </w:p>
    <w:p w:rsidR="007E3F9A" w:rsidRPr="00D37160" w:rsidP="006D090A">
      <w:pPr>
        <w:spacing w:line="240" w:lineRule="auto"/>
        <w:rPr>
          <w:rFonts w:ascii="Calibri" w:hAnsi="Calibri" w:cs="Calibri"/>
        </w:rPr>
      </w:pPr>
    </w:p>
    <w:p w:rsidR="007E3F9A" w:rsidRPr="00D37160" w:rsidP="006D090A">
      <w:pPr>
        <w:numPr>
          <w:ilvl w:val="0"/>
          <w:numId w:val="2"/>
        </w:numPr>
        <w:spacing w:line="240" w:lineRule="auto"/>
        <w:rPr>
          <w:rFonts w:ascii="Calibri" w:hAnsi="Calibri" w:cs="Calibri"/>
        </w:rPr>
      </w:pPr>
      <w:r w:rsidRPr="00D37160">
        <w:rPr>
          <w:rFonts w:ascii="Calibri" w:hAnsi="Calibri" w:cs="Calibri"/>
        </w:rPr>
        <w:t>Clear accountability for police performance.</w:t>
      </w:r>
    </w:p>
    <w:p w:rsidR="007E3F9A" w:rsidRPr="00D37160" w:rsidP="006D090A">
      <w:pPr>
        <w:numPr>
          <w:ilvl w:val="0"/>
          <w:numId w:val="2"/>
        </w:numPr>
        <w:spacing w:line="240" w:lineRule="auto"/>
        <w:rPr>
          <w:rFonts w:ascii="Calibri" w:hAnsi="Calibri" w:cs="Calibri"/>
        </w:rPr>
      </w:pPr>
      <w:r w:rsidRPr="00D37160">
        <w:rPr>
          <w:rFonts w:ascii="Calibri" w:hAnsi="Calibri" w:cs="Calibri"/>
        </w:rPr>
        <w:t>Independent oversight of chief constables.</w:t>
      </w:r>
    </w:p>
    <w:p w:rsidR="007E3F9A" w:rsidRPr="00D37160" w:rsidP="006D090A">
      <w:pPr>
        <w:numPr>
          <w:ilvl w:val="0"/>
          <w:numId w:val="2"/>
        </w:numPr>
        <w:spacing w:line="240" w:lineRule="auto"/>
        <w:rPr>
          <w:rFonts w:ascii="Calibri" w:hAnsi="Calibri" w:cs="Calibri"/>
        </w:rPr>
      </w:pPr>
      <w:r w:rsidRPr="00D37160">
        <w:rPr>
          <w:rFonts w:ascii="Calibri" w:hAnsi="Calibri" w:cs="Calibri"/>
        </w:rPr>
        <w:t>Responsibility for commissioning victim support services.</w:t>
      </w:r>
    </w:p>
    <w:p w:rsidR="007E3F9A" w:rsidRPr="00D37160" w:rsidP="006D090A">
      <w:pPr>
        <w:numPr>
          <w:ilvl w:val="0"/>
          <w:numId w:val="2"/>
        </w:numPr>
        <w:spacing w:line="240" w:lineRule="auto"/>
        <w:rPr>
          <w:rFonts w:ascii="Calibri" w:hAnsi="Calibri" w:cs="Calibri"/>
        </w:rPr>
      </w:pPr>
      <w:r w:rsidRPr="00D37160">
        <w:rPr>
          <w:rFonts w:ascii="Calibri" w:hAnsi="Calibri" w:cs="Calibri"/>
        </w:rPr>
        <w:t>Direct engagement with local communities.</w:t>
      </w:r>
    </w:p>
    <w:p w:rsidR="007E3F9A" w:rsidRPr="00D37160" w:rsidP="006D090A">
      <w:pPr>
        <w:numPr>
          <w:ilvl w:val="0"/>
          <w:numId w:val="2"/>
        </w:numPr>
        <w:spacing w:line="240" w:lineRule="auto"/>
        <w:rPr>
          <w:rFonts w:ascii="Calibri" w:hAnsi="Calibri" w:cs="Calibri"/>
        </w:rPr>
      </w:pPr>
      <w:r w:rsidRPr="00D37160">
        <w:rPr>
          <w:rFonts w:ascii="Calibri" w:hAnsi="Calibri" w:cs="Calibri"/>
        </w:rPr>
        <w:t>Focus on victim experiences and outcomes.</w:t>
      </w:r>
    </w:p>
    <w:p w:rsidR="007E3F9A" w:rsidRPr="00D37160" w:rsidP="006D090A">
      <w:pPr>
        <w:spacing w:line="240" w:lineRule="auto"/>
        <w:rPr>
          <w:rFonts w:ascii="Calibri" w:hAnsi="Calibri" w:cs="Calibri"/>
        </w:rPr>
      </w:pPr>
    </w:p>
    <w:p w:rsidR="007E3F9A" w:rsidRPr="00D37160" w:rsidP="006D090A">
      <w:pPr>
        <w:spacing w:line="240" w:lineRule="auto"/>
        <w:rPr>
          <w:rFonts w:ascii="Calibri" w:hAnsi="Calibri" w:cs="Calibri"/>
        </w:rPr>
      </w:pPr>
      <w:r w:rsidRPr="00D37160">
        <w:rPr>
          <w:rFonts w:ascii="Calibri" w:hAnsi="Calibri" w:cs="Calibri"/>
        </w:rPr>
        <w:t>A key lesson from the PCC model is that local voices matter. Future reforms should strengthen, not weaken, opportunities for community and survivor involvement.</w:t>
      </w:r>
    </w:p>
    <w:p w:rsidR="007E3F9A" w:rsidRPr="00D37160" w:rsidP="006D090A">
      <w:pPr>
        <w:spacing w:line="240" w:lineRule="auto"/>
        <w:rPr>
          <w:rFonts w:ascii="Calibri" w:hAnsi="Calibri" w:cs="Calibri"/>
          <w:b/>
          <w:bCs/>
        </w:rPr>
      </w:pPr>
    </w:p>
    <w:p w:rsidR="007E3F9A" w:rsidRPr="00D37160" w:rsidP="006D090A">
      <w:pPr>
        <w:spacing w:line="240" w:lineRule="auto"/>
        <w:rPr>
          <w:rFonts w:ascii="Calibri" w:hAnsi="Calibri" w:cs="Calibri"/>
          <w:b/>
          <w:bCs/>
        </w:rPr>
      </w:pPr>
      <w:r w:rsidRPr="00D37160">
        <w:rPr>
          <w:rFonts w:ascii="Calibri" w:hAnsi="Calibri" w:cs="Calibri"/>
          <w:b/>
          <w:bCs/>
        </w:rPr>
        <w:t>What is the Optimal Number of Police Forces for Wales?</w:t>
      </w:r>
    </w:p>
    <w:p w:rsidR="007E3F9A" w:rsidRPr="00D37160" w:rsidP="006D090A">
      <w:pPr>
        <w:spacing w:line="240" w:lineRule="auto"/>
        <w:rPr>
          <w:rFonts w:ascii="Calibri" w:hAnsi="Calibri" w:cs="Calibri"/>
          <w:b/>
          <w:bCs/>
        </w:rPr>
      </w:pPr>
    </w:p>
    <w:p w:rsidR="007E3F9A" w:rsidRPr="00D37160" w:rsidP="006D090A">
      <w:pPr>
        <w:spacing w:line="240" w:lineRule="auto"/>
        <w:rPr>
          <w:rFonts w:ascii="Calibri" w:hAnsi="Calibri" w:cs="Calibri"/>
        </w:rPr>
      </w:pPr>
      <w:r w:rsidRPr="00D37160">
        <w:rPr>
          <w:rFonts w:ascii="Calibri" w:hAnsi="Calibri" w:cs="Calibri"/>
        </w:rPr>
        <w:t>Regardless of the number of police forces operating within Wales, consistency of service should be a priority.</w:t>
      </w:r>
    </w:p>
    <w:p w:rsidR="007E3F9A" w:rsidRPr="00D37160" w:rsidP="006D090A">
      <w:pPr>
        <w:spacing w:line="240" w:lineRule="auto"/>
        <w:rPr>
          <w:rFonts w:ascii="Calibri" w:hAnsi="Calibri" w:cs="Calibri"/>
        </w:rPr>
      </w:pPr>
    </w:p>
    <w:p w:rsidR="007E3F9A" w:rsidRPr="00D37160" w:rsidP="006D090A">
      <w:pPr>
        <w:spacing w:line="240" w:lineRule="auto"/>
        <w:rPr>
          <w:rFonts w:ascii="Calibri" w:hAnsi="Calibri" w:cs="Calibri"/>
        </w:rPr>
      </w:pPr>
      <w:r w:rsidRPr="00D37160">
        <w:rPr>
          <w:rFonts w:ascii="Calibri" w:hAnsi="Calibri" w:cs="Calibri"/>
        </w:rPr>
        <w:t>Any future restructuring must ensure that:</w:t>
      </w:r>
    </w:p>
    <w:p w:rsidR="007E3F9A" w:rsidRPr="00D37160" w:rsidP="006D090A">
      <w:pPr>
        <w:spacing w:line="240" w:lineRule="auto"/>
        <w:rPr>
          <w:rFonts w:ascii="Calibri" w:hAnsi="Calibri" w:cs="Calibri"/>
        </w:rPr>
      </w:pPr>
    </w:p>
    <w:p w:rsidR="007E3F9A" w:rsidRPr="00D37160" w:rsidP="006D090A">
      <w:pPr>
        <w:numPr>
          <w:ilvl w:val="0"/>
          <w:numId w:val="3"/>
        </w:numPr>
        <w:spacing w:line="240" w:lineRule="auto"/>
        <w:rPr>
          <w:rFonts w:ascii="Calibri" w:hAnsi="Calibri" w:cs="Calibri"/>
        </w:rPr>
      </w:pPr>
      <w:r w:rsidRPr="00D37160">
        <w:rPr>
          <w:rFonts w:ascii="Calibri" w:hAnsi="Calibri" w:cs="Calibri"/>
        </w:rPr>
        <w:t>Victims receive the same standard of support across Wales.</w:t>
      </w:r>
    </w:p>
    <w:p w:rsidR="007E3F9A" w:rsidRPr="00D37160" w:rsidP="006D090A">
      <w:pPr>
        <w:numPr>
          <w:ilvl w:val="0"/>
          <w:numId w:val="3"/>
        </w:numPr>
        <w:spacing w:line="240" w:lineRule="auto"/>
        <w:rPr>
          <w:rFonts w:ascii="Calibri" w:hAnsi="Calibri" w:cs="Calibri"/>
        </w:rPr>
      </w:pPr>
      <w:r w:rsidRPr="00D37160">
        <w:rPr>
          <w:rFonts w:ascii="Calibri" w:hAnsi="Calibri" w:cs="Calibri"/>
        </w:rPr>
        <w:t>Specialist expertise relating to sexual violence, domestic abuse and child abuse is protected.</w:t>
      </w:r>
    </w:p>
    <w:p w:rsidR="007E3F9A" w:rsidRPr="00D37160" w:rsidP="006D090A">
      <w:pPr>
        <w:numPr>
          <w:ilvl w:val="0"/>
          <w:numId w:val="3"/>
        </w:numPr>
        <w:spacing w:line="240" w:lineRule="auto"/>
        <w:rPr>
          <w:rFonts w:ascii="Calibri" w:hAnsi="Calibri" w:cs="Calibri"/>
        </w:rPr>
      </w:pPr>
      <w:r w:rsidRPr="00D37160">
        <w:rPr>
          <w:rFonts w:ascii="Calibri" w:hAnsi="Calibri" w:cs="Calibri"/>
        </w:rPr>
        <w:t>Local knowledge is retained.</w:t>
      </w:r>
    </w:p>
    <w:p w:rsidR="007E3F9A" w:rsidRPr="00D37160" w:rsidP="006D090A">
      <w:pPr>
        <w:numPr>
          <w:ilvl w:val="0"/>
          <w:numId w:val="3"/>
        </w:numPr>
        <w:spacing w:line="240" w:lineRule="auto"/>
        <w:rPr>
          <w:rFonts w:ascii="Calibri" w:hAnsi="Calibri" w:cs="Calibri"/>
        </w:rPr>
      </w:pPr>
      <w:r w:rsidRPr="00D37160">
        <w:rPr>
          <w:rFonts w:ascii="Calibri" w:hAnsi="Calibri" w:cs="Calibri"/>
        </w:rPr>
        <w:t>Rural communities are not disadvantaged.</w:t>
      </w:r>
    </w:p>
    <w:p w:rsidR="007E3F9A" w:rsidRPr="00D37160" w:rsidP="006D090A">
      <w:pPr>
        <w:numPr>
          <w:ilvl w:val="0"/>
          <w:numId w:val="3"/>
        </w:numPr>
        <w:spacing w:line="240" w:lineRule="auto"/>
        <w:rPr>
          <w:rFonts w:ascii="Calibri" w:hAnsi="Calibri" w:cs="Calibri"/>
        </w:rPr>
      </w:pPr>
      <w:r w:rsidRPr="00D37160">
        <w:rPr>
          <w:rFonts w:ascii="Calibri" w:hAnsi="Calibri" w:cs="Calibri"/>
        </w:rPr>
        <w:t>Partnership working with Welsh organisations remains strong.</w:t>
      </w:r>
    </w:p>
    <w:p w:rsidR="007E3F9A" w:rsidRPr="00D37160" w:rsidP="006D090A">
      <w:pPr>
        <w:spacing w:line="240" w:lineRule="auto"/>
        <w:ind w:left="720"/>
        <w:rPr>
          <w:rFonts w:ascii="Calibri" w:hAnsi="Calibri" w:cs="Calibri"/>
        </w:rPr>
      </w:pPr>
    </w:p>
    <w:p w:rsidR="007E3F9A" w:rsidRPr="00D37160" w:rsidP="006D090A">
      <w:pPr>
        <w:spacing w:line="240" w:lineRule="auto"/>
        <w:rPr>
          <w:rFonts w:ascii="Calibri" w:hAnsi="Calibri" w:cs="Calibri"/>
        </w:rPr>
      </w:pPr>
      <w:r w:rsidRPr="00D37160">
        <w:rPr>
          <w:rFonts w:ascii="Calibri" w:hAnsi="Calibri" w:cs="Calibri"/>
        </w:rPr>
        <w:t>Efficiency is important, but it should not come at the expense of accessibility, local understanding or victim confidence.</w:t>
      </w:r>
    </w:p>
    <w:p w:rsidR="007E3F9A" w:rsidRPr="00D37160" w:rsidP="006D090A">
      <w:pPr>
        <w:spacing w:line="240" w:lineRule="auto"/>
        <w:rPr>
          <w:rFonts w:ascii="Calibri" w:hAnsi="Calibri" w:cs="Calibri"/>
          <w:b/>
          <w:bCs/>
        </w:rPr>
      </w:pPr>
    </w:p>
    <w:p w:rsidR="007E3F9A" w:rsidRPr="00D37160" w:rsidP="006D090A">
      <w:pPr>
        <w:spacing w:line="240" w:lineRule="auto"/>
        <w:rPr>
          <w:rFonts w:ascii="Calibri" w:hAnsi="Calibri" w:cs="Calibri"/>
          <w:b/>
          <w:bCs/>
        </w:rPr>
      </w:pPr>
      <w:r w:rsidRPr="00D37160">
        <w:rPr>
          <w:rFonts w:ascii="Calibri" w:hAnsi="Calibri" w:cs="Calibri"/>
          <w:b/>
          <w:bCs/>
        </w:rPr>
        <w:t>Impact of Wider Policing Reforms</w:t>
      </w:r>
    </w:p>
    <w:p w:rsidR="007E3F9A" w:rsidRPr="00D37160" w:rsidP="006D090A">
      <w:pPr>
        <w:spacing w:line="240" w:lineRule="auto"/>
        <w:rPr>
          <w:rFonts w:ascii="Calibri" w:hAnsi="Calibri" w:cs="Calibri"/>
        </w:rPr>
      </w:pPr>
      <w:r w:rsidRPr="00D37160">
        <w:rPr>
          <w:rFonts w:ascii="Calibri" w:hAnsi="Calibri" w:cs="Calibri"/>
        </w:rPr>
        <w:t>The Government's proposed policing reforms include significant changes to governance, accountability and force structures. These reforms could create opportunities to improve consistency and collaboration across Wales. However, there is also a risk that local priorities and victim experiences become less visible within larger structures.</w:t>
      </w:r>
    </w:p>
    <w:p w:rsidR="007E3F9A" w:rsidRPr="00D37160" w:rsidP="006D090A">
      <w:pPr>
        <w:spacing w:line="240" w:lineRule="auto"/>
        <w:rPr>
          <w:rFonts w:ascii="Calibri" w:hAnsi="Calibri" w:cs="Calibri"/>
        </w:rPr>
      </w:pPr>
    </w:p>
    <w:p w:rsidR="007E3F9A" w:rsidRPr="00D37160" w:rsidP="006D090A">
      <w:pPr>
        <w:spacing w:line="240" w:lineRule="auto"/>
        <w:rPr>
          <w:rFonts w:ascii="Calibri" w:hAnsi="Calibri" w:cs="Calibri"/>
        </w:rPr>
      </w:pPr>
      <w:r w:rsidRPr="00D37160">
        <w:rPr>
          <w:rFonts w:ascii="Calibri" w:hAnsi="Calibri" w:cs="Calibri"/>
        </w:rPr>
        <w:t>As reforms progress, particular attention should be given to:</w:t>
      </w:r>
    </w:p>
    <w:p w:rsidR="007E3F9A" w:rsidRPr="00D37160" w:rsidP="006D090A">
      <w:pPr>
        <w:spacing w:line="240" w:lineRule="auto"/>
        <w:rPr>
          <w:rFonts w:ascii="Calibri" w:hAnsi="Calibri" w:cs="Calibri"/>
        </w:rPr>
      </w:pPr>
    </w:p>
    <w:p w:rsidR="007E3F9A" w:rsidRPr="00D37160" w:rsidP="006D090A">
      <w:pPr>
        <w:numPr>
          <w:ilvl w:val="0"/>
          <w:numId w:val="4"/>
        </w:numPr>
        <w:spacing w:line="240" w:lineRule="auto"/>
        <w:rPr>
          <w:rFonts w:ascii="Calibri" w:hAnsi="Calibri" w:cs="Calibri"/>
        </w:rPr>
      </w:pPr>
      <w:r w:rsidRPr="00D37160">
        <w:rPr>
          <w:rFonts w:ascii="Calibri" w:hAnsi="Calibri" w:cs="Calibri"/>
        </w:rPr>
        <w:t>Maintaining local accountability.</w:t>
      </w:r>
    </w:p>
    <w:p w:rsidR="007E3F9A" w:rsidRPr="00D37160" w:rsidP="006D090A">
      <w:pPr>
        <w:numPr>
          <w:ilvl w:val="0"/>
          <w:numId w:val="4"/>
        </w:numPr>
        <w:spacing w:line="240" w:lineRule="auto"/>
        <w:rPr>
          <w:rFonts w:ascii="Calibri" w:hAnsi="Calibri" w:cs="Calibri"/>
        </w:rPr>
      </w:pPr>
      <w:r w:rsidRPr="00D37160">
        <w:rPr>
          <w:rFonts w:ascii="Calibri" w:hAnsi="Calibri" w:cs="Calibri"/>
        </w:rPr>
        <w:t>Protecting services for victims.</w:t>
      </w:r>
    </w:p>
    <w:p w:rsidR="007E3F9A" w:rsidRPr="00D37160" w:rsidP="006D090A">
      <w:pPr>
        <w:numPr>
          <w:ilvl w:val="0"/>
          <w:numId w:val="4"/>
        </w:numPr>
        <w:spacing w:line="240" w:lineRule="auto"/>
        <w:rPr>
          <w:rFonts w:ascii="Calibri" w:hAnsi="Calibri" w:cs="Calibri"/>
        </w:rPr>
      </w:pPr>
      <w:r w:rsidRPr="00D37160">
        <w:rPr>
          <w:rFonts w:ascii="Calibri" w:hAnsi="Calibri" w:cs="Calibri"/>
        </w:rPr>
        <w:t>Ensuring consistent standards across Wales.</w:t>
      </w:r>
    </w:p>
    <w:p w:rsidR="007E3F9A" w:rsidRPr="00D37160" w:rsidP="006D090A">
      <w:pPr>
        <w:numPr>
          <w:ilvl w:val="0"/>
          <w:numId w:val="4"/>
        </w:numPr>
        <w:spacing w:line="240" w:lineRule="auto"/>
        <w:rPr>
          <w:rFonts w:ascii="Calibri" w:hAnsi="Calibri" w:cs="Calibri"/>
        </w:rPr>
      </w:pPr>
      <w:r w:rsidRPr="00D37160">
        <w:rPr>
          <w:rFonts w:ascii="Calibri" w:hAnsi="Calibri" w:cs="Calibri"/>
        </w:rPr>
        <w:t>Embedding trauma-informed practice throughout policing.</w:t>
      </w:r>
    </w:p>
    <w:p w:rsidR="007E3F9A" w:rsidRPr="00D37160" w:rsidP="006D090A">
      <w:pPr>
        <w:spacing w:line="240" w:lineRule="auto"/>
        <w:ind w:left="720"/>
        <w:rPr>
          <w:rFonts w:ascii="Calibri" w:hAnsi="Calibri" w:cs="Calibri"/>
        </w:rPr>
      </w:pPr>
    </w:p>
    <w:p w:rsidR="007E3F9A" w:rsidRPr="00D37160" w:rsidP="006D090A">
      <w:pPr>
        <w:spacing w:line="240" w:lineRule="auto"/>
        <w:rPr>
          <w:rFonts w:ascii="Calibri" w:hAnsi="Calibri" w:cs="Calibri"/>
        </w:rPr>
      </w:pPr>
      <w:r w:rsidRPr="00D37160">
        <w:rPr>
          <w:rFonts w:ascii="Calibri" w:hAnsi="Calibri" w:cs="Calibri"/>
        </w:rPr>
        <w:t>Wales already has a strong foundation through the Trauma-Informed Wales Framework. Future policing reforms should build upon this work and position Wales as a leader in trauma-informed policing.</w:t>
      </w:r>
    </w:p>
    <w:p w:rsidR="007E3F9A" w:rsidRPr="00D37160" w:rsidP="006D090A">
      <w:pPr>
        <w:spacing w:line="240" w:lineRule="auto"/>
        <w:rPr>
          <w:rFonts w:ascii="Calibri" w:hAnsi="Calibri" w:cs="Calibri"/>
        </w:rPr>
      </w:pPr>
    </w:p>
    <w:p w:rsidR="007E3F9A" w:rsidRPr="00D37160" w:rsidP="006D090A">
      <w:pPr>
        <w:spacing w:line="240" w:lineRule="auto"/>
        <w:rPr>
          <w:rFonts w:ascii="Calibri" w:hAnsi="Calibri" w:cs="Calibri"/>
          <w:b/>
          <w:bCs/>
        </w:rPr>
      </w:pPr>
      <w:r w:rsidRPr="00D37160">
        <w:rPr>
          <w:rFonts w:ascii="Calibri" w:hAnsi="Calibri" w:cs="Calibri"/>
          <w:b/>
          <w:bCs/>
        </w:rPr>
        <w:t>Devolution of Policing</w:t>
      </w:r>
    </w:p>
    <w:p w:rsidR="007E3F9A" w:rsidRPr="00D37160" w:rsidP="006D090A">
      <w:pPr>
        <w:spacing w:line="240" w:lineRule="auto"/>
        <w:rPr>
          <w:rFonts w:ascii="Calibri" w:hAnsi="Calibri" w:cs="Calibri"/>
          <w:b/>
          <w:bCs/>
        </w:rPr>
      </w:pPr>
    </w:p>
    <w:p w:rsidR="007E3F9A" w:rsidRPr="00D37160" w:rsidP="006D090A">
      <w:pPr>
        <w:spacing w:line="240" w:lineRule="auto"/>
        <w:rPr>
          <w:rFonts w:ascii="Calibri" w:hAnsi="Calibri" w:cs="Calibri"/>
        </w:rPr>
      </w:pPr>
      <w:r w:rsidRPr="00D37160">
        <w:rPr>
          <w:rFonts w:ascii="Calibri" w:hAnsi="Calibri" w:cs="Calibri"/>
        </w:rPr>
        <w:t>There are arguments both for and against devolving policing to the Welsh Government.</w:t>
      </w:r>
    </w:p>
    <w:p w:rsidR="007E3F9A" w:rsidRPr="00D37160" w:rsidP="006D090A">
      <w:pPr>
        <w:spacing w:line="240" w:lineRule="auto"/>
        <w:rPr>
          <w:rFonts w:ascii="Calibri" w:hAnsi="Calibri" w:cs="Calibri"/>
        </w:rPr>
      </w:pPr>
      <w:r w:rsidRPr="00D37160">
        <w:rPr>
          <w:rFonts w:ascii="Calibri" w:hAnsi="Calibri" w:cs="Calibri"/>
        </w:rPr>
        <w:t>Potential benefits include:</w:t>
      </w:r>
    </w:p>
    <w:p w:rsidR="007E3F9A" w:rsidRPr="00D37160" w:rsidP="006D090A">
      <w:pPr>
        <w:numPr>
          <w:ilvl w:val="0"/>
          <w:numId w:val="5"/>
        </w:numPr>
        <w:spacing w:line="240" w:lineRule="auto"/>
        <w:rPr>
          <w:rFonts w:ascii="Calibri" w:hAnsi="Calibri" w:cs="Calibri"/>
        </w:rPr>
      </w:pPr>
      <w:r w:rsidRPr="00D37160">
        <w:rPr>
          <w:rFonts w:ascii="Calibri" w:hAnsi="Calibri" w:cs="Calibri"/>
        </w:rPr>
        <w:t>Greater alignment with devolved health, education and social care services.</w:t>
      </w:r>
    </w:p>
    <w:p w:rsidR="007E3F9A" w:rsidRPr="00D37160" w:rsidP="006D090A">
      <w:pPr>
        <w:numPr>
          <w:ilvl w:val="0"/>
          <w:numId w:val="5"/>
        </w:numPr>
        <w:spacing w:line="240" w:lineRule="auto"/>
        <w:rPr>
          <w:rFonts w:ascii="Calibri" w:hAnsi="Calibri" w:cs="Calibri"/>
        </w:rPr>
      </w:pPr>
      <w:r w:rsidRPr="00D37160">
        <w:rPr>
          <w:rFonts w:ascii="Calibri" w:hAnsi="Calibri" w:cs="Calibri"/>
        </w:rPr>
        <w:t>Improved integration with Welsh trauma-informed frameworks.</w:t>
      </w:r>
    </w:p>
    <w:p w:rsidR="007E3F9A" w:rsidRPr="00D37160" w:rsidP="006D090A">
      <w:pPr>
        <w:numPr>
          <w:ilvl w:val="0"/>
          <w:numId w:val="5"/>
        </w:numPr>
        <w:spacing w:line="240" w:lineRule="auto"/>
        <w:rPr>
          <w:rFonts w:ascii="Calibri" w:hAnsi="Calibri" w:cs="Calibri"/>
        </w:rPr>
      </w:pPr>
      <w:r w:rsidRPr="00D37160">
        <w:rPr>
          <w:rFonts w:ascii="Calibri" w:hAnsi="Calibri" w:cs="Calibri"/>
        </w:rPr>
        <w:t>Greater flexibility to develop Welsh solutions to Welsh challenges.</w:t>
      </w:r>
    </w:p>
    <w:p w:rsidR="007E3F9A" w:rsidRPr="00D37160" w:rsidP="006D090A">
      <w:pPr>
        <w:numPr>
          <w:ilvl w:val="0"/>
          <w:numId w:val="5"/>
        </w:numPr>
        <w:spacing w:line="240" w:lineRule="auto"/>
        <w:rPr>
          <w:rFonts w:ascii="Calibri" w:hAnsi="Calibri" w:cs="Calibri"/>
        </w:rPr>
      </w:pPr>
      <w:r w:rsidRPr="00D37160">
        <w:rPr>
          <w:rFonts w:ascii="Calibri" w:hAnsi="Calibri" w:cs="Calibri"/>
        </w:rPr>
        <w:t>Enhanced partnership working across devolved services.</w:t>
      </w:r>
    </w:p>
    <w:p w:rsidR="007E3F9A" w:rsidRPr="00D37160" w:rsidP="006D090A">
      <w:pPr>
        <w:spacing w:line="240" w:lineRule="auto"/>
        <w:rPr>
          <w:rFonts w:ascii="Calibri" w:hAnsi="Calibri" w:cs="Calibri"/>
        </w:rPr>
      </w:pPr>
    </w:p>
    <w:p w:rsidR="007E3F9A" w:rsidRPr="00D37160" w:rsidP="006D090A">
      <w:pPr>
        <w:spacing w:line="240" w:lineRule="auto"/>
        <w:rPr>
          <w:rFonts w:ascii="Calibri" w:hAnsi="Calibri" w:cs="Calibri"/>
        </w:rPr>
      </w:pPr>
      <w:r w:rsidRPr="00D37160">
        <w:rPr>
          <w:rFonts w:ascii="Calibri" w:hAnsi="Calibri" w:cs="Calibri"/>
        </w:rPr>
        <w:t>Potential challenges include:</w:t>
      </w:r>
    </w:p>
    <w:p w:rsidR="007E3F9A" w:rsidRPr="00D37160" w:rsidP="006D090A">
      <w:pPr>
        <w:numPr>
          <w:ilvl w:val="0"/>
          <w:numId w:val="6"/>
        </w:numPr>
        <w:spacing w:line="240" w:lineRule="auto"/>
        <w:rPr>
          <w:rFonts w:ascii="Calibri" w:hAnsi="Calibri" w:cs="Calibri"/>
        </w:rPr>
      </w:pPr>
      <w:r w:rsidRPr="00D37160">
        <w:rPr>
          <w:rFonts w:ascii="Calibri" w:hAnsi="Calibri" w:cs="Calibri"/>
        </w:rPr>
        <w:t>Funding arrangements.</w:t>
      </w:r>
    </w:p>
    <w:p w:rsidR="007E3F9A" w:rsidRPr="00D37160" w:rsidP="006D090A">
      <w:pPr>
        <w:numPr>
          <w:ilvl w:val="0"/>
          <w:numId w:val="6"/>
        </w:numPr>
        <w:spacing w:line="240" w:lineRule="auto"/>
        <w:rPr>
          <w:rFonts w:ascii="Calibri" w:hAnsi="Calibri" w:cs="Calibri"/>
        </w:rPr>
      </w:pPr>
      <w:r w:rsidRPr="00D37160">
        <w:rPr>
          <w:rFonts w:ascii="Calibri" w:hAnsi="Calibri" w:cs="Calibri"/>
        </w:rPr>
        <w:t>Cross-border policing issues.</w:t>
      </w:r>
    </w:p>
    <w:p w:rsidR="007E3F9A" w:rsidRPr="00D37160" w:rsidP="006D090A">
      <w:pPr>
        <w:numPr>
          <w:ilvl w:val="0"/>
          <w:numId w:val="6"/>
        </w:numPr>
        <w:spacing w:line="240" w:lineRule="auto"/>
        <w:rPr>
          <w:rFonts w:ascii="Calibri" w:hAnsi="Calibri" w:cs="Calibri"/>
        </w:rPr>
      </w:pPr>
      <w:r w:rsidRPr="00D37160">
        <w:rPr>
          <w:rFonts w:ascii="Calibri" w:hAnsi="Calibri" w:cs="Calibri"/>
        </w:rPr>
        <w:t>Transition costs and complexity.</w:t>
      </w:r>
    </w:p>
    <w:p w:rsidR="007E3F9A" w:rsidRPr="00D37160" w:rsidP="006D090A">
      <w:pPr>
        <w:numPr>
          <w:ilvl w:val="0"/>
          <w:numId w:val="6"/>
        </w:numPr>
        <w:spacing w:line="240" w:lineRule="auto"/>
        <w:rPr>
          <w:rFonts w:ascii="Calibri" w:hAnsi="Calibri" w:cs="Calibri"/>
        </w:rPr>
      </w:pPr>
      <w:r w:rsidRPr="00D37160">
        <w:rPr>
          <w:rFonts w:ascii="Calibri" w:hAnsi="Calibri" w:cs="Calibri"/>
        </w:rPr>
        <w:t>Maintaining consistency with national policing functions.</w:t>
      </w:r>
    </w:p>
    <w:p w:rsidR="007E3F9A" w:rsidRPr="00D37160" w:rsidP="006D090A">
      <w:pPr>
        <w:spacing w:line="240" w:lineRule="auto"/>
        <w:rPr>
          <w:rFonts w:ascii="Calibri" w:hAnsi="Calibri" w:cs="Calibri"/>
        </w:rPr>
      </w:pPr>
    </w:p>
    <w:p w:rsidR="007E3F9A" w:rsidRPr="00D37160" w:rsidP="006D090A">
      <w:pPr>
        <w:spacing w:line="240" w:lineRule="auto"/>
        <w:rPr>
          <w:rFonts w:ascii="Calibri" w:hAnsi="Calibri" w:cs="Calibri"/>
        </w:rPr>
      </w:pPr>
      <w:r w:rsidRPr="00D37160">
        <w:rPr>
          <w:rFonts w:ascii="Calibri" w:hAnsi="Calibri" w:cs="Calibri"/>
        </w:rPr>
        <w:t>Regardless of whether policing is devolved, there is an opportunity to strengthen collaboration between policing, health services and victim support organisations to improve outcomes for communities across Wales. The Welsh Government has already indicated that any future arrangements should reflect the Welsh context and support closer alignment with devolved services.</w:t>
      </w:r>
    </w:p>
    <w:p w:rsidR="007E3F9A" w:rsidRPr="00D37160" w:rsidP="006D090A">
      <w:pPr>
        <w:spacing w:line="240" w:lineRule="auto"/>
        <w:rPr>
          <w:rFonts w:ascii="Calibri" w:hAnsi="Calibri" w:cs="Calibri"/>
          <w:b/>
          <w:bCs/>
        </w:rPr>
      </w:pPr>
    </w:p>
    <w:p w:rsidR="007E3F9A" w:rsidRPr="00D37160" w:rsidP="006D090A">
      <w:pPr>
        <w:spacing w:line="240" w:lineRule="auto"/>
        <w:rPr>
          <w:rFonts w:ascii="Calibri" w:hAnsi="Calibri" w:cs="Calibri"/>
          <w:b/>
          <w:bCs/>
        </w:rPr>
      </w:pPr>
      <w:r w:rsidRPr="00D37160">
        <w:rPr>
          <w:rFonts w:ascii="Calibri" w:hAnsi="Calibri" w:cs="Calibri"/>
          <w:b/>
          <w:bCs/>
        </w:rPr>
        <w:t>Trauma-Informed Policing</w:t>
      </w:r>
    </w:p>
    <w:p w:rsidR="007E3F9A" w:rsidRPr="00D37160" w:rsidP="006D090A">
      <w:pPr>
        <w:spacing w:line="240" w:lineRule="auto"/>
        <w:rPr>
          <w:rFonts w:ascii="Calibri" w:hAnsi="Calibri" w:cs="Calibri"/>
        </w:rPr>
      </w:pPr>
    </w:p>
    <w:p w:rsidR="007E3F9A" w:rsidRPr="00D37160" w:rsidP="006D090A">
      <w:pPr>
        <w:spacing w:line="240" w:lineRule="auto"/>
        <w:rPr>
          <w:rFonts w:ascii="Calibri" w:hAnsi="Calibri" w:cs="Calibri"/>
        </w:rPr>
      </w:pPr>
      <w:r w:rsidRPr="00D37160">
        <w:rPr>
          <w:rFonts w:ascii="Calibri" w:hAnsi="Calibri" w:cs="Calibri"/>
        </w:rPr>
        <w:t>Trauma can affect memory, behaviour, communication and decision-making.</w:t>
      </w:r>
    </w:p>
    <w:p w:rsidR="007E3F9A" w:rsidRPr="00D37160" w:rsidP="006D090A">
      <w:pPr>
        <w:spacing w:line="240" w:lineRule="auto"/>
        <w:rPr>
          <w:rFonts w:ascii="Calibri" w:hAnsi="Calibri" w:cs="Calibri"/>
        </w:rPr>
      </w:pPr>
    </w:p>
    <w:p w:rsidR="007E3F9A" w:rsidRPr="00D37160" w:rsidP="006D090A">
      <w:pPr>
        <w:spacing w:line="240" w:lineRule="auto"/>
        <w:rPr>
          <w:rFonts w:ascii="Calibri" w:hAnsi="Calibri" w:cs="Calibri"/>
        </w:rPr>
      </w:pPr>
      <w:r w:rsidRPr="00D37160">
        <w:rPr>
          <w:rFonts w:ascii="Calibri" w:hAnsi="Calibri" w:cs="Calibri"/>
        </w:rPr>
        <w:t>Victims may:</w:t>
      </w:r>
    </w:p>
    <w:p w:rsidR="007E3F9A" w:rsidRPr="00D37160" w:rsidP="006D090A">
      <w:pPr>
        <w:spacing w:line="240" w:lineRule="auto"/>
        <w:rPr>
          <w:rFonts w:ascii="Calibri" w:hAnsi="Calibri" w:cs="Calibri"/>
        </w:rPr>
      </w:pPr>
    </w:p>
    <w:p w:rsidR="007E3F9A" w:rsidRPr="00D37160" w:rsidP="006D090A">
      <w:pPr>
        <w:numPr>
          <w:ilvl w:val="0"/>
          <w:numId w:val="7"/>
        </w:numPr>
        <w:spacing w:line="240" w:lineRule="auto"/>
        <w:rPr>
          <w:rFonts w:ascii="Calibri" w:hAnsi="Calibri" w:cs="Calibri"/>
        </w:rPr>
      </w:pPr>
      <w:r w:rsidRPr="00D37160">
        <w:rPr>
          <w:rFonts w:ascii="Calibri" w:hAnsi="Calibri" w:cs="Calibri"/>
        </w:rPr>
        <w:t>Delay reporting.</w:t>
      </w:r>
    </w:p>
    <w:p w:rsidR="007E3F9A" w:rsidRPr="00D37160" w:rsidP="006D090A">
      <w:pPr>
        <w:numPr>
          <w:ilvl w:val="0"/>
          <w:numId w:val="7"/>
        </w:numPr>
        <w:spacing w:line="240" w:lineRule="auto"/>
        <w:rPr>
          <w:rFonts w:ascii="Calibri" w:hAnsi="Calibri" w:cs="Calibri"/>
        </w:rPr>
      </w:pPr>
      <w:r w:rsidRPr="00D37160">
        <w:rPr>
          <w:rFonts w:ascii="Calibri" w:hAnsi="Calibri" w:cs="Calibri"/>
        </w:rPr>
        <w:t>Recall information gradually.</w:t>
      </w:r>
    </w:p>
    <w:p w:rsidR="007E3F9A" w:rsidRPr="00D37160" w:rsidP="006D090A">
      <w:pPr>
        <w:numPr>
          <w:ilvl w:val="0"/>
          <w:numId w:val="7"/>
        </w:numPr>
        <w:spacing w:line="240" w:lineRule="auto"/>
        <w:rPr>
          <w:rFonts w:ascii="Calibri" w:hAnsi="Calibri" w:cs="Calibri"/>
        </w:rPr>
      </w:pPr>
      <w:r w:rsidRPr="00D37160">
        <w:rPr>
          <w:rFonts w:ascii="Calibri" w:hAnsi="Calibri" w:cs="Calibri"/>
        </w:rPr>
        <w:t>Present information non-chronologically.</w:t>
      </w:r>
    </w:p>
    <w:p w:rsidR="007E3F9A" w:rsidRPr="00D37160" w:rsidP="006D090A">
      <w:pPr>
        <w:numPr>
          <w:ilvl w:val="0"/>
          <w:numId w:val="7"/>
        </w:numPr>
        <w:spacing w:line="240" w:lineRule="auto"/>
        <w:rPr>
          <w:rFonts w:ascii="Calibri" w:hAnsi="Calibri" w:cs="Calibri"/>
        </w:rPr>
      </w:pPr>
      <w:r w:rsidRPr="00D37160">
        <w:rPr>
          <w:rFonts w:ascii="Calibri" w:hAnsi="Calibri" w:cs="Calibri"/>
        </w:rPr>
        <w:t>Remain in contact with perpetrators.</w:t>
      </w:r>
    </w:p>
    <w:p w:rsidR="007E3F9A" w:rsidRPr="00D37160" w:rsidP="006D090A">
      <w:pPr>
        <w:numPr>
          <w:ilvl w:val="0"/>
          <w:numId w:val="7"/>
        </w:numPr>
        <w:spacing w:line="240" w:lineRule="auto"/>
        <w:rPr>
          <w:rFonts w:ascii="Calibri" w:hAnsi="Calibri" w:cs="Calibri"/>
        </w:rPr>
      </w:pPr>
      <w:r w:rsidRPr="00D37160">
        <w:rPr>
          <w:rFonts w:ascii="Calibri" w:hAnsi="Calibri" w:cs="Calibri"/>
        </w:rPr>
        <w:t>Experience freeze, fawn or dissociative responses.</w:t>
      </w:r>
    </w:p>
    <w:p w:rsidR="007E3F9A" w:rsidRPr="00D37160" w:rsidP="006D090A">
      <w:pPr>
        <w:spacing w:line="240" w:lineRule="auto"/>
        <w:ind w:left="720"/>
        <w:rPr>
          <w:rFonts w:ascii="Calibri" w:hAnsi="Calibri" w:cs="Calibri"/>
        </w:rPr>
      </w:pPr>
    </w:p>
    <w:p w:rsidR="007E3F9A" w:rsidRPr="00D37160" w:rsidP="006D090A">
      <w:pPr>
        <w:spacing w:line="240" w:lineRule="auto"/>
        <w:rPr>
          <w:rFonts w:ascii="Calibri" w:hAnsi="Calibri" w:cs="Calibri"/>
        </w:rPr>
      </w:pPr>
      <w:r w:rsidRPr="00D37160">
        <w:rPr>
          <w:rFonts w:ascii="Calibri" w:hAnsi="Calibri" w:cs="Calibri"/>
        </w:rPr>
        <w:t>Without appropriate understanding, these normal trauma responses can be misunderstood.</w:t>
      </w:r>
    </w:p>
    <w:p w:rsidR="007E3F9A" w:rsidRPr="00D37160" w:rsidP="006D090A">
      <w:pPr>
        <w:spacing w:line="240" w:lineRule="auto"/>
        <w:rPr>
          <w:rFonts w:ascii="Calibri" w:hAnsi="Calibri" w:cs="Calibri"/>
        </w:rPr>
      </w:pPr>
      <w:r w:rsidRPr="00D37160">
        <w:rPr>
          <w:rFonts w:ascii="Calibri" w:hAnsi="Calibri" w:cs="Calibri"/>
        </w:rPr>
        <w:t>Trauma-informed policing improves engagement, strengthens trust and supports more effective investigations.</w:t>
      </w:r>
    </w:p>
    <w:p w:rsidR="007E3F9A" w:rsidRPr="00D37160" w:rsidP="006D090A">
      <w:pPr>
        <w:spacing w:line="240" w:lineRule="auto"/>
        <w:rPr>
          <w:rFonts w:ascii="Calibri" w:hAnsi="Calibri" w:cs="Calibri"/>
        </w:rPr>
      </w:pPr>
    </w:p>
    <w:p w:rsidR="007E3F9A" w:rsidRPr="00D37160" w:rsidP="006D090A">
      <w:pPr>
        <w:spacing w:line="240" w:lineRule="auto"/>
        <w:rPr>
          <w:rFonts w:ascii="Calibri" w:hAnsi="Calibri" w:cs="Calibri"/>
        </w:rPr>
      </w:pPr>
    </w:p>
    <w:p w:rsidR="007E3F9A" w:rsidRPr="00D37160" w:rsidP="006D090A">
      <w:pPr>
        <w:spacing w:line="240" w:lineRule="auto"/>
        <w:rPr>
          <w:rFonts w:ascii="Calibri" w:hAnsi="Calibri" w:cs="Calibri"/>
          <w:b/>
          <w:bCs/>
        </w:rPr>
      </w:pPr>
      <w:r w:rsidRPr="00D37160">
        <w:rPr>
          <w:rFonts w:ascii="Calibri" w:hAnsi="Calibri" w:cs="Calibri"/>
          <w:b/>
          <w:bCs/>
        </w:rPr>
        <w:t>Recommendations</w:t>
      </w:r>
    </w:p>
    <w:p w:rsidR="007E3F9A" w:rsidRPr="00D37160" w:rsidP="006D090A">
      <w:pPr>
        <w:spacing w:line="240" w:lineRule="auto"/>
        <w:rPr>
          <w:rFonts w:ascii="Calibri" w:hAnsi="Calibri" w:cs="Calibri"/>
          <w:b/>
          <w:bCs/>
        </w:rPr>
      </w:pPr>
    </w:p>
    <w:p w:rsidR="007E3F9A" w:rsidRPr="00D37160" w:rsidP="006D090A">
      <w:pPr>
        <w:spacing w:line="240" w:lineRule="auto"/>
        <w:rPr>
          <w:rFonts w:ascii="Calibri" w:hAnsi="Calibri" w:cs="Calibri"/>
        </w:rPr>
      </w:pPr>
      <w:r w:rsidRPr="00D37160">
        <w:rPr>
          <w:rFonts w:ascii="Calibri" w:hAnsi="Calibri" w:cs="Calibri"/>
        </w:rPr>
        <w:t>I recommend that the Committee considers:</w:t>
      </w:r>
    </w:p>
    <w:p w:rsidR="007E3F9A" w:rsidRPr="00D37160" w:rsidP="006D090A">
      <w:pPr>
        <w:spacing w:line="240" w:lineRule="auto"/>
        <w:rPr>
          <w:rFonts w:ascii="Calibri" w:hAnsi="Calibri" w:cs="Calibri"/>
        </w:rPr>
      </w:pPr>
    </w:p>
    <w:p w:rsidR="007E3F9A" w:rsidRPr="00D37160" w:rsidP="006D090A">
      <w:pPr>
        <w:numPr>
          <w:ilvl w:val="0"/>
          <w:numId w:val="8"/>
        </w:numPr>
        <w:spacing w:line="240" w:lineRule="auto"/>
        <w:rPr>
          <w:rFonts w:ascii="Calibri" w:hAnsi="Calibri" w:cs="Calibri"/>
        </w:rPr>
      </w:pPr>
      <w:r w:rsidRPr="00D37160">
        <w:rPr>
          <w:rFonts w:ascii="Calibri" w:hAnsi="Calibri" w:cs="Calibri"/>
        </w:rPr>
        <w:t>Embedding trauma-informed practice within all future policing reforms.</w:t>
      </w:r>
    </w:p>
    <w:p w:rsidR="007E3F9A" w:rsidRPr="00D37160" w:rsidP="006D090A">
      <w:pPr>
        <w:numPr>
          <w:ilvl w:val="0"/>
          <w:numId w:val="8"/>
        </w:numPr>
        <w:spacing w:line="240" w:lineRule="auto"/>
        <w:rPr>
          <w:rFonts w:ascii="Calibri" w:hAnsi="Calibri" w:cs="Calibri"/>
        </w:rPr>
      </w:pPr>
      <w:r w:rsidRPr="00D37160">
        <w:rPr>
          <w:rFonts w:ascii="Calibri" w:hAnsi="Calibri" w:cs="Calibri"/>
        </w:rPr>
        <w:t>Establishing consistent trauma-informed standards across Welsh police forces.</w:t>
      </w:r>
    </w:p>
    <w:p w:rsidR="007E3F9A" w:rsidRPr="00D37160" w:rsidP="006D090A">
      <w:pPr>
        <w:numPr>
          <w:ilvl w:val="0"/>
          <w:numId w:val="8"/>
        </w:numPr>
        <w:spacing w:line="240" w:lineRule="auto"/>
        <w:rPr>
          <w:rFonts w:ascii="Calibri" w:hAnsi="Calibri" w:cs="Calibri"/>
        </w:rPr>
      </w:pPr>
      <w:r w:rsidRPr="00D37160">
        <w:rPr>
          <w:rFonts w:ascii="Calibri" w:hAnsi="Calibri" w:cs="Calibri"/>
        </w:rPr>
        <w:t>Maintaining clear accountability for victim support services following any governance changes.</w:t>
      </w:r>
    </w:p>
    <w:p w:rsidR="007E3F9A" w:rsidRPr="00D37160" w:rsidP="006D090A">
      <w:pPr>
        <w:numPr>
          <w:ilvl w:val="0"/>
          <w:numId w:val="8"/>
        </w:numPr>
        <w:spacing w:line="240" w:lineRule="auto"/>
        <w:rPr>
          <w:rFonts w:ascii="Calibri" w:hAnsi="Calibri" w:cs="Calibri"/>
        </w:rPr>
      </w:pPr>
      <w:r w:rsidRPr="00D37160">
        <w:rPr>
          <w:rFonts w:ascii="Calibri" w:hAnsi="Calibri" w:cs="Calibri"/>
        </w:rPr>
        <w:t>Ensuring victims and survivors have a meaningful role in future policing governance.</w:t>
      </w:r>
    </w:p>
    <w:p w:rsidR="007E3F9A" w:rsidRPr="00D37160" w:rsidP="006D090A">
      <w:pPr>
        <w:numPr>
          <w:ilvl w:val="0"/>
          <w:numId w:val="8"/>
        </w:numPr>
        <w:spacing w:line="240" w:lineRule="auto"/>
        <w:rPr>
          <w:rFonts w:ascii="Calibri" w:hAnsi="Calibri" w:cs="Calibri"/>
        </w:rPr>
      </w:pPr>
      <w:r w:rsidRPr="00D37160">
        <w:rPr>
          <w:rFonts w:ascii="Calibri" w:hAnsi="Calibri" w:cs="Calibri"/>
        </w:rPr>
        <w:t>Strengthening partnership working between policing, health services and specialist support organisations.</w:t>
      </w:r>
    </w:p>
    <w:p w:rsidR="007E3F9A" w:rsidRPr="00D37160" w:rsidP="006D090A">
      <w:pPr>
        <w:numPr>
          <w:ilvl w:val="0"/>
          <w:numId w:val="8"/>
        </w:numPr>
        <w:spacing w:line="240" w:lineRule="auto"/>
        <w:rPr>
          <w:rFonts w:ascii="Calibri" w:hAnsi="Calibri" w:cs="Calibri"/>
        </w:rPr>
      </w:pPr>
      <w:r w:rsidRPr="00D37160">
        <w:rPr>
          <w:rFonts w:ascii="Calibri" w:hAnsi="Calibri" w:cs="Calibri"/>
        </w:rPr>
        <w:t>Developing a survivor-focused digital information and communication portal to improve transparency and victim engagement.</w:t>
      </w:r>
    </w:p>
    <w:p w:rsidR="007E3F9A" w:rsidRPr="00D37160" w:rsidP="006D090A">
      <w:pPr>
        <w:numPr>
          <w:ilvl w:val="0"/>
          <w:numId w:val="8"/>
        </w:numPr>
        <w:spacing w:line="240" w:lineRule="auto"/>
        <w:rPr>
          <w:rFonts w:ascii="Calibri" w:hAnsi="Calibri" w:cs="Calibri"/>
        </w:rPr>
      </w:pPr>
      <w:r w:rsidRPr="00D37160">
        <w:rPr>
          <w:rFonts w:ascii="Calibri" w:hAnsi="Calibri" w:cs="Calibri"/>
        </w:rPr>
        <w:t>Measuring victim confidence, communication and experience as key indicators of policing effectiveness.</w:t>
      </w:r>
    </w:p>
    <w:p w:rsidR="007E3F9A" w:rsidRPr="00D37160" w:rsidP="006D090A">
      <w:pPr>
        <w:spacing w:line="240" w:lineRule="auto"/>
        <w:ind w:left="720"/>
        <w:rPr>
          <w:rFonts w:ascii="Calibri" w:hAnsi="Calibri" w:cs="Calibri"/>
        </w:rPr>
      </w:pPr>
    </w:p>
    <w:p w:rsidR="007E3F9A" w:rsidRPr="00D37160" w:rsidP="006D090A">
      <w:pPr>
        <w:spacing w:line="240" w:lineRule="auto"/>
        <w:rPr>
          <w:rFonts w:ascii="Calibri" w:hAnsi="Calibri" w:cs="Calibri"/>
          <w:b/>
          <w:bCs/>
        </w:rPr>
      </w:pPr>
      <w:r w:rsidRPr="00D37160">
        <w:rPr>
          <w:rFonts w:ascii="Calibri" w:hAnsi="Calibri" w:cs="Calibri"/>
          <w:b/>
          <w:bCs/>
        </w:rPr>
        <w:t>Conclusion</w:t>
      </w:r>
    </w:p>
    <w:p w:rsidR="007E3F9A" w:rsidRPr="00D37160" w:rsidP="006D090A">
      <w:pPr>
        <w:spacing w:line="240" w:lineRule="auto"/>
        <w:rPr>
          <w:rFonts w:ascii="Calibri" w:hAnsi="Calibri" w:cs="Calibri"/>
        </w:rPr>
      </w:pPr>
      <w:r w:rsidRPr="00D37160">
        <w:rPr>
          <w:rFonts w:ascii="Calibri" w:hAnsi="Calibri" w:cs="Calibri"/>
        </w:rPr>
        <w:t>The future of policing in Wales should not be determined solely by structures, governance arrangements or force numbers.</w:t>
      </w:r>
    </w:p>
    <w:p w:rsidR="007E3F9A" w:rsidRPr="00D37160" w:rsidP="006D090A">
      <w:pPr>
        <w:spacing w:line="240" w:lineRule="auto"/>
        <w:rPr>
          <w:rFonts w:ascii="Calibri" w:hAnsi="Calibri" w:cs="Calibri"/>
        </w:rPr>
      </w:pPr>
    </w:p>
    <w:p w:rsidR="007E3F9A" w:rsidRPr="00D37160" w:rsidP="006D090A">
      <w:pPr>
        <w:spacing w:line="240" w:lineRule="auto"/>
        <w:rPr>
          <w:rFonts w:ascii="Calibri" w:hAnsi="Calibri" w:cs="Calibri"/>
        </w:rPr>
      </w:pPr>
      <w:r w:rsidRPr="00D37160">
        <w:rPr>
          <w:rFonts w:ascii="Calibri" w:hAnsi="Calibri" w:cs="Calibri"/>
        </w:rPr>
        <w:t>The true measure of success will be whether people feel safe, supported and listened to when they encounter policing.</w:t>
      </w:r>
    </w:p>
    <w:p w:rsidR="007E3F9A" w:rsidRPr="00D37160" w:rsidP="006D090A">
      <w:pPr>
        <w:spacing w:line="240" w:lineRule="auto"/>
        <w:rPr>
          <w:rFonts w:ascii="Calibri" w:hAnsi="Calibri" w:cs="Calibri"/>
        </w:rPr>
      </w:pPr>
    </w:p>
    <w:p w:rsidR="007E3F9A" w:rsidRPr="00D37160" w:rsidP="006D090A">
      <w:pPr>
        <w:spacing w:line="240" w:lineRule="auto"/>
        <w:rPr>
          <w:rFonts w:ascii="Calibri" w:hAnsi="Calibri" w:cs="Calibri"/>
        </w:rPr>
      </w:pPr>
      <w:r w:rsidRPr="00D37160">
        <w:rPr>
          <w:rFonts w:ascii="Calibri" w:hAnsi="Calibri" w:cs="Calibri"/>
        </w:rPr>
        <w:t>Reform presents an opportunity to create a policing system that is accountable, trauma-informed, victim-centred and responsive to the needs of communities across Wales.</w:t>
      </w:r>
    </w:p>
    <w:p w:rsidR="007E3F9A" w:rsidRPr="00D37160" w:rsidP="006D090A">
      <w:pPr>
        <w:spacing w:line="240" w:lineRule="auto"/>
        <w:rPr>
          <w:rFonts w:ascii="Calibri" w:hAnsi="Calibri" w:cs="Calibri"/>
        </w:rPr>
      </w:pPr>
    </w:p>
    <w:p w:rsidR="007E3F9A" w:rsidRPr="00D37160" w:rsidP="006D090A">
      <w:pPr>
        <w:spacing w:line="240" w:lineRule="auto"/>
        <w:rPr>
          <w:rFonts w:ascii="Calibri" w:hAnsi="Calibri" w:cs="Calibri"/>
        </w:rPr>
      </w:pPr>
      <w:r w:rsidRPr="00D37160">
        <w:rPr>
          <w:rFonts w:ascii="Calibri" w:hAnsi="Calibri" w:cs="Calibri"/>
        </w:rPr>
        <w:t>By embedding survivor voices, strengthening accountability and building upon Wales' existing commitment to trauma-informed practice, Wales can become a leader in delivering trusted and effective policing.</w:t>
      </w:r>
    </w:p>
    <w:p w:rsidR="007E3F9A" w:rsidP="006D090A">
      <w:pPr>
        <w:spacing w:line="240" w:lineRule="auto"/>
        <w:rPr>
          <w:rFonts w:ascii="Calibri" w:hAnsi="Calibri" w:cs="Calibri"/>
        </w:rPr>
      </w:pPr>
    </w:p>
    <w:p w:rsidR="007E3F9A" w:rsidRPr="00D37160" w:rsidP="006D090A">
      <w:pPr>
        <w:spacing w:line="240" w:lineRule="auto"/>
        <w:rPr>
          <w:rFonts w:ascii="Calibri" w:hAnsi="Calibri" w:cs="Calibri"/>
          <w:i/>
          <w:iCs/>
        </w:rPr>
      </w:pPr>
      <w:r w:rsidRPr="00D37160">
        <w:rPr>
          <w:rFonts w:ascii="Calibri" w:hAnsi="Calibri" w:cs="Calibri"/>
          <w:i/>
          <w:iCs/>
        </w:rPr>
        <w:t>June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F6156BC"/>
    <w:multiLevelType w:val="multilevel"/>
    <w:tmpl w:val="79B0E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D408B8"/>
    <w:multiLevelType w:val="multilevel"/>
    <w:tmpl w:val="422CF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D26C9D"/>
    <w:multiLevelType w:val="multilevel"/>
    <w:tmpl w:val="143ED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73C5E1F"/>
    <w:multiLevelType w:val="multilevel"/>
    <w:tmpl w:val="4FB89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59A0E5A"/>
    <w:multiLevelType w:val="multilevel"/>
    <w:tmpl w:val="89145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3D73B6"/>
    <w:multiLevelType w:val="multilevel"/>
    <w:tmpl w:val="B2C6C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A586298"/>
    <w:multiLevelType w:val="multilevel"/>
    <w:tmpl w:val="708AD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C8C6029"/>
    <w:multiLevelType w:val="multilevel"/>
    <w:tmpl w:val="97C4D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5"/>
  </w:num>
  <w:num w:numId="4">
    <w:abstractNumId w:val="4"/>
  </w:num>
  <w:num w:numId="5">
    <w:abstractNumId w:val="2"/>
  </w:num>
  <w:num w:numId="6">
    <w:abstractNumId w:val="7"/>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0F6C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6C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6C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6C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6C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6C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6C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6C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6C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6C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6C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6C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6C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6C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6C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6C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6C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6C80"/>
    <w:rPr>
      <w:rFonts w:eastAsiaTheme="majorEastAsia" w:cstheme="majorBidi"/>
      <w:color w:val="272727" w:themeColor="text1" w:themeTint="D8"/>
    </w:rPr>
  </w:style>
  <w:style w:type="paragraph" w:styleId="Title">
    <w:name w:val="Title"/>
    <w:basedOn w:val="Normal"/>
    <w:next w:val="Normal"/>
    <w:link w:val="TitleChar"/>
    <w:uiPriority w:val="10"/>
    <w:qFormat/>
    <w:rsid w:val="000F6C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6C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6C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6C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6C80"/>
    <w:pPr>
      <w:spacing w:before="160"/>
      <w:jc w:val="center"/>
    </w:pPr>
    <w:rPr>
      <w:i/>
      <w:iCs/>
      <w:color w:val="404040" w:themeColor="text1" w:themeTint="BF"/>
    </w:rPr>
  </w:style>
  <w:style w:type="character" w:customStyle="1" w:styleId="QuoteChar">
    <w:name w:val="Quote Char"/>
    <w:basedOn w:val="DefaultParagraphFont"/>
    <w:link w:val="Quote"/>
    <w:uiPriority w:val="29"/>
    <w:rsid w:val="000F6C80"/>
    <w:rPr>
      <w:i/>
      <w:iCs/>
      <w:color w:val="404040" w:themeColor="text1" w:themeTint="BF"/>
    </w:rPr>
  </w:style>
  <w:style w:type="paragraph" w:styleId="ListParagraph">
    <w:name w:val="List Paragraph"/>
    <w:basedOn w:val="Normal"/>
    <w:uiPriority w:val="34"/>
    <w:qFormat/>
    <w:rsid w:val="000F6C80"/>
    <w:pPr>
      <w:ind w:left="720"/>
      <w:contextualSpacing/>
    </w:pPr>
  </w:style>
  <w:style w:type="character" w:styleId="IntenseEmphasis">
    <w:name w:val="Intense Emphasis"/>
    <w:basedOn w:val="DefaultParagraphFont"/>
    <w:uiPriority w:val="21"/>
    <w:qFormat/>
    <w:rsid w:val="000F6C80"/>
    <w:rPr>
      <w:i/>
      <w:iCs/>
      <w:color w:val="0F4761" w:themeColor="accent1" w:themeShade="BF"/>
    </w:rPr>
  </w:style>
  <w:style w:type="paragraph" w:styleId="IntenseQuote">
    <w:name w:val="Intense Quote"/>
    <w:basedOn w:val="Normal"/>
    <w:next w:val="Normal"/>
    <w:link w:val="IntenseQuoteChar"/>
    <w:uiPriority w:val="30"/>
    <w:qFormat/>
    <w:rsid w:val="000F6C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6C80"/>
    <w:rPr>
      <w:i/>
      <w:iCs/>
      <w:color w:val="0F4761" w:themeColor="accent1" w:themeShade="BF"/>
    </w:rPr>
  </w:style>
  <w:style w:type="character" w:styleId="IntenseReference">
    <w:name w:val="Intense Reference"/>
    <w:basedOn w:val="DefaultParagraphFont"/>
    <w:uiPriority w:val="32"/>
    <w:qFormat/>
    <w:rsid w:val="000F6C8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FPW0010</dc:title>
  <cp:revision>0</cp:revision>
</cp:coreProperties>
</file>