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pPr>
        <w:spacing w:before="64"/>
        <w:ind w:left="0" w:right="269" w:firstLine="0"/>
        <w:jc w:val="right"/>
        <w:rPr>
          <w:b/>
          <w:sz w:val="20"/>
        </w:rPr>
      </w:pPr>
      <w:bookmarkStart w:id="0" w:name="20260618 HCDC Afghan Relocations Follow "/>
      <w:bookmarkEnd w:id="0"/>
      <w:r>
        <w:rPr>
          <w:b/>
          <w:spacing w:val="-2"/>
          <w:sz w:val="20"/>
        </w:rPr>
        <w:t>ADBRS0039</w:t>
      </w:r>
    </w:p>
    <w:p>
      <w:pPr>
        <w:pStyle w:val="BodyText"/>
        <w:rPr>
          <w:b/>
          <w:sz w:val="20"/>
        </w:rPr>
      </w:pPr>
    </w:p>
    <w:p>
      <w:pPr>
        <w:pStyle w:val="BodyText"/>
        <w:spacing w:before="215"/>
        <w:rPr>
          <w:b/>
          <w:sz w:val="20"/>
        </w:rPr>
      </w:pPr>
    </w:p>
    <w:p>
      <w:pPr>
        <w:pStyle w:val="BodyText"/>
        <w:spacing w:after="0"/>
        <w:rPr>
          <w:b/>
          <w:sz w:val="20"/>
        </w:rPr>
        <w:sectPr>
          <w:type w:val="continuous"/>
          <w:pgSz w:w="12240" w:h="15840"/>
          <w:pgMar w:top="200" w:right="360" w:bottom="280" w:left="1080" w:header="720" w:footer="720"/>
          <w:cols w:space="720"/>
        </w:sectPr>
      </w:pPr>
    </w:p>
    <w:p>
      <w:pPr>
        <w:pStyle w:val="BodyText"/>
        <w:spacing w:before="9"/>
        <w:rPr>
          <w:b/>
          <w:sz w:val="12"/>
        </w:rPr>
      </w:pPr>
    </w:p>
    <w:p>
      <w:pPr>
        <w:spacing w:line="240" w:lineRule="auto"/>
        <w:ind w:left="386" w:right="0" w:firstLine="0"/>
        <w:rPr>
          <w:sz w:val="20"/>
        </w:rPr>
      </w:pPr>
      <w:r>
        <w:rPr>
          <w:sz w:val="20"/>
        </w:rPr>
        <w:drawing>
          <wp:inline distT="0" distB="0" distL="0" distR="0">
            <wp:extent cx="1205454" cy="1000125"/>
            <wp:effectExtent l="0" t="0" r="0" b="0"/>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xmlns:r="http://schemas.openxmlformats.org/officeDocument/2006/relationships" r:embed="rId4" cstate="print"/>
                    <a:stretch>
                      <a:fillRect/>
                    </a:stretch>
                  </pic:blipFill>
                  <pic:spPr>
                    <a:xfrm>
                      <a:off x="0" y="0"/>
                      <a:ext cx="1205454" cy="1000125"/>
                    </a:xfrm>
                    <a:prstGeom prst="rect">
                      <a:avLst/>
                    </a:prstGeom>
                  </pic:spPr>
                </pic:pic>
              </a:graphicData>
            </a:graphic>
          </wp:inline>
        </w:drawing>
      </w:r>
    </w:p>
    <w:p>
      <w:pPr>
        <w:pStyle w:val="BodyText"/>
        <w:spacing w:before="51"/>
        <w:rPr>
          <w:b/>
          <w:sz w:val="20"/>
        </w:rPr>
      </w:pPr>
    </w:p>
    <w:p>
      <w:pPr>
        <w:spacing w:before="0"/>
        <w:ind w:left="364" w:right="0" w:firstLine="0"/>
        <w:jc w:val="left"/>
        <w:rPr>
          <w:b/>
          <w:sz w:val="20"/>
        </w:rPr>
      </w:pPr>
      <w:r>
        <w:rPr>
          <w:b/>
          <w:sz w:val="20"/>
        </w:rPr>
        <w:t>LUKE</w:t>
      </w:r>
      <w:r>
        <w:rPr>
          <w:b/>
          <w:spacing w:val="-7"/>
          <w:sz w:val="20"/>
        </w:rPr>
        <w:t xml:space="preserve"> </w:t>
      </w:r>
      <w:r>
        <w:rPr>
          <w:b/>
          <w:sz w:val="20"/>
        </w:rPr>
        <w:t>POLLARD</w:t>
      </w:r>
      <w:r>
        <w:rPr>
          <w:b/>
          <w:spacing w:val="-9"/>
          <w:sz w:val="20"/>
        </w:rPr>
        <w:t xml:space="preserve"> </w:t>
      </w:r>
      <w:r>
        <w:rPr>
          <w:b/>
          <w:spacing w:val="-5"/>
          <w:sz w:val="20"/>
        </w:rPr>
        <w:t>MP</w:t>
      </w:r>
    </w:p>
    <w:p>
      <w:pPr>
        <w:spacing w:before="0"/>
        <w:ind w:left="364" w:right="0" w:firstLine="0"/>
        <w:jc w:val="left"/>
        <w:rPr>
          <w:sz w:val="20"/>
        </w:rPr>
      </w:pPr>
      <w:r>
        <w:rPr>
          <w:sz w:val="20"/>
        </w:rPr>
        <w:t>Minister</w:t>
      </w:r>
      <w:r>
        <w:rPr>
          <w:spacing w:val="-7"/>
          <w:sz w:val="20"/>
        </w:rPr>
        <w:t xml:space="preserve"> </w:t>
      </w:r>
      <w:r>
        <w:rPr>
          <w:sz w:val="20"/>
        </w:rPr>
        <w:t>for</w:t>
      </w:r>
      <w:r>
        <w:rPr>
          <w:spacing w:val="-7"/>
          <w:sz w:val="20"/>
        </w:rPr>
        <w:t xml:space="preserve"> </w:t>
      </w:r>
      <w:r>
        <w:rPr>
          <w:sz w:val="20"/>
        </w:rPr>
        <w:t>Defence</w:t>
      </w:r>
      <w:r>
        <w:rPr>
          <w:spacing w:val="-7"/>
          <w:sz w:val="20"/>
        </w:rPr>
        <w:t xml:space="preserve"> </w:t>
      </w:r>
      <w:r>
        <w:rPr>
          <w:sz w:val="20"/>
        </w:rPr>
        <w:t>Readiness</w:t>
      </w:r>
      <w:r>
        <w:rPr>
          <w:spacing w:val="-6"/>
          <w:sz w:val="20"/>
        </w:rPr>
        <w:t xml:space="preserve"> </w:t>
      </w:r>
      <w:r>
        <w:rPr>
          <w:sz w:val="20"/>
        </w:rPr>
        <w:t>and</w:t>
      </w:r>
      <w:r>
        <w:rPr>
          <w:spacing w:val="-6"/>
          <w:sz w:val="20"/>
        </w:rPr>
        <w:t xml:space="preserve"> </w:t>
      </w:r>
      <w:r>
        <w:rPr>
          <w:spacing w:val="-2"/>
          <w:sz w:val="20"/>
        </w:rPr>
        <w:t>Industry</w:t>
      </w:r>
    </w:p>
    <w:p>
      <w:pPr>
        <w:spacing w:before="93"/>
        <w:ind w:left="364" w:right="1842" w:firstLine="0"/>
        <w:jc w:val="left"/>
        <w:rPr>
          <w:sz w:val="20"/>
        </w:rPr>
      </w:pPr>
      <w:r>
        <w:br w:type="column"/>
      </w:r>
      <w:r>
        <w:rPr>
          <w:sz w:val="20"/>
        </w:rPr>
        <w:t>MINISTRY OF DEFENCE FLOOR</w:t>
      </w:r>
      <w:r>
        <w:rPr>
          <w:spacing w:val="-14"/>
          <w:sz w:val="20"/>
        </w:rPr>
        <w:t xml:space="preserve"> </w:t>
      </w:r>
      <w:r>
        <w:rPr>
          <w:sz w:val="20"/>
        </w:rPr>
        <w:t>5,</w:t>
      </w:r>
      <w:r>
        <w:rPr>
          <w:spacing w:val="-14"/>
          <w:sz w:val="20"/>
        </w:rPr>
        <w:t xml:space="preserve"> </w:t>
      </w:r>
      <w:r>
        <w:rPr>
          <w:sz w:val="20"/>
        </w:rPr>
        <w:t>MAIN</w:t>
      </w:r>
      <w:r>
        <w:rPr>
          <w:spacing w:val="-11"/>
          <w:sz w:val="20"/>
        </w:rPr>
        <w:t xml:space="preserve"> </w:t>
      </w:r>
      <w:r>
        <w:rPr>
          <w:sz w:val="20"/>
        </w:rPr>
        <w:t>BUILDING</w:t>
      </w:r>
    </w:p>
    <w:p>
      <w:pPr>
        <w:spacing w:before="1"/>
        <w:ind w:left="364" w:right="0" w:firstLine="0"/>
        <w:jc w:val="left"/>
        <w:rPr>
          <w:sz w:val="20"/>
        </w:rPr>
      </w:pPr>
      <w:r>
        <w:rPr>
          <w:sz w:val="20"/>
        </w:rPr>
        <w:t>WHITEHALL,</w:t>
      </w:r>
      <w:r>
        <w:rPr>
          <w:spacing w:val="-8"/>
          <w:sz w:val="20"/>
        </w:rPr>
        <w:t xml:space="preserve"> </w:t>
      </w:r>
      <w:r>
        <w:rPr>
          <w:sz w:val="20"/>
        </w:rPr>
        <w:t>LONDON</w:t>
      </w:r>
      <w:r>
        <w:rPr>
          <w:spacing w:val="-7"/>
          <w:sz w:val="20"/>
        </w:rPr>
        <w:t xml:space="preserve"> </w:t>
      </w:r>
      <w:r>
        <w:rPr>
          <w:sz w:val="20"/>
        </w:rPr>
        <w:t>SW1A</w:t>
      </w:r>
      <w:r>
        <w:rPr>
          <w:spacing w:val="-10"/>
          <w:sz w:val="20"/>
        </w:rPr>
        <w:t xml:space="preserve"> </w:t>
      </w:r>
      <w:r>
        <w:rPr>
          <w:spacing w:val="-5"/>
          <w:sz w:val="20"/>
        </w:rPr>
        <w:t>2HB</w:t>
      </w:r>
    </w:p>
    <w:p>
      <w:pPr>
        <w:pStyle w:val="BodyText"/>
        <w:rPr>
          <w:sz w:val="20"/>
        </w:rPr>
      </w:pPr>
    </w:p>
    <w:p>
      <w:pPr>
        <w:spacing w:before="1"/>
        <w:ind w:left="364" w:right="0" w:firstLine="0"/>
        <w:jc w:val="left"/>
        <w:rPr>
          <w:sz w:val="20"/>
        </w:rPr>
      </w:pPr>
      <w:r>
        <w:rPr>
          <w:sz w:val="20"/>
        </w:rPr>
        <w:t>Tel:</w:t>
      </w:r>
      <w:r>
        <w:rPr>
          <w:spacing w:val="-6"/>
          <w:sz w:val="20"/>
        </w:rPr>
        <w:t xml:space="preserve"> </w:t>
      </w:r>
      <w:r>
        <w:rPr>
          <w:sz w:val="20"/>
        </w:rPr>
        <w:t>020</w:t>
      </w:r>
      <w:r>
        <w:rPr>
          <w:spacing w:val="-3"/>
          <w:sz w:val="20"/>
        </w:rPr>
        <w:t xml:space="preserve"> </w:t>
      </w:r>
      <w:r>
        <w:rPr>
          <w:sz w:val="20"/>
        </w:rPr>
        <w:t>7218</w:t>
      </w:r>
      <w:r>
        <w:rPr>
          <w:spacing w:val="-5"/>
          <w:sz w:val="20"/>
        </w:rPr>
        <w:t xml:space="preserve"> </w:t>
      </w:r>
      <w:r>
        <w:rPr>
          <w:sz w:val="20"/>
        </w:rPr>
        <w:t>9000</w:t>
      </w:r>
      <w:r>
        <w:rPr>
          <w:spacing w:val="-5"/>
          <w:sz w:val="20"/>
        </w:rPr>
        <w:t xml:space="preserve"> </w:t>
      </w:r>
      <w:r>
        <w:rPr>
          <w:spacing w:val="-2"/>
          <w:sz w:val="20"/>
        </w:rPr>
        <w:t>(switchboard)</w:t>
      </w:r>
    </w:p>
    <w:p>
      <w:pPr>
        <w:spacing w:after="0"/>
        <w:jc w:val="left"/>
        <w:rPr>
          <w:sz w:val="20"/>
        </w:rPr>
        <w:sectPr>
          <w:type w:val="continuous"/>
          <w:pgSz w:w="12240" w:h="15840"/>
          <w:pgMar w:top="200" w:right="360" w:bottom="280" w:left="1080" w:header="720" w:footer="720"/>
          <w:cols w:num="2" w:space="720" w:equalWidth="0">
            <w:col w:w="4352" w:space="1773"/>
            <w:col w:w="4675"/>
          </w:cols>
        </w:sectPr>
      </w:pPr>
    </w:p>
    <w:p>
      <w:pPr>
        <w:pStyle w:val="BodyText"/>
        <w:spacing w:before="28"/>
      </w:pPr>
    </w:p>
    <w:p>
      <w:pPr>
        <w:pStyle w:val="BodyText"/>
        <w:ind w:right="723"/>
        <w:jc w:val="right"/>
      </w:pPr>
      <w:r>
        <w:t>18</w:t>
      </w:r>
      <w:r>
        <w:rPr>
          <w:spacing w:val="-1"/>
        </w:rPr>
        <w:t xml:space="preserve"> </w:t>
      </w:r>
      <w:r>
        <w:t>June</w:t>
      </w:r>
      <w:r>
        <w:rPr>
          <w:spacing w:val="-1"/>
        </w:rPr>
        <w:t xml:space="preserve"> </w:t>
      </w:r>
      <w:r>
        <w:rPr>
          <w:spacing w:val="-4"/>
        </w:rPr>
        <w:t>2026</w:t>
      </w:r>
    </w:p>
    <w:p>
      <w:pPr>
        <w:pStyle w:val="BodyText"/>
      </w:pPr>
    </w:p>
    <w:p>
      <w:pPr>
        <w:pStyle w:val="BodyText"/>
        <w:ind w:left="338"/>
      </w:pPr>
      <w:r>
        <w:t>Dear</w:t>
      </w:r>
      <w:r>
        <w:rPr>
          <w:spacing w:val="-2"/>
        </w:rPr>
        <w:t xml:space="preserve"> </w:t>
      </w:r>
      <w:r>
        <w:rPr>
          <w:spacing w:val="-4"/>
        </w:rPr>
        <w:t>Tan,</w:t>
      </w:r>
    </w:p>
    <w:p>
      <w:pPr>
        <w:pStyle w:val="BodyText"/>
      </w:pPr>
    </w:p>
    <w:p>
      <w:pPr>
        <w:pStyle w:val="BodyText"/>
        <w:ind w:left="338" w:right="730"/>
      </w:pPr>
      <w:r>
        <w:t>I</w:t>
      </w:r>
      <w:r>
        <w:rPr>
          <w:spacing w:val="-2"/>
        </w:rPr>
        <w:t xml:space="preserve"> </w:t>
      </w:r>
      <w:r>
        <w:t>was</w:t>
      </w:r>
      <w:r>
        <w:rPr>
          <w:spacing w:val="-3"/>
        </w:rPr>
        <w:t xml:space="preserve"> </w:t>
      </w:r>
      <w:r>
        <w:t>grateful</w:t>
      </w:r>
      <w:r>
        <w:rPr>
          <w:spacing w:val="-6"/>
        </w:rPr>
        <w:t xml:space="preserve"> </w:t>
      </w:r>
      <w:r>
        <w:t>for</w:t>
      </w:r>
      <w:r>
        <w:rPr>
          <w:spacing w:val="-4"/>
        </w:rPr>
        <w:t xml:space="preserve"> </w:t>
      </w:r>
      <w:r>
        <w:t>the</w:t>
      </w:r>
      <w:r>
        <w:rPr>
          <w:spacing w:val="-4"/>
        </w:rPr>
        <w:t xml:space="preserve"> </w:t>
      </w:r>
      <w:r>
        <w:t>opportunity</w:t>
      </w:r>
      <w:r>
        <w:rPr>
          <w:spacing w:val="-3"/>
        </w:rPr>
        <w:t xml:space="preserve"> </w:t>
      </w:r>
      <w:r>
        <w:t>to</w:t>
      </w:r>
      <w:r>
        <w:rPr>
          <w:spacing w:val="-2"/>
        </w:rPr>
        <w:t xml:space="preserve"> </w:t>
      </w:r>
      <w:r>
        <w:t>provide</w:t>
      </w:r>
      <w:r>
        <w:rPr>
          <w:spacing w:val="-2"/>
        </w:rPr>
        <w:t xml:space="preserve"> </w:t>
      </w:r>
      <w:r>
        <w:t>evidence</w:t>
      </w:r>
      <w:r>
        <w:rPr>
          <w:spacing w:val="-4"/>
        </w:rPr>
        <w:t xml:space="preserve"> </w:t>
      </w:r>
      <w:r>
        <w:t>to</w:t>
      </w:r>
      <w:r>
        <w:rPr>
          <w:spacing w:val="-4"/>
        </w:rPr>
        <w:t xml:space="preserve"> </w:t>
      </w:r>
      <w:r>
        <w:t>the</w:t>
      </w:r>
      <w:r>
        <w:rPr>
          <w:spacing w:val="-4"/>
        </w:rPr>
        <w:t xml:space="preserve"> </w:t>
      </w:r>
      <w:r>
        <w:t>Committee</w:t>
      </w:r>
      <w:r>
        <w:rPr>
          <w:spacing w:val="-3"/>
        </w:rPr>
        <w:t xml:space="preserve"> </w:t>
      </w:r>
      <w:r>
        <w:t>on</w:t>
      </w:r>
      <w:r>
        <w:rPr>
          <w:spacing w:val="-2"/>
        </w:rPr>
        <w:t xml:space="preserve"> </w:t>
      </w:r>
      <w:r>
        <w:t>19</w:t>
      </w:r>
      <w:r>
        <w:rPr>
          <w:spacing w:val="-2"/>
        </w:rPr>
        <w:t xml:space="preserve"> </w:t>
      </w:r>
      <w:r>
        <w:t>May</w:t>
      </w:r>
      <w:r>
        <w:rPr>
          <w:spacing w:val="-5"/>
        </w:rPr>
        <w:t xml:space="preserve"> </w:t>
      </w:r>
      <w:r>
        <w:t>2026</w:t>
      </w:r>
      <w:r>
        <w:rPr>
          <w:spacing w:val="-2"/>
        </w:rPr>
        <w:t xml:space="preserve"> </w:t>
      </w:r>
      <w:r>
        <w:t>and support your inquiry into the Afghan Data Incident and Resettlement Schemes.</w:t>
      </w:r>
    </w:p>
    <w:p>
      <w:pPr>
        <w:pStyle w:val="BodyText"/>
      </w:pPr>
    </w:p>
    <w:p>
      <w:pPr>
        <w:pStyle w:val="BodyText"/>
        <w:ind w:left="338" w:right="730"/>
      </w:pPr>
      <w:r>
        <w:t>As</w:t>
      </w:r>
      <w:r>
        <w:rPr>
          <w:spacing w:val="-3"/>
        </w:rPr>
        <w:t xml:space="preserve"> </w:t>
      </w:r>
      <w:r>
        <w:t>I</w:t>
      </w:r>
      <w:r>
        <w:rPr>
          <w:spacing w:val="-2"/>
        </w:rPr>
        <w:t xml:space="preserve"> </w:t>
      </w:r>
      <w:r>
        <w:t>noted</w:t>
      </w:r>
      <w:r>
        <w:rPr>
          <w:spacing w:val="-2"/>
        </w:rPr>
        <w:t xml:space="preserve"> </w:t>
      </w:r>
      <w:r>
        <w:t>in</w:t>
      </w:r>
      <w:r>
        <w:rPr>
          <w:spacing w:val="-2"/>
        </w:rPr>
        <w:t xml:space="preserve"> </w:t>
      </w:r>
      <w:r>
        <w:t>the</w:t>
      </w:r>
      <w:r>
        <w:rPr>
          <w:spacing w:val="-5"/>
        </w:rPr>
        <w:t xml:space="preserve"> </w:t>
      </w:r>
      <w:r>
        <w:t>oral</w:t>
      </w:r>
      <w:r>
        <w:rPr>
          <w:spacing w:val="-4"/>
        </w:rPr>
        <w:t xml:space="preserve"> </w:t>
      </w:r>
      <w:r>
        <w:t>evidence</w:t>
      </w:r>
      <w:r>
        <w:rPr>
          <w:spacing w:val="-4"/>
        </w:rPr>
        <w:t xml:space="preserve"> </w:t>
      </w:r>
      <w:r>
        <w:t>session,</w:t>
      </w:r>
      <w:r>
        <w:rPr>
          <w:spacing w:val="-2"/>
        </w:rPr>
        <w:t xml:space="preserve"> </w:t>
      </w:r>
      <w:r>
        <w:t>the</w:t>
      </w:r>
      <w:r>
        <w:rPr>
          <w:spacing w:val="-2"/>
        </w:rPr>
        <w:t xml:space="preserve"> </w:t>
      </w:r>
      <w:r>
        <w:t>Afghan</w:t>
      </w:r>
      <w:r>
        <w:rPr>
          <w:spacing w:val="-2"/>
        </w:rPr>
        <w:t xml:space="preserve"> </w:t>
      </w:r>
      <w:r>
        <w:t>Resettlement</w:t>
      </w:r>
      <w:r>
        <w:rPr>
          <w:spacing w:val="-2"/>
        </w:rPr>
        <w:t xml:space="preserve"> </w:t>
      </w:r>
      <w:r>
        <w:t>Programme</w:t>
      </w:r>
      <w:r>
        <w:rPr>
          <w:spacing w:val="-2"/>
        </w:rPr>
        <w:t xml:space="preserve"> </w:t>
      </w:r>
      <w:r>
        <w:t>(ARP)</w:t>
      </w:r>
      <w:r>
        <w:rPr>
          <w:spacing w:val="-4"/>
        </w:rPr>
        <w:t xml:space="preserve"> </w:t>
      </w:r>
      <w:r>
        <w:t>is</w:t>
      </w:r>
      <w:r>
        <w:rPr>
          <w:spacing w:val="-3"/>
        </w:rPr>
        <w:t xml:space="preserve"> </w:t>
      </w:r>
      <w:r>
        <w:t>truly a cross-government effort. Partners in Local Government and other supportive local organisations play a key role in fulfilling our commitment to eligible Afghans. I remain confident in our progress towards our goal of concluding central Government’s delivery of this programme before the end of this Parliament.</w:t>
      </w:r>
    </w:p>
    <w:p>
      <w:pPr>
        <w:pStyle w:val="BodyText"/>
      </w:pPr>
    </w:p>
    <w:p>
      <w:pPr>
        <w:pStyle w:val="BodyText"/>
        <w:spacing w:before="1"/>
        <w:ind w:left="338" w:right="730"/>
      </w:pPr>
      <w:r>
        <w:t>I</w:t>
      </w:r>
      <w:r>
        <w:rPr>
          <w:spacing w:val="-1"/>
        </w:rPr>
        <w:t xml:space="preserve"> </w:t>
      </w:r>
      <w:r>
        <w:t>committed</w:t>
      </w:r>
      <w:r>
        <w:rPr>
          <w:spacing w:val="-3"/>
        </w:rPr>
        <w:t xml:space="preserve"> </w:t>
      </w:r>
      <w:r>
        <w:t>to</w:t>
      </w:r>
      <w:r>
        <w:rPr>
          <w:spacing w:val="-1"/>
        </w:rPr>
        <w:t xml:space="preserve"> </w:t>
      </w:r>
      <w:r>
        <w:t>write</w:t>
      </w:r>
      <w:r>
        <w:rPr>
          <w:spacing w:val="-4"/>
        </w:rPr>
        <w:t xml:space="preserve"> </w:t>
      </w:r>
      <w:r>
        <w:t>back</w:t>
      </w:r>
      <w:r>
        <w:rPr>
          <w:spacing w:val="-2"/>
        </w:rPr>
        <w:t xml:space="preserve"> </w:t>
      </w:r>
      <w:r>
        <w:t>to</w:t>
      </w:r>
      <w:r>
        <w:rPr>
          <w:spacing w:val="-1"/>
        </w:rPr>
        <w:t xml:space="preserve"> </w:t>
      </w:r>
      <w:r>
        <w:t>you</w:t>
      </w:r>
      <w:r>
        <w:rPr>
          <w:spacing w:val="-1"/>
        </w:rPr>
        <w:t xml:space="preserve"> </w:t>
      </w:r>
      <w:r>
        <w:t>on</w:t>
      </w:r>
      <w:r>
        <w:rPr>
          <w:spacing w:val="-1"/>
        </w:rPr>
        <w:t xml:space="preserve"> </w:t>
      </w:r>
      <w:r>
        <w:t>a</w:t>
      </w:r>
      <w:r>
        <w:rPr>
          <w:spacing w:val="-3"/>
        </w:rPr>
        <w:t xml:space="preserve"> </w:t>
      </w:r>
      <w:r>
        <w:t>number</w:t>
      </w:r>
      <w:r>
        <w:rPr>
          <w:spacing w:val="-5"/>
        </w:rPr>
        <w:t xml:space="preserve"> </w:t>
      </w:r>
      <w:r>
        <w:t>of</w:t>
      </w:r>
      <w:r>
        <w:rPr>
          <w:spacing w:val="-1"/>
        </w:rPr>
        <w:t xml:space="preserve"> </w:t>
      </w:r>
      <w:r>
        <w:t>points</w:t>
      </w:r>
      <w:r>
        <w:rPr>
          <w:spacing w:val="-5"/>
        </w:rPr>
        <w:t xml:space="preserve"> </w:t>
      </w:r>
      <w:r>
        <w:t>and</w:t>
      </w:r>
      <w:r>
        <w:rPr>
          <w:spacing w:val="-3"/>
        </w:rPr>
        <w:t xml:space="preserve"> </w:t>
      </w:r>
      <w:r>
        <w:t>wanted</w:t>
      </w:r>
      <w:r>
        <w:rPr>
          <w:spacing w:val="-1"/>
        </w:rPr>
        <w:t xml:space="preserve"> </w:t>
      </w:r>
      <w:r>
        <w:t>to</w:t>
      </w:r>
      <w:r>
        <w:rPr>
          <w:spacing w:val="-1"/>
        </w:rPr>
        <w:t xml:space="preserve"> </w:t>
      </w:r>
      <w:r>
        <w:t>address</w:t>
      </w:r>
      <w:r>
        <w:rPr>
          <w:spacing w:val="-2"/>
        </w:rPr>
        <w:t xml:space="preserve"> </w:t>
      </w:r>
      <w:r>
        <w:t>further questions the Committee have since asked. These have been grouped by topic and supported by further annexes attached to this letter.</w:t>
      </w:r>
    </w:p>
    <w:p>
      <w:pPr>
        <w:pStyle w:val="Heading1"/>
        <w:spacing w:before="276"/>
        <w:ind w:left="338"/>
        <w:rPr>
          <w:u w:val="none"/>
        </w:rPr>
      </w:pPr>
      <w:r>
        <w:rPr>
          <w:u w:val="none"/>
        </w:rPr>
        <w:t>The</w:t>
      </w:r>
      <w:r>
        <w:rPr>
          <w:spacing w:val="-3"/>
          <w:u w:val="none"/>
        </w:rPr>
        <w:t xml:space="preserve"> </w:t>
      </w:r>
      <w:r>
        <w:rPr>
          <w:u w:val="none"/>
        </w:rPr>
        <w:t xml:space="preserve">Triples </w:t>
      </w:r>
      <w:r>
        <w:rPr>
          <w:spacing w:val="-2"/>
          <w:u w:val="none"/>
        </w:rPr>
        <w:t>Review</w:t>
      </w:r>
    </w:p>
    <w:p>
      <w:pPr>
        <w:pStyle w:val="BodyText"/>
        <w:spacing w:before="276"/>
        <w:ind w:left="338" w:right="730"/>
      </w:pPr>
      <w:r>
        <w:t>As I set out in the session, I advocated for a review of decisions made on Afghan Relocations</w:t>
      </w:r>
      <w:r>
        <w:rPr>
          <w:spacing w:val="-5"/>
        </w:rPr>
        <w:t xml:space="preserve"> </w:t>
      </w:r>
      <w:r>
        <w:t>and</w:t>
      </w:r>
      <w:r>
        <w:rPr>
          <w:spacing w:val="-2"/>
        </w:rPr>
        <w:t xml:space="preserve"> </w:t>
      </w:r>
      <w:r>
        <w:t>Assistance</w:t>
      </w:r>
      <w:r>
        <w:rPr>
          <w:spacing w:val="-4"/>
        </w:rPr>
        <w:t xml:space="preserve"> </w:t>
      </w:r>
      <w:r>
        <w:t>Policy</w:t>
      </w:r>
      <w:r>
        <w:rPr>
          <w:spacing w:val="-3"/>
        </w:rPr>
        <w:t xml:space="preserve"> </w:t>
      </w:r>
      <w:r>
        <w:t>(ARAP)</w:t>
      </w:r>
      <w:r>
        <w:rPr>
          <w:spacing w:val="-4"/>
        </w:rPr>
        <w:t xml:space="preserve"> </w:t>
      </w:r>
      <w:r>
        <w:t>applications</w:t>
      </w:r>
      <w:r>
        <w:rPr>
          <w:spacing w:val="-5"/>
        </w:rPr>
        <w:t xml:space="preserve"> </w:t>
      </w:r>
      <w:r>
        <w:t>from</w:t>
      </w:r>
      <w:r>
        <w:rPr>
          <w:spacing w:val="-4"/>
        </w:rPr>
        <w:t xml:space="preserve"> </w:t>
      </w:r>
      <w:r>
        <w:t>the</w:t>
      </w:r>
      <w:r>
        <w:rPr>
          <w:spacing w:val="-4"/>
        </w:rPr>
        <w:t xml:space="preserve"> </w:t>
      </w:r>
      <w:r>
        <w:t>Triples</w:t>
      </w:r>
      <w:r>
        <w:rPr>
          <w:spacing w:val="-3"/>
        </w:rPr>
        <w:t xml:space="preserve"> </w:t>
      </w:r>
      <w:r>
        <w:t>when</w:t>
      </w:r>
      <w:r>
        <w:rPr>
          <w:spacing w:val="-4"/>
        </w:rPr>
        <w:t xml:space="preserve"> </w:t>
      </w:r>
      <w:r>
        <w:t>in</w:t>
      </w:r>
      <w:r>
        <w:rPr>
          <w:spacing w:val="-2"/>
        </w:rPr>
        <w:t xml:space="preserve"> </w:t>
      </w:r>
      <w:r>
        <w:t>opposition, and, since taking office, I am proud to have led the Triples Review to its conclusion. In March 2026, I announced that over the two phases of the Review, 884 decisions were overturned. All “ineligible” decisions have been reassessed where they were previously referred to partner forces or where we had Top Up payment records or verification from HMG that they served with an Afghan Partner Force. I am confident this has now seen all those who should have been found eligible offered relocation under ARAP.</w:t>
      </w:r>
    </w:p>
    <w:p>
      <w:pPr>
        <w:pStyle w:val="BodyText"/>
      </w:pPr>
    </w:p>
    <w:p>
      <w:pPr>
        <w:pStyle w:val="BodyText"/>
        <w:ind w:left="338" w:right="730"/>
      </w:pPr>
      <w:r>
        <w:t>Internal</w:t>
      </w:r>
      <w:r>
        <w:rPr>
          <w:spacing w:val="-3"/>
        </w:rPr>
        <w:t xml:space="preserve"> </w:t>
      </w:r>
      <w:r>
        <w:t>reviews</w:t>
      </w:r>
      <w:r>
        <w:rPr>
          <w:spacing w:val="-4"/>
        </w:rPr>
        <w:t xml:space="preserve"> </w:t>
      </w:r>
      <w:r>
        <w:t>and</w:t>
      </w:r>
      <w:r>
        <w:rPr>
          <w:spacing w:val="-3"/>
        </w:rPr>
        <w:t xml:space="preserve"> </w:t>
      </w:r>
      <w:r>
        <w:t>the</w:t>
      </w:r>
      <w:r>
        <w:rPr>
          <w:spacing w:val="-3"/>
        </w:rPr>
        <w:t xml:space="preserve"> </w:t>
      </w:r>
      <w:r>
        <w:t>TPL1</w:t>
      </w:r>
      <w:r>
        <w:rPr>
          <w:spacing w:val="-3"/>
        </w:rPr>
        <w:t xml:space="preserve"> </w:t>
      </w:r>
      <w:r>
        <w:t>Judicial</w:t>
      </w:r>
      <w:r>
        <w:rPr>
          <w:spacing w:val="-3"/>
        </w:rPr>
        <w:t xml:space="preserve"> </w:t>
      </w:r>
      <w:r>
        <w:t>Review</w:t>
      </w:r>
      <w:r>
        <w:rPr>
          <w:spacing w:val="-4"/>
        </w:rPr>
        <w:t xml:space="preserve"> </w:t>
      </w:r>
      <w:r>
        <w:t>court</w:t>
      </w:r>
      <w:r>
        <w:rPr>
          <w:spacing w:val="-3"/>
        </w:rPr>
        <w:t xml:space="preserve"> </w:t>
      </w:r>
      <w:r>
        <w:t>judgment</w:t>
      </w:r>
      <w:r>
        <w:rPr>
          <w:spacing w:val="-5"/>
        </w:rPr>
        <w:t xml:space="preserve"> </w:t>
      </w:r>
      <w:r>
        <w:t>found</w:t>
      </w:r>
      <w:r>
        <w:rPr>
          <w:spacing w:val="-3"/>
        </w:rPr>
        <w:t xml:space="preserve"> </w:t>
      </w:r>
      <w:r>
        <w:t>no</w:t>
      </w:r>
      <w:r>
        <w:rPr>
          <w:spacing w:val="-4"/>
        </w:rPr>
        <w:t xml:space="preserve"> </w:t>
      </w:r>
      <w:r>
        <w:t>evidence</w:t>
      </w:r>
      <w:r>
        <w:rPr>
          <w:spacing w:val="-4"/>
        </w:rPr>
        <w:t xml:space="preserve"> </w:t>
      </w:r>
      <w:r>
        <w:t>of</w:t>
      </w:r>
      <w:r>
        <w:rPr>
          <w:spacing w:val="-3"/>
        </w:rPr>
        <w:t xml:space="preserve"> </w:t>
      </w:r>
      <w:r>
        <w:t>formal 'veto' given to individuals on decisions about applications. Nor was any evidence found of automatic, instant or mass rejections of Eligible Persons (EPs) in a deliberate attempt to actively block the return of Triples personnel coming to the UK to prevent them from providing evidence of alleged extra-judicial killings to the Independent Inquiry related to Afghanistan. We did, however, accept flaws in the process that led to an over-reliance on UKSF when making these decisions. Separately, the Independent Inquiry related to</w:t>
      </w:r>
    </w:p>
    <w:p>
      <w:pPr>
        <w:pStyle w:val="BodyText"/>
        <w:spacing w:before="143"/>
        <w:rPr>
          <w:sz w:val="20"/>
        </w:rPr>
      </w:pPr>
    </w:p>
    <w:p>
      <w:pPr>
        <w:spacing w:before="1"/>
        <w:ind w:left="338" w:right="0" w:firstLine="0"/>
        <w:jc w:val="left"/>
        <w:rPr>
          <w:sz w:val="20"/>
        </w:rPr>
      </w:pPr>
      <w:r>
        <w:rPr>
          <w:sz w:val="20"/>
        </w:rPr>
        <w:t>Tan</w:t>
      </w:r>
      <w:r>
        <w:rPr>
          <w:spacing w:val="-5"/>
          <w:sz w:val="20"/>
        </w:rPr>
        <w:t xml:space="preserve"> </w:t>
      </w:r>
      <w:r>
        <w:rPr>
          <w:sz w:val="20"/>
        </w:rPr>
        <w:t>Dhesi</w:t>
      </w:r>
      <w:r>
        <w:rPr>
          <w:spacing w:val="-6"/>
          <w:sz w:val="20"/>
        </w:rPr>
        <w:t xml:space="preserve"> </w:t>
      </w:r>
      <w:r>
        <w:rPr>
          <w:spacing w:val="-7"/>
          <w:sz w:val="20"/>
        </w:rPr>
        <w:t>MP</w:t>
      </w:r>
    </w:p>
    <w:p>
      <w:pPr>
        <w:spacing w:before="0"/>
        <w:ind w:left="338" w:right="5656" w:firstLine="0"/>
        <w:jc w:val="left"/>
        <w:rPr>
          <w:sz w:val="20"/>
        </w:rPr>
      </w:pPr>
      <w:r>
        <w:rPr>
          <w:sz w:val="20"/>
        </w:rPr>
        <w:t>Chair</w:t>
      </w:r>
      <w:r>
        <w:rPr>
          <w:spacing w:val="-5"/>
          <w:sz w:val="20"/>
        </w:rPr>
        <w:t xml:space="preserve"> </w:t>
      </w:r>
      <w:r>
        <w:rPr>
          <w:sz w:val="20"/>
        </w:rPr>
        <w:t>–</w:t>
      </w:r>
      <w:r>
        <w:rPr>
          <w:spacing w:val="-8"/>
          <w:sz w:val="20"/>
        </w:rPr>
        <w:t xml:space="preserve"> </w:t>
      </w:r>
      <w:r>
        <w:rPr>
          <w:sz w:val="20"/>
        </w:rPr>
        <w:t>House</w:t>
      </w:r>
      <w:r>
        <w:rPr>
          <w:spacing w:val="-8"/>
          <w:sz w:val="20"/>
        </w:rPr>
        <w:t xml:space="preserve"> </w:t>
      </w:r>
      <w:r>
        <w:rPr>
          <w:sz w:val="20"/>
        </w:rPr>
        <w:t>of</w:t>
      </w:r>
      <w:r>
        <w:rPr>
          <w:spacing w:val="-7"/>
          <w:sz w:val="20"/>
        </w:rPr>
        <w:t xml:space="preserve"> </w:t>
      </w:r>
      <w:r>
        <w:rPr>
          <w:sz w:val="20"/>
        </w:rPr>
        <w:t>Commons</w:t>
      </w:r>
      <w:r>
        <w:rPr>
          <w:spacing w:val="-8"/>
          <w:sz w:val="20"/>
        </w:rPr>
        <w:t xml:space="preserve"> </w:t>
      </w:r>
      <w:r>
        <w:rPr>
          <w:sz w:val="20"/>
        </w:rPr>
        <w:t>Defence</w:t>
      </w:r>
      <w:r>
        <w:rPr>
          <w:spacing w:val="-7"/>
          <w:sz w:val="20"/>
        </w:rPr>
        <w:t xml:space="preserve"> </w:t>
      </w:r>
      <w:r>
        <w:rPr>
          <w:sz w:val="20"/>
        </w:rPr>
        <w:t>Committee House of Commons</w:t>
      </w:r>
    </w:p>
    <w:p>
      <w:pPr>
        <w:spacing w:before="0"/>
        <w:ind w:left="338" w:right="8825" w:firstLine="0"/>
        <w:jc w:val="left"/>
        <w:rPr>
          <w:sz w:val="20"/>
        </w:rPr>
      </w:pPr>
      <w:r>
        <w:rPr>
          <w:spacing w:val="-2"/>
          <w:sz w:val="20"/>
        </w:rPr>
        <w:t xml:space="preserve">Westminster </w:t>
      </w:r>
      <w:r>
        <w:rPr>
          <w:sz w:val="20"/>
        </w:rPr>
        <w:t>SW1A 0AA</w:t>
      </w:r>
    </w:p>
    <w:p>
      <w:pPr>
        <w:spacing w:after="0"/>
        <w:jc w:val="left"/>
        <w:rPr>
          <w:sz w:val="20"/>
        </w:rPr>
        <w:sectPr>
          <w:type w:val="continuous"/>
          <w:pgSz w:w="12240" w:h="15840"/>
          <w:pgMar w:top="200" w:right="360" w:bottom="280" w:left="1080" w:header="720" w:footer="720"/>
          <w:cols w:space="720"/>
        </w:sectPr>
      </w:pPr>
    </w:p>
    <w:p>
      <w:pPr>
        <w:pStyle w:val="BodyText"/>
        <w:spacing w:before="79"/>
        <w:ind w:left="338" w:right="730"/>
      </w:pPr>
      <w:r>
        <w:t>Afghanistan</w:t>
      </w:r>
      <w:r>
        <w:rPr>
          <w:spacing w:val="-2"/>
        </w:rPr>
        <w:t xml:space="preserve"> </w:t>
      </w:r>
      <w:r>
        <w:t>continues</w:t>
      </w:r>
      <w:r>
        <w:rPr>
          <w:spacing w:val="-5"/>
        </w:rPr>
        <w:t xml:space="preserve"> </w:t>
      </w:r>
      <w:r>
        <w:t>to</w:t>
      </w:r>
      <w:r>
        <w:rPr>
          <w:spacing w:val="-2"/>
        </w:rPr>
        <w:t xml:space="preserve"> </w:t>
      </w:r>
      <w:r>
        <w:t>investigate</w:t>
      </w:r>
      <w:r>
        <w:rPr>
          <w:spacing w:val="-2"/>
        </w:rPr>
        <w:t xml:space="preserve"> </w:t>
      </w:r>
      <w:r>
        <w:t>any</w:t>
      </w:r>
      <w:r>
        <w:rPr>
          <w:spacing w:val="-3"/>
        </w:rPr>
        <w:t xml:space="preserve"> </w:t>
      </w:r>
      <w:r>
        <w:t>allegations</w:t>
      </w:r>
      <w:r>
        <w:rPr>
          <w:spacing w:val="-5"/>
        </w:rPr>
        <w:t xml:space="preserve"> </w:t>
      </w:r>
      <w:r>
        <w:t>of</w:t>
      </w:r>
      <w:r>
        <w:rPr>
          <w:spacing w:val="-2"/>
        </w:rPr>
        <w:t xml:space="preserve"> </w:t>
      </w:r>
      <w:r>
        <w:t>wrongdoing</w:t>
      </w:r>
      <w:r>
        <w:rPr>
          <w:spacing w:val="-4"/>
        </w:rPr>
        <w:t xml:space="preserve"> </w:t>
      </w:r>
      <w:r>
        <w:t>by</w:t>
      </w:r>
      <w:r>
        <w:rPr>
          <w:spacing w:val="-3"/>
        </w:rPr>
        <w:t xml:space="preserve"> </w:t>
      </w:r>
      <w:r>
        <w:t>UKSF</w:t>
      </w:r>
      <w:r>
        <w:rPr>
          <w:spacing w:val="-3"/>
        </w:rPr>
        <w:t xml:space="preserve"> </w:t>
      </w:r>
      <w:r>
        <w:t>as</w:t>
      </w:r>
      <w:r>
        <w:rPr>
          <w:spacing w:val="-3"/>
        </w:rPr>
        <w:t xml:space="preserve"> </w:t>
      </w:r>
      <w:r>
        <w:t>set</w:t>
      </w:r>
      <w:r>
        <w:rPr>
          <w:spacing w:val="-2"/>
        </w:rPr>
        <w:t xml:space="preserve"> </w:t>
      </w:r>
      <w:r>
        <w:t>out</w:t>
      </w:r>
      <w:r>
        <w:rPr>
          <w:spacing w:val="-2"/>
        </w:rPr>
        <w:t xml:space="preserve"> </w:t>
      </w:r>
      <w:r>
        <w:t>in the Terms of Reference.</w:t>
      </w:r>
    </w:p>
    <w:p>
      <w:pPr>
        <w:pStyle w:val="BodyText"/>
        <w:spacing w:before="276"/>
        <w:ind w:left="338" w:right="850"/>
      </w:pPr>
      <w:r>
        <w:t>I</w:t>
      </w:r>
      <w:r>
        <w:rPr>
          <w:spacing w:val="-2"/>
        </w:rPr>
        <w:t xml:space="preserve"> </w:t>
      </w:r>
      <w:r>
        <w:t>have</w:t>
      </w:r>
      <w:r>
        <w:rPr>
          <w:spacing w:val="-2"/>
        </w:rPr>
        <w:t xml:space="preserve"> </w:t>
      </w:r>
      <w:r>
        <w:t>attached</w:t>
      </w:r>
      <w:r>
        <w:rPr>
          <w:spacing w:val="-4"/>
        </w:rPr>
        <w:t xml:space="preserve"> </w:t>
      </w:r>
      <w:r>
        <w:t>a</w:t>
      </w:r>
      <w:r>
        <w:rPr>
          <w:spacing w:val="-2"/>
        </w:rPr>
        <w:t xml:space="preserve"> </w:t>
      </w:r>
      <w:r>
        <w:t>detailed</w:t>
      </w:r>
      <w:r>
        <w:rPr>
          <w:spacing w:val="-2"/>
        </w:rPr>
        <w:t xml:space="preserve"> </w:t>
      </w:r>
      <w:r>
        <w:t>note</w:t>
      </w:r>
      <w:r>
        <w:rPr>
          <w:spacing w:val="-4"/>
        </w:rPr>
        <w:t xml:space="preserve"> </w:t>
      </w:r>
      <w:r>
        <w:t>at</w:t>
      </w:r>
      <w:r>
        <w:rPr>
          <w:spacing w:val="-2"/>
        </w:rPr>
        <w:t xml:space="preserve"> </w:t>
      </w:r>
      <w:r>
        <w:t>Annex</w:t>
      </w:r>
      <w:r>
        <w:rPr>
          <w:spacing w:val="-3"/>
        </w:rPr>
        <w:t xml:space="preserve"> </w:t>
      </w:r>
      <w:r>
        <w:t>A</w:t>
      </w:r>
      <w:r>
        <w:rPr>
          <w:spacing w:val="-3"/>
        </w:rPr>
        <w:t xml:space="preserve"> </w:t>
      </w:r>
      <w:r>
        <w:t>which</w:t>
      </w:r>
      <w:r>
        <w:rPr>
          <w:spacing w:val="-2"/>
        </w:rPr>
        <w:t xml:space="preserve"> </w:t>
      </w:r>
      <w:r>
        <w:t>responds</w:t>
      </w:r>
      <w:r>
        <w:rPr>
          <w:spacing w:val="-5"/>
        </w:rPr>
        <w:t xml:space="preserve"> </w:t>
      </w:r>
      <w:r>
        <w:t>to</w:t>
      </w:r>
      <w:r>
        <w:rPr>
          <w:spacing w:val="-4"/>
        </w:rPr>
        <w:t xml:space="preserve"> </w:t>
      </w:r>
      <w:r>
        <w:t>the</w:t>
      </w:r>
      <w:r>
        <w:rPr>
          <w:spacing w:val="-4"/>
        </w:rPr>
        <w:t xml:space="preserve"> </w:t>
      </w:r>
      <w:r>
        <w:t>Committee’s</w:t>
      </w:r>
      <w:r>
        <w:rPr>
          <w:spacing w:val="-3"/>
        </w:rPr>
        <w:t xml:space="preserve"> </w:t>
      </w:r>
      <w:r>
        <w:t>questions on the Triples Review and related lessons.</w:t>
      </w:r>
    </w:p>
    <w:p>
      <w:pPr>
        <w:pStyle w:val="Heading1"/>
        <w:spacing w:before="276"/>
        <w:ind w:left="338"/>
        <w:rPr>
          <w:u w:val="none"/>
        </w:rPr>
      </w:pPr>
      <w:r>
        <w:rPr>
          <w:u w:val="none"/>
        </w:rPr>
        <w:t>Programme</w:t>
      </w:r>
      <w:r>
        <w:rPr>
          <w:spacing w:val="-1"/>
          <w:u w:val="none"/>
        </w:rPr>
        <w:t xml:space="preserve"> </w:t>
      </w:r>
      <w:r>
        <w:rPr>
          <w:spacing w:val="-2"/>
          <w:u w:val="none"/>
        </w:rPr>
        <w:t>Management</w:t>
      </w:r>
    </w:p>
    <w:p>
      <w:pPr>
        <w:pStyle w:val="BodyText"/>
        <w:rPr>
          <w:b/>
        </w:rPr>
      </w:pPr>
    </w:p>
    <w:p>
      <w:pPr>
        <w:pStyle w:val="BodyText"/>
        <w:ind w:left="338" w:right="730"/>
      </w:pPr>
      <w:r>
        <w:t>During</w:t>
      </w:r>
      <w:r>
        <w:rPr>
          <w:spacing w:val="-1"/>
        </w:rPr>
        <w:t xml:space="preserve"> </w:t>
      </w:r>
      <w:r>
        <w:t>the</w:t>
      </w:r>
      <w:r>
        <w:rPr>
          <w:spacing w:val="-1"/>
        </w:rPr>
        <w:t xml:space="preserve"> </w:t>
      </w:r>
      <w:r>
        <w:t>session,</w:t>
      </w:r>
      <w:r>
        <w:rPr>
          <w:spacing w:val="-4"/>
        </w:rPr>
        <w:t xml:space="preserve"> </w:t>
      </w:r>
      <w:r>
        <w:t>my</w:t>
      </w:r>
      <w:r>
        <w:rPr>
          <w:spacing w:val="-4"/>
        </w:rPr>
        <w:t xml:space="preserve"> </w:t>
      </w:r>
      <w:r>
        <w:t>officials</w:t>
      </w:r>
      <w:r>
        <w:rPr>
          <w:spacing w:val="-2"/>
        </w:rPr>
        <w:t xml:space="preserve"> </w:t>
      </w:r>
      <w:r>
        <w:t>and</w:t>
      </w:r>
      <w:r>
        <w:rPr>
          <w:spacing w:val="-3"/>
        </w:rPr>
        <w:t xml:space="preserve"> </w:t>
      </w:r>
      <w:r>
        <w:t>I</w:t>
      </w:r>
      <w:r>
        <w:rPr>
          <w:spacing w:val="-1"/>
        </w:rPr>
        <w:t xml:space="preserve"> </w:t>
      </w:r>
      <w:r>
        <w:t>outlined</w:t>
      </w:r>
      <w:r>
        <w:rPr>
          <w:spacing w:val="-6"/>
        </w:rPr>
        <w:t xml:space="preserve"> </w:t>
      </w:r>
      <w:r>
        <w:t>the</w:t>
      </w:r>
      <w:r>
        <w:rPr>
          <w:spacing w:val="-1"/>
        </w:rPr>
        <w:t xml:space="preserve"> </w:t>
      </w:r>
      <w:r>
        <w:t>status</w:t>
      </w:r>
      <w:r>
        <w:rPr>
          <w:spacing w:val="-4"/>
        </w:rPr>
        <w:t xml:space="preserve"> </w:t>
      </w:r>
      <w:r>
        <w:t>of</w:t>
      </w:r>
      <w:r>
        <w:rPr>
          <w:spacing w:val="-4"/>
        </w:rPr>
        <w:t xml:space="preserve"> </w:t>
      </w:r>
      <w:r>
        <w:t>the</w:t>
      </w:r>
      <w:r>
        <w:rPr>
          <w:spacing w:val="-3"/>
        </w:rPr>
        <w:t xml:space="preserve"> </w:t>
      </w:r>
      <w:r>
        <w:t>programme</w:t>
      </w:r>
      <w:r>
        <w:rPr>
          <w:spacing w:val="-3"/>
        </w:rPr>
        <w:t xml:space="preserve"> </w:t>
      </w:r>
      <w:r>
        <w:t>and</w:t>
      </w:r>
      <w:r>
        <w:rPr>
          <w:spacing w:val="-1"/>
        </w:rPr>
        <w:t xml:space="preserve"> </w:t>
      </w:r>
      <w:r>
        <w:t>the</w:t>
      </w:r>
      <w:r>
        <w:rPr>
          <w:spacing w:val="-1"/>
        </w:rPr>
        <w:t xml:space="preserve"> </w:t>
      </w:r>
      <w:r>
        <w:t>intent</w:t>
      </w:r>
      <w:r>
        <w:rPr>
          <w:spacing w:val="-4"/>
        </w:rPr>
        <w:t xml:space="preserve"> </w:t>
      </w:r>
      <w:r>
        <w:t>to bring it to a close within this Parliament. I have included a programme update at Annex B which responds to the Committee’s questions about overall programme health and management. Further updates will be provided to Parliament as part of the Department’s routine reporting to the Public Accounts Committee and the National Audit Office.</w:t>
      </w:r>
    </w:p>
    <w:p>
      <w:pPr>
        <w:pStyle w:val="BodyText"/>
      </w:pPr>
    </w:p>
    <w:p>
      <w:pPr>
        <w:pStyle w:val="Heading1"/>
        <w:ind w:left="338"/>
        <w:rPr>
          <w:u w:val="none"/>
        </w:rPr>
      </w:pPr>
      <w:r>
        <w:rPr>
          <w:u w:val="none"/>
        </w:rPr>
        <w:t>Eligibility</w:t>
      </w:r>
      <w:r>
        <w:rPr>
          <w:spacing w:val="-4"/>
          <w:u w:val="none"/>
        </w:rPr>
        <w:t xml:space="preserve"> </w:t>
      </w:r>
      <w:r>
        <w:rPr>
          <w:spacing w:val="-2"/>
          <w:u w:val="none"/>
        </w:rPr>
        <w:t>Casework</w:t>
      </w:r>
    </w:p>
    <w:p>
      <w:pPr>
        <w:pStyle w:val="BodyText"/>
        <w:rPr>
          <w:b/>
        </w:rPr>
      </w:pPr>
    </w:p>
    <w:p>
      <w:pPr>
        <w:pStyle w:val="BodyText"/>
        <w:ind w:left="338" w:right="730"/>
      </w:pPr>
      <w:r>
        <w:t>The</w:t>
      </w:r>
      <w:r>
        <w:rPr>
          <w:spacing w:val="-2"/>
        </w:rPr>
        <w:t xml:space="preserve"> </w:t>
      </w:r>
      <w:r>
        <w:t>programme</w:t>
      </w:r>
      <w:r>
        <w:rPr>
          <w:spacing w:val="-2"/>
        </w:rPr>
        <w:t xml:space="preserve"> </w:t>
      </w:r>
      <w:r>
        <w:t>update</w:t>
      </w:r>
      <w:r>
        <w:rPr>
          <w:spacing w:val="-2"/>
        </w:rPr>
        <w:t xml:space="preserve"> </w:t>
      </w:r>
      <w:r>
        <w:t>also</w:t>
      </w:r>
      <w:r>
        <w:rPr>
          <w:spacing w:val="-2"/>
        </w:rPr>
        <w:t xml:space="preserve"> </w:t>
      </w:r>
      <w:r>
        <w:t>includes</w:t>
      </w:r>
      <w:r>
        <w:rPr>
          <w:spacing w:val="-5"/>
        </w:rPr>
        <w:t xml:space="preserve"> </w:t>
      </w:r>
      <w:r>
        <w:t>the</w:t>
      </w:r>
      <w:r>
        <w:rPr>
          <w:spacing w:val="-2"/>
        </w:rPr>
        <w:t xml:space="preserve"> </w:t>
      </w:r>
      <w:r>
        <w:t>latest</w:t>
      </w:r>
      <w:r>
        <w:rPr>
          <w:spacing w:val="-2"/>
        </w:rPr>
        <w:t xml:space="preserve"> </w:t>
      </w:r>
      <w:r>
        <w:t>figures</w:t>
      </w:r>
      <w:r>
        <w:rPr>
          <w:spacing w:val="-5"/>
        </w:rPr>
        <w:t xml:space="preserve"> </w:t>
      </w:r>
      <w:r>
        <w:t>for</w:t>
      </w:r>
      <w:r>
        <w:rPr>
          <w:spacing w:val="-4"/>
        </w:rPr>
        <w:t xml:space="preserve"> </w:t>
      </w:r>
      <w:r>
        <w:t>the</w:t>
      </w:r>
      <w:r>
        <w:rPr>
          <w:spacing w:val="-4"/>
        </w:rPr>
        <w:t xml:space="preserve"> </w:t>
      </w:r>
      <w:r>
        <w:t>number</w:t>
      </w:r>
      <w:r>
        <w:rPr>
          <w:spacing w:val="-4"/>
        </w:rPr>
        <w:t xml:space="preserve"> </w:t>
      </w:r>
      <w:r>
        <w:t>of</w:t>
      </w:r>
      <w:r>
        <w:rPr>
          <w:spacing w:val="-2"/>
        </w:rPr>
        <w:t xml:space="preserve"> </w:t>
      </w:r>
      <w:r>
        <w:t>people</w:t>
      </w:r>
      <w:r>
        <w:rPr>
          <w:spacing w:val="-2"/>
        </w:rPr>
        <w:t xml:space="preserve"> </w:t>
      </w:r>
      <w:r>
        <w:t xml:space="preserve">remaining to relocate to the UK and the Ministry of Defence’s (MOD) progress against the published Key Performance Indicators (KPIs) for making decisions on the remaining number of </w:t>
      </w:r>
      <w:r>
        <w:rPr>
          <w:spacing w:val="-2"/>
        </w:rPr>
        <w:t>applications.</w:t>
      </w:r>
    </w:p>
    <w:p>
      <w:pPr>
        <w:pStyle w:val="BodyText"/>
      </w:pPr>
    </w:p>
    <w:p>
      <w:pPr>
        <w:pStyle w:val="BodyText"/>
        <w:ind w:left="338" w:right="704"/>
      </w:pPr>
      <w:r>
        <w:t>I have also noted the question from the Committee on whether EPs in transitional accommodation could be provided with access to MOD caseworkers to discuss their outstanding Additional Family Member (AFM) applications. Officials will ensure the information available to EPs in transitional accommodation is increased – including through the Home Office Liaison Officers and improved signposting of existing materials on GOV.UK.</w:t>
      </w:r>
      <w:r>
        <w:rPr>
          <w:spacing w:val="-2"/>
        </w:rPr>
        <w:t xml:space="preserve"> </w:t>
      </w:r>
      <w:r>
        <w:t>Consideration</w:t>
      </w:r>
      <w:r>
        <w:rPr>
          <w:spacing w:val="-2"/>
        </w:rPr>
        <w:t xml:space="preserve"> </w:t>
      </w:r>
      <w:r>
        <w:t>is</w:t>
      </w:r>
      <w:r>
        <w:rPr>
          <w:spacing w:val="-3"/>
        </w:rPr>
        <w:t xml:space="preserve"> </w:t>
      </w:r>
      <w:r>
        <w:t>also</w:t>
      </w:r>
      <w:r>
        <w:rPr>
          <w:spacing w:val="-4"/>
        </w:rPr>
        <w:t xml:space="preserve"> </w:t>
      </w:r>
      <w:r>
        <w:t>being</w:t>
      </w:r>
      <w:r>
        <w:rPr>
          <w:spacing w:val="-2"/>
        </w:rPr>
        <w:t xml:space="preserve"> </w:t>
      </w:r>
      <w:r>
        <w:t>given</w:t>
      </w:r>
      <w:r>
        <w:rPr>
          <w:spacing w:val="-2"/>
        </w:rPr>
        <w:t xml:space="preserve"> </w:t>
      </w:r>
      <w:r>
        <w:t>to</w:t>
      </w:r>
      <w:r>
        <w:rPr>
          <w:spacing w:val="-5"/>
        </w:rPr>
        <w:t xml:space="preserve"> </w:t>
      </w:r>
      <w:r>
        <w:t>developing</w:t>
      </w:r>
      <w:r>
        <w:rPr>
          <w:spacing w:val="-5"/>
        </w:rPr>
        <w:t xml:space="preserve"> </w:t>
      </w:r>
      <w:r>
        <w:t>a</w:t>
      </w:r>
      <w:r>
        <w:rPr>
          <w:spacing w:val="-4"/>
        </w:rPr>
        <w:t xml:space="preserve"> </w:t>
      </w:r>
      <w:r>
        <w:t>bespoke</w:t>
      </w:r>
      <w:r>
        <w:rPr>
          <w:spacing w:val="-4"/>
        </w:rPr>
        <w:t xml:space="preserve"> </w:t>
      </w:r>
      <w:r>
        <w:t>route</w:t>
      </w:r>
      <w:r>
        <w:rPr>
          <w:spacing w:val="-5"/>
        </w:rPr>
        <w:t xml:space="preserve"> </w:t>
      </w:r>
      <w:r>
        <w:t>for</w:t>
      </w:r>
      <w:r>
        <w:rPr>
          <w:spacing w:val="-4"/>
        </w:rPr>
        <w:t xml:space="preserve"> </w:t>
      </w:r>
      <w:r>
        <w:t>time</w:t>
      </w:r>
      <w:r>
        <w:rPr>
          <w:spacing w:val="-2"/>
        </w:rPr>
        <w:t xml:space="preserve"> </w:t>
      </w:r>
      <w:r>
        <w:t>sensitive escalation of AFM casework where required.</w:t>
      </w:r>
    </w:p>
    <w:p>
      <w:pPr>
        <w:pStyle w:val="BodyText"/>
      </w:pPr>
    </w:p>
    <w:p>
      <w:pPr>
        <w:pStyle w:val="Heading1"/>
        <w:ind w:left="338"/>
        <w:rPr>
          <w:u w:val="none"/>
        </w:rPr>
      </w:pPr>
      <w:r>
        <w:rPr>
          <w:u w:val="none"/>
        </w:rPr>
        <w:t>Change</w:t>
      </w:r>
      <w:r>
        <w:rPr>
          <w:spacing w:val="-2"/>
          <w:u w:val="none"/>
        </w:rPr>
        <w:t xml:space="preserve"> </w:t>
      </w:r>
      <w:r>
        <w:rPr>
          <w:u w:val="none"/>
        </w:rPr>
        <w:t>to</w:t>
      </w:r>
      <w:r>
        <w:rPr>
          <w:spacing w:val="-3"/>
          <w:u w:val="none"/>
        </w:rPr>
        <w:t xml:space="preserve"> </w:t>
      </w:r>
      <w:r>
        <w:rPr>
          <w:u w:val="none"/>
        </w:rPr>
        <w:t>a</w:t>
      </w:r>
      <w:r>
        <w:rPr>
          <w:spacing w:val="-2"/>
          <w:u w:val="none"/>
        </w:rPr>
        <w:t xml:space="preserve"> </w:t>
      </w:r>
      <w:r>
        <w:rPr>
          <w:u w:val="none"/>
        </w:rPr>
        <w:t>Self-Move</w:t>
      </w:r>
      <w:r>
        <w:rPr>
          <w:spacing w:val="-1"/>
          <w:u w:val="none"/>
        </w:rPr>
        <w:t xml:space="preserve"> </w:t>
      </w:r>
      <w:r>
        <w:rPr>
          <w:spacing w:val="-2"/>
          <w:u w:val="none"/>
        </w:rPr>
        <w:t>Model</w:t>
      </w:r>
    </w:p>
    <w:p>
      <w:pPr>
        <w:pStyle w:val="BodyText"/>
        <w:rPr>
          <w:b/>
        </w:rPr>
      </w:pPr>
    </w:p>
    <w:p>
      <w:pPr>
        <w:pStyle w:val="BodyText"/>
        <w:ind w:left="338" w:right="730"/>
      </w:pPr>
      <w:r>
        <w:t>As</w:t>
      </w:r>
      <w:r>
        <w:rPr>
          <w:spacing w:val="-3"/>
        </w:rPr>
        <w:t xml:space="preserve"> </w:t>
      </w:r>
      <w:r>
        <w:t>the</w:t>
      </w:r>
      <w:r>
        <w:rPr>
          <w:spacing w:val="-4"/>
        </w:rPr>
        <w:t xml:space="preserve"> </w:t>
      </w:r>
      <w:r>
        <w:t>Committee</w:t>
      </w:r>
      <w:r>
        <w:rPr>
          <w:spacing w:val="-2"/>
        </w:rPr>
        <w:t xml:space="preserve"> </w:t>
      </w:r>
      <w:r>
        <w:t>is</w:t>
      </w:r>
      <w:r>
        <w:rPr>
          <w:spacing w:val="-5"/>
        </w:rPr>
        <w:t xml:space="preserve"> </w:t>
      </w:r>
      <w:r>
        <w:t>aware,</w:t>
      </w:r>
      <w:r>
        <w:rPr>
          <w:spacing w:val="-2"/>
        </w:rPr>
        <w:t xml:space="preserve"> </w:t>
      </w:r>
      <w:r>
        <w:t>on</w:t>
      </w:r>
      <w:r>
        <w:rPr>
          <w:spacing w:val="-4"/>
        </w:rPr>
        <w:t xml:space="preserve"> </w:t>
      </w:r>
      <w:r>
        <w:t>28</w:t>
      </w:r>
      <w:r>
        <w:rPr>
          <w:spacing w:val="-4"/>
        </w:rPr>
        <w:t xml:space="preserve"> </w:t>
      </w:r>
      <w:r>
        <w:t>April</w:t>
      </w:r>
      <w:r>
        <w:rPr>
          <w:spacing w:val="-3"/>
        </w:rPr>
        <w:t xml:space="preserve"> </w:t>
      </w:r>
      <w:r>
        <w:t>2026,</w:t>
      </w:r>
      <w:r>
        <w:rPr>
          <w:spacing w:val="-2"/>
        </w:rPr>
        <w:t xml:space="preserve"> </w:t>
      </w:r>
      <w:r>
        <w:t>I</w:t>
      </w:r>
      <w:r>
        <w:rPr>
          <w:spacing w:val="-2"/>
        </w:rPr>
        <w:t xml:space="preserve"> </w:t>
      </w:r>
      <w:r>
        <w:t>announced</w:t>
      </w:r>
      <w:r>
        <w:rPr>
          <w:spacing w:val="-2"/>
        </w:rPr>
        <w:t xml:space="preserve"> </w:t>
      </w:r>
      <w:r>
        <w:t>the</w:t>
      </w:r>
      <w:r>
        <w:rPr>
          <w:spacing w:val="-4"/>
        </w:rPr>
        <w:t xml:space="preserve"> </w:t>
      </w:r>
      <w:r>
        <w:t>decision</w:t>
      </w:r>
      <w:r>
        <w:rPr>
          <w:spacing w:val="-2"/>
        </w:rPr>
        <w:t xml:space="preserve"> </w:t>
      </w:r>
      <w:r>
        <w:t>to</w:t>
      </w:r>
      <w:r>
        <w:rPr>
          <w:spacing w:val="-4"/>
        </w:rPr>
        <w:t xml:space="preserve"> </w:t>
      </w:r>
      <w:r>
        <w:t>end</w:t>
      </w:r>
      <w:r>
        <w:rPr>
          <w:spacing w:val="-2"/>
        </w:rPr>
        <w:t xml:space="preserve"> </w:t>
      </w:r>
      <w:r>
        <w:t>in-country assistance for movements out of Afghanistan. Having seen increased evidence of successful self-moves out of Afghanistan, the decision was based on a range of factors including risk to individuals and value for money for the taxpayer.</w:t>
      </w:r>
    </w:p>
    <w:p>
      <w:pPr>
        <w:pStyle w:val="BodyText"/>
        <w:spacing w:before="274"/>
        <w:ind w:left="338" w:right="722"/>
      </w:pPr>
      <w:r>
        <w:t>While the MOD continues to monitor flow rates and patterns of movement, we have seen the average number per month of self-movers to third countries nearly double when comparing the first three months of</w:t>
      </w:r>
      <w:r>
        <w:rPr>
          <w:spacing w:val="-1"/>
        </w:rPr>
        <w:t xml:space="preserve"> </w:t>
      </w:r>
      <w:r>
        <w:t>2026 to the last three months</w:t>
      </w:r>
      <w:r>
        <w:rPr>
          <w:spacing w:val="-1"/>
        </w:rPr>
        <w:t xml:space="preserve"> </w:t>
      </w:r>
      <w:r>
        <w:t>of</w:t>
      </w:r>
      <w:r>
        <w:rPr>
          <w:spacing w:val="-3"/>
        </w:rPr>
        <w:t xml:space="preserve"> </w:t>
      </w:r>
      <w:r>
        <w:t>2025. The Government monitors closely the flow of EPs into third countries and works with host governments, especially Pakistan, as required. The UK Government is not responsible for the entry arrangements of EPs or deportations taken by third countries. Although in-country support</w:t>
      </w:r>
      <w:r>
        <w:t xml:space="preserve"> in Afghanistan has ended, once eligible Afghans reach a third country, the Government will provide</w:t>
      </w:r>
      <w:r>
        <w:rPr>
          <w:spacing w:val="-2"/>
        </w:rPr>
        <w:t xml:space="preserve"> </w:t>
      </w:r>
      <w:r>
        <w:t>support</w:t>
      </w:r>
      <w:r>
        <w:rPr>
          <w:spacing w:val="-2"/>
        </w:rPr>
        <w:t xml:space="preserve"> </w:t>
      </w:r>
      <w:r>
        <w:t>to</w:t>
      </w:r>
      <w:r>
        <w:rPr>
          <w:spacing w:val="-4"/>
        </w:rPr>
        <w:t xml:space="preserve"> </w:t>
      </w:r>
      <w:r>
        <w:t>reach</w:t>
      </w:r>
      <w:r>
        <w:rPr>
          <w:spacing w:val="-2"/>
        </w:rPr>
        <w:t xml:space="preserve"> </w:t>
      </w:r>
      <w:r>
        <w:t>the</w:t>
      </w:r>
      <w:r>
        <w:rPr>
          <w:spacing w:val="-2"/>
        </w:rPr>
        <w:t xml:space="preserve"> </w:t>
      </w:r>
      <w:r>
        <w:t>UK</w:t>
      </w:r>
      <w:r>
        <w:rPr>
          <w:spacing w:val="-2"/>
        </w:rPr>
        <w:t xml:space="preserve"> </w:t>
      </w:r>
      <w:r>
        <w:t>until</w:t>
      </w:r>
      <w:r>
        <w:rPr>
          <w:spacing w:val="-3"/>
        </w:rPr>
        <w:t xml:space="preserve"> </w:t>
      </w:r>
      <w:r>
        <w:t>the</w:t>
      </w:r>
      <w:r>
        <w:rPr>
          <w:spacing w:val="-2"/>
        </w:rPr>
        <w:t xml:space="preserve"> </w:t>
      </w:r>
      <w:r>
        <w:t>end</w:t>
      </w:r>
      <w:r>
        <w:rPr>
          <w:spacing w:val="-4"/>
        </w:rPr>
        <w:t xml:space="preserve"> </w:t>
      </w:r>
      <w:r>
        <w:t>of</w:t>
      </w:r>
      <w:r>
        <w:rPr>
          <w:spacing w:val="-2"/>
        </w:rPr>
        <w:t xml:space="preserve"> </w:t>
      </w:r>
      <w:r>
        <w:t>2028,</w:t>
      </w:r>
      <w:r>
        <w:rPr>
          <w:spacing w:val="-2"/>
        </w:rPr>
        <w:t xml:space="preserve"> </w:t>
      </w:r>
      <w:r>
        <w:t>according</w:t>
      </w:r>
      <w:r>
        <w:rPr>
          <w:spacing w:val="-4"/>
        </w:rPr>
        <w:t xml:space="preserve"> </w:t>
      </w:r>
      <w:r>
        <w:t>to</w:t>
      </w:r>
      <w:r>
        <w:rPr>
          <w:spacing w:val="-2"/>
        </w:rPr>
        <w:t xml:space="preserve"> </w:t>
      </w:r>
      <w:r>
        <w:t>the</w:t>
      </w:r>
      <w:r>
        <w:rPr>
          <w:spacing w:val="-2"/>
        </w:rPr>
        <w:t xml:space="preserve"> </w:t>
      </w:r>
      <w:r>
        <w:t>published</w:t>
      </w:r>
      <w:r>
        <w:rPr>
          <w:spacing w:val="-2"/>
        </w:rPr>
        <w:t xml:space="preserve"> </w:t>
      </w:r>
      <w:r>
        <w:t>policy.</w:t>
      </w:r>
      <w:r>
        <w:rPr>
          <w:spacing w:val="-3"/>
        </w:rPr>
        <w:t xml:space="preserve"> </w:t>
      </w:r>
      <w:r>
        <w:t>We will also continue to offer appropriate</w:t>
      </w:r>
      <w:r>
        <w:rPr>
          <w:spacing w:val="-1"/>
        </w:rPr>
        <w:t xml:space="preserve"> </w:t>
      </w:r>
      <w:r>
        <w:t>resettlement and integration support upon entry to the UK, consistent with the delivery models operating at that time. Those who are impacted have been contacted to explain what this change to the self-move approach means for</w:t>
      </w:r>
    </w:p>
    <w:p>
      <w:pPr>
        <w:pStyle w:val="BodyText"/>
        <w:spacing w:after="0"/>
        <w:sectPr>
          <w:pgSz w:w="12240" w:h="15840"/>
          <w:pgMar w:top="1340" w:right="360" w:bottom="280" w:left="1080" w:header="720" w:footer="720"/>
          <w:cols w:space="720"/>
        </w:sectPr>
      </w:pPr>
    </w:p>
    <w:p>
      <w:pPr>
        <w:pStyle w:val="BodyText"/>
      </w:pPr>
    </w:p>
    <w:p>
      <w:pPr>
        <w:pStyle w:val="BodyText"/>
      </w:pPr>
    </w:p>
    <w:p>
      <w:pPr>
        <w:pStyle w:val="BodyText"/>
        <w:spacing w:before="97"/>
      </w:pPr>
    </w:p>
    <w:p>
      <w:pPr>
        <w:pStyle w:val="BodyText"/>
        <w:ind w:left="338" w:right="850"/>
      </w:pPr>
      <w:r>
        <w:t>them</w:t>
      </w:r>
      <w:r>
        <w:rPr>
          <w:spacing w:val="-1"/>
        </w:rPr>
        <w:t xml:space="preserve"> </w:t>
      </w:r>
      <w:r>
        <w:t>and</w:t>
      </w:r>
      <w:r>
        <w:rPr>
          <w:spacing w:val="-2"/>
        </w:rPr>
        <w:t xml:space="preserve"> </w:t>
      </w:r>
      <w:r>
        <w:t>their</w:t>
      </w:r>
      <w:r>
        <w:rPr>
          <w:spacing w:val="-4"/>
        </w:rPr>
        <w:t xml:space="preserve"> </w:t>
      </w:r>
      <w:r>
        <w:t>families.</w:t>
      </w:r>
      <w:r>
        <w:rPr>
          <w:spacing w:val="-2"/>
        </w:rPr>
        <w:t xml:space="preserve"> </w:t>
      </w:r>
      <w:r>
        <w:t>As</w:t>
      </w:r>
      <w:r>
        <w:rPr>
          <w:spacing w:val="-3"/>
        </w:rPr>
        <w:t xml:space="preserve"> </w:t>
      </w:r>
      <w:r>
        <w:t>we</w:t>
      </w:r>
      <w:r>
        <w:rPr>
          <w:spacing w:val="-2"/>
        </w:rPr>
        <w:t xml:space="preserve"> </w:t>
      </w:r>
      <w:r>
        <w:t>continue</w:t>
      </w:r>
      <w:r>
        <w:rPr>
          <w:spacing w:val="-4"/>
        </w:rPr>
        <w:t xml:space="preserve"> </w:t>
      </w:r>
      <w:r>
        <w:t>to</w:t>
      </w:r>
      <w:r>
        <w:rPr>
          <w:spacing w:val="-4"/>
        </w:rPr>
        <w:t xml:space="preserve"> </w:t>
      </w:r>
      <w:r>
        <w:t>monitor</w:t>
      </w:r>
      <w:r>
        <w:rPr>
          <w:spacing w:val="-4"/>
        </w:rPr>
        <w:t xml:space="preserve"> </w:t>
      </w:r>
      <w:r>
        <w:t>flow</w:t>
      </w:r>
      <w:r>
        <w:rPr>
          <w:spacing w:val="-3"/>
        </w:rPr>
        <w:t xml:space="preserve"> </w:t>
      </w:r>
      <w:r>
        <w:t>rates,</w:t>
      </w:r>
      <w:r>
        <w:rPr>
          <w:spacing w:val="-2"/>
        </w:rPr>
        <w:t xml:space="preserve"> </w:t>
      </w:r>
      <w:r>
        <w:t>the</w:t>
      </w:r>
      <w:r>
        <w:rPr>
          <w:spacing w:val="-2"/>
        </w:rPr>
        <w:t xml:space="preserve"> </w:t>
      </w:r>
      <w:r>
        <w:t>Department</w:t>
      </w:r>
      <w:r>
        <w:rPr>
          <w:spacing w:val="-5"/>
        </w:rPr>
        <w:t xml:space="preserve"> </w:t>
      </w:r>
      <w:r>
        <w:t>will</w:t>
      </w:r>
      <w:r>
        <w:rPr>
          <w:spacing w:val="-3"/>
        </w:rPr>
        <w:t xml:space="preserve"> </w:t>
      </w:r>
      <w:r>
        <w:t>review the evidence and keep ARP support under review.</w:t>
      </w:r>
    </w:p>
    <w:p>
      <w:pPr>
        <w:pStyle w:val="BodyText"/>
      </w:pPr>
    </w:p>
    <w:p>
      <w:pPr>
        <w:pStyle w:val="BodyText"/>
        <w:ind w:left="338" w:right="850"/>
      </w:pPr>
      <w:r>
        <w:t>From our communications with those impacted by this change, as of early June 2026, we have received responses from over 60 per cent of those contacted. Of those who have responded, around half report that they either have already self-moved or intend to do so. At</w:t>
      </w:r>
      <w:r>
        <w:rPr>
          <w:spacing w:val="-2"/>
        </w:rPr>
        <w:t xml:space="preserve"> </w:t>
      </w:r>
      <w:r>
        <w:t>the</w:t>
      </w:r>
      <w:r>
        <w:rPr>
          <w:spacing w:val="-2"/>
        </w:rPr>
        <w:t xml:space="preserve"> </w:t>
      </w:r>
      <w:r>
        <w:t>time</w:t>
      </w:r>
      <w:r>
        <w:rPr>
          <w:spacing w:val="-4"/>
        </w:rPr>
        <w:t xml:space="preserve"> </w:t>
      </w:r>
      <w:r>
        <w:t>of</w:t>
      </w:r>
      <w:r>
        <w:rPr>
          <w:spacing w:val="-2"/>
        </w:rPr>
        <w:t xml:space="preserve"> </w:t>
      </w:r>
      <w:r>
        <w:t>the</w:t>
      </w:r>
      <w:r>
        <w:rPr>
          <w:spacing w:val="-4"/>
        </w:rPr>
        <w:t xml:space="preserve"> </w:t>
      </w:r>
      <w:r>
        <w:t>hearing,</w:t>
      </w:r>
      <w:r>
        <w:rPr>
          <w:spacing w:val="-2"/>
        </w:rPr>
        <w:t xml:space="preserve"> </w:t>
      </w:r>
      <w:r>
        <w:t>the</w:t>
      </w:r>
      <w:r>
        <w:rPr>
          <w:spacing w:val="-2"/>
        </w:rPr>
        <w:t xml:space="preserve"> </w:t>
      </w:r>
      <w:r>
        <w:t>largest</w:t>
      </w:r>
      <w:r>
        <w:rPr>
          <w:spacing w:val="-5"/>
        </w:rPr>
        <w:t xml:space="preserve"> </w:t>
      </w:r>
      <w:r>
        <w:t>number</w:t>
      </w:r>
      <w:r>
        <w:rPr>
          <w:spacing w:val="-4"/>
        </w:rPr>
        <w:t xml:space="preserve"> </w:t>
      </w:r>
      <w:r>
        <w:t>of</w:t>
      </w:r>
      <w:r>
        <w:rPr>
          <w:spacing w:val="-2"/>
        </w:rPr>
        <w:t xml:space="preserve"> </w:t>
      </w:r>
      <w:r>
        <w:t>responses</w:t>
      </w:r>
      <w:r>
        <w:rPr>
          <w:spacing w:val="-3"/>
        </w:rPr>
        <w:t xml:space="preserve"> </w:t>
      </w:r>
      <w:r>
        <w:t>received</w:t>
      </w:r>
      <w:r>
        <w:rPr>
          <w:spacing w:val="-4"/>
        </w:rPr>
        <w:t xml:space="preserve"> </w:t>
      </w:r>
      <w:r>
        <w:t>confirmed</w:t>
      </w:r>
      <w:r>
        <w:rPr>
          <w:spacing w:val="-4"/>
        </w:rPr>
        <w:t xml:space="preserve"> </w:t>
      </w:r>
      <w:r>
        <w:t>an</w:t>
      </w:r>
      <w:r>
        <w:rPr>
          <w:spacing w:val="-2"/>
        </w:rPr>
        <w:t xml:space="preserve"> </w:t>
      </w:r>
      <w:r>
        <w:t>intent</w:t>
      </w:r>
      <w:r>
        <w:rPr>
          <w:spacing w:val="-2"/>
        </w:rPr>
        <w:t xml:space="preserve"> </w:t>
      </w:r>
      <w:r>
        <w:t>to self-move. Although this represents the largest group rather than the</w:t>
      </w:r>
      <w:r>
        <w:rPr>
          <w:spacing w:val="-2"/>
        </w:rPr>
        <w:t xml:space="preserve"> </w:t>
      </w:r>
      <w:r>
        <w:t>majority as I noted in the Committee hearing, it nevertheless provides a positive indicator for our evidence base for the early stages of this change.</w:t>
      </w:r>
    </w:p>
    <w:p>
      <w:pPr>
        <w:pStyle w:val="BodyText"/>
      </w:pPr>
    </w:p>
    <w:p>
      <w:pPr>
        <w:pStyle w:val="BodyText"/>
        <w:ind w:left="338" w:right="730"/>
      </w:pPr>
      <w:r>
        <w:t>This policy also enables resources to be reallocated to other ARP and MOD priorities, marking</w:t>
      </w:r>
      <w:r>
        <w:rPr>
          <w:spacing w:val="-4"/>
        </w:rPr>
        <w:t xml:space="preserve"> </w:t>
      </w:r>
      <w:r>
        <w:t>yet</w:t>
      </w:r>
      <w:r>
        <w:rPr>
          <w:spacing w:val="-5"/>
        </w:rPr>
        <w:t xml:space="preserve"> </w:t>
      </w:r>
      <w:r>
        <w:t>another</w:t>
      </w:r>
      <w:r>
        <w:rPr>
          <w:spacing w:val="-4"/>
        </w:rPr>
        <w:t xml:space="preserve"> </w:t>
      </w:r>
      <w:r>
        <w:t>step</w:t>
      </w:r>
      <w:r>
        <w:rPr>
          <w:spacing w:val="-2"/>
        </w:rPr>
        <w:t xml:space="preserve"> </w:t>
      </w:r>
      <w:r>
        <w:t>towards</w:t>
      </w:r>
      <w:r>
        <w:rPr>
          <w:spacing w:val="-3"/>
        </w:rPr>
        <w:t xml:space="preserve"> </w:t>
      </w:r>
      <w:r>
        <w:t>our</w:t>
      </w:r>
      <w:r>
        <w:rPr>
          <w:spacing w:val="-4"/>
        </w:rPr>
        <w:t xml:space="preserve"> </w:t>
      </w:r>
      <w:r>
        <w:t>goal</w:t>
      </w:r>
      <w:r>
        <w:rPr>
          <w:spacing w:val="-3"/>
        </w:rPr>
        <w:t xml:space="preserve"> </w:t>
      </w:r>
      <w:r>
        <w:t>of</w:t>
      </w:r>
      <w:r>
        <w:rPr>
          <w:spacing w:val="-7"/>
        </w:rPr>
        <w:t xml:space="preserve"> </w:t>
      </w:r>
      <w:r>
        <w:t>concluding</w:t>
      </w:r>
      <w:r>
        <w:rPr>
          <w:spacing w:val="-2"/>
        </w:rPr>
        <w:t xml:space="preserve"> </w:t>
      </w:r>
      <w:r>
        <w:t>central</w:t>
      </w:r>
      <w:r>
        <w:rPr>
          <w:spacing w:val="-3"/>
        </w:rPr>
        <w:t xml:space="preserve"> </w:t>
      </w:r>
      <w:r>
        <w:t>Government’s</w:t>
      </w:r>
      <w:r>
        <w:rPr>
          <w:spacing w:val="-3"/>
        </w:rPr>
        <w:t xml:space="preserve"> </w:t>
      </w:r>
      <w:r>
        <w:t>role</w:t>
      </w:r>
      <w:r>
        <w:rPr>
          <w:spacing w:val="-4"/>
        </w:rPr>
        <w:t xml:space="preserve"> </w:t>
      </w:r>
      <w:r>
        <w:t>in</w:t>
      </w:r>
      <w:r>
        <w:rPr>
          <w:spacing w:val="-2"/>
        </w:rPr>
        <w:t xml:space="preserve"> </w:t>
      </w:r>
      <w:r>
        <w:t>the delivery of the ARP before the end of this Parliament. We are currently re-baselining the programme and will provide the Public Accounts Committee with updated figures on the estimated costs in due course.</w:t>
      </w:r>
    </w:p>
    <w:p>
      <w:pPr>
        <w:pStyle w:val="BodyText"/>
      </w:pPr>
    </w:p>
    <w:p>
      <w:pPr>
        <w:pStyle w:val="Heading1"/>
        <w:ind w:left="338"/>
        <w:rPr>
          <w:u w:val="none"/>
        </w:rPr>
      </w:pPr>
      <w:r>
        <w:rPr>
          <w:u w:val="none"/>
        </w:rPr>
        <w:t>Integration</w:t>
      </w:r>
      <w:r>
        <w:rPr>
          <w:spacing w:val="-3"/>
          <w:u w:val="none"/>
        </w:rPr>
        <w:t xml:space="preserve"> </w:t>
      </w:r>
      <w:r>
        <w:rPr>
          <w:u w:val="none"/>
        </w:rPr>
        <w:t>of</w:t>
      </w:r>
      <w:r>
        <w:rPr>
          <w:spacing w:val="-4"/>
          <w:u w:val="none"/>
        </w:rPr>
        <w:t xml:space="preserve"> </w:t>
      </w:r>
      <w:r>
        <w:rPr>
          <w:u w:val="none"/>
        </w:rPr>
        <w:t>Afghans</w:t>
      </w:r>
      <w:r>
        <w:rPr>
          <w:spacing w:val="-1"/>
          <w:u w:val="none"/>
        </w:rPr>
        <w:t xml:space="preserve"> </w:t>
      </w:r>
      <w:r>
        <w:rPr>
          <w:u w:val="none"/>
        </w:rPr>
        <w:t>in</w:t>
      </w:r>
      <w:r>
        <w:rPr>
          <w:spacing w:val="-3"/>
          <w:u w:val="none"/>
        </w:rPr>
        <w:t xml:space="preserve"> </w:t>
      </w:r>
      <w:r>
        <w:rPr>
          <w:u w:val="none"/>
        </w:rPr>
        <w:t>the</w:t>
      </w:r>
      <w:r>
        <w:rPr>
          <w:spacing w:val="-1"/>
          <w:u w:val="none"/>
        </w:rPr>
        <w:t xml:space="preserve"> </w:t>
      </w:r>
      <w:r>
        <w:rPr>
          <w:spacing w:val="-5"/>
          <w:u w:val="none"/>
        </w:rPr>
        <w:t>UK</w:t>
      </w:r>
    </w:p>
    <w:p>
      <w:pPr>
        <w:pStyle w:val="BodyText"/>
        <w:rPr>
          <w:b/>
        </w:rPr>
      </w:pPr>
    </w:p>
    <w:p>
      <w:pPr>
        <w:pStyle w:val="BodyText"/>
        <w:ind w:left="338" w:right="850"/>
      </w:pPr>
      <w:r>
        <w:t>The</w:t>
      </w:r>
      <w:r>
        <w:rPr>
          <w:spacing w:val="-3"/>
        </w:rPr>
        <w:t xml:space="preserve"> </w:t>
      </w:r>
      <w:r>
        <w:t>UK’s</w:t>
      </w:r>
      <w:r>
        <w:rPr>
          <w:spacing w:val="-4"/>
        </w:rPr>
        <w:t xml:space="preserve"> </w:t>
      </w:r>
      <w:r>
        <w:t>resettlement</w:t>
      </w:r>
      <w:r>
        <w:rPr>
          <w:spacing w:val="-6"/>
        </w:rPr>
        <w:t xml:space="preserve"> </w:t>
      </w:r>
      <w:r>
        <w:t>and</w:t>
      </w:r>
      <w:r>
        <w:rPr>
          <w:spacing w:val="-3"/>
        </w:rPr>
        <w:t xml:space="preserve"> </w:t>
      </w:r>
      <w:r>
        <w:t>relocation</w:t>
      </w:r>
      <w:r>
        <w:rPr>
          <w:spacing w:val="-3"/>
        </w:rPr>
        <w:t xml:space="preserve"> </w:t>
      </w:r>
      <w:r>
        <w:t>schemes</w:t>
      </w:r>
      <w:r>
        <w:rPr>
          <w:spacing w:val="-4"/>
        </w:rPr>
        <w:t xml:space="preserve"> </w:t>
      </w:r>
      <w:r>
        <w:t>are</w:t>
      </w:r>
      <w:r>
        <w:rPr>
          <w:spacing w:val="-3"/>
        </w:rPr>
        <w:t xml:space="preserve"> </w:t>
      </w:r>
      <w:r>
        <w:t>subject</w:t>
      </w:r>
      <w:r>
        <w:rPr>
          <w:spacing w:val="-3"/>
        </w:rPr>
        <w:t xml:space="preserve"> </w:t>
      </w:r>
      <w:r>
        <w:t>to</w:t>
      </w:r>
      <w:r>
        <w:rPr>
          <w:spacing w:val="-3"/>
        </w:rPr>
        <w:t xml:space="preserve"> </w:t>
      </w:r>
      <w:r>
        <w:t>a</w:t>
      </w:r>
      <w:r>
        <w:rPr>
          <w:spacing w:val="-5"/>
        </w:rPr>
        <w:t xml:space="preserve"> </w:t>
      </w:r>
      <w:r>
        <w:t>comprehensive,</w:t>
      </w:r>
      <w:r>
        <w:rPr>
          <w:spacing w:val="-3"/>
        </w:rPr>
        <w:t xml:space="preserve"> </w:t>
      </w:r>
      <w:r>
        <w:t>three-year evaluation from August 2025, which is led by the Home Office. This evaluation includes Afghan resettlement schemes, as well as UNHCR-referred refugee resettlement routes such as the UK Resettlement Scheme. As part of this work, we will assess how the schemes and the support offered to resettled Afghans is contributing to integration, including the role of Local Government and the voluntary and community sector in supporting outcomes. The current ARP offer of resettlement and early integration support has been designed to promote better integration and community cohesion prospects.</w:t>
      </w:r>
    </w:p>
    <w:p>
      <w:pPr>
        <w:pStyle w:val="BodyText"/>
        <w:spacing w:before="1"/>
        <w:ind w:left="338"/>
      </w:pPr>
      <w:r>
        <w:t>Evidence</w:t>
      </w:r>
      <w:r>
        <w:rPr>
          <w:spacing w:val="-4"/>
        </w:rPr>
        <w:t xml:space="preserve"> </w:t>
      </w:r>
      <w:r>
        <w:t>gathering</w:t>
      </w:r>
      <w:r>
        <w:rPr>
          <w:spacing w:val="-2"/>
        </w:rPr>
        <w:t xml:space="preserve"> </w:t>
      </w:r>
      <w:r>
        <w:t>for</w:t>
      </w:r>
      <w:r>
        <w:rPr>
          <w:spacing w:val="-4"/>
        </w:rPr>
        <w:t xml:space="preserve"> </w:t>
      </w:r>
      <w:r>
        <w:t>the</w:t>
      </w:r>
      <w:r>
        <w:rPr>
          <w:spacing w:val="-4"/>
        </w:rPr>
        <w:t xml:space="preserve"> </w:t>
      </w:r>
      <w:r>
        <w:t>outcomes</w:t>
      </w:r>
      <w:r>
        <w:rPr>
          <w:spacing w:val="-2"/>
        </w:rPr>
        <w:t xml:space="preserve"> </w:t>
      </w:r>
      <w:r>
        <w:t>of</w:t>
      </w:r>
      <w:r>
        <w:rPr>
          <w:spacing w:val="-2"/>
        </w:rPr>
        <w:t xml:space="preserve"> </w:t>
      </w:r>
      <w:r>
        <w:t>this</w:t>
      </w:r>
      <w:r>
        <w:rPr>
          <w:spacing w:val="-5"/>
        </w:rPr>
        <w:t xml:space="preserve"> </w:t>
      </w:r>
      <w:r>
        <w:t>approach</w:t>
      </w:r>
      <w:r>
        <w:rPr>
          <w:spacing w:val="-2"/>
        </w:rPr>
        <w:t xml:space="preserve"> </w:t>
      </w:r>
      <w:r>
        <w:t>is</w:t>
      </w:r>
      <w:r>
        <w:rPr>
          <w:spacing w:val="-2"/>
        </w:rPr>
        <w:t xml:space="preserve"> </w:t>
      </w:r>
      <w:r>
        <w:t>ongoing</w:t>
      </w:r>
      <w:r>
        <w:rPr>
          <w:spacing w:val="-3"/>
        </w:rPr>
        <w:t xml:space="preserve"> </w:t>
      </w:r>
      <w:r>
        <w:t>via</w:t>
      </w:r>
      <w:r>
        <w:rPr>
          <w:spacing w:val="-4"/>
        </w:rPr>
        <w:t xml:space="preserve"> </w:t>
      </w:r>
      <w:r>
        <w:t>integration</w:t>
      </w:r>
      <w:r>
        <w:rPr>
          <w:spacing w:val="-3"/>
        </w:rPr>
        <w:t xml:space="preserve"> </w:t>
      </w:r>
      <w:r>
        <w:rPr>
          <w:spacing w:val="-2"/>
        </w:rPr>
        <w:t>monitoring.</w:t>
      </w:r>
    </w:p>
    <w:p>
      <w:pPr>
        <w:pStyle w:val="BodyText"/>
        <w:spacing w:before="276"/>
        <w:ind w:left="338" w:right="730"/>
      </w:pPr>
      <w:r>
        <w:t>This uses a mix of methods and datasets, including the Refugee Integration Outcomes project (</w:t>
      </w:r>
      <w:r>
        <w:fldChar w:fldCharType="begin"/>
      </w:r>
      <w:r>
        <w:instrText xml:space="preserve"> HYPERLINK "https://www.gov.uk/government/publications/refugee-integration-outcomes-rio-insights" </w:instrText>
      </w:r>
      <w:r>
        <w:fldChar w:fldCharType="separate"/>
      </w:r>
      <w:r>
        <w:rPr>
          <w:color w:val="0000FF"/>
          <w:u w:val="single" w:color="0000FF"/>
        </w:rPr>
        <w:t>https://www.gov.uk/government/publications/refugee-integration-outcomes-rio-</w:t>
      </w:r>
      <w:r>
        <w:fldChar w:fldCharType="end"/>
      </w:r>
      <w:r>
        <w:fldChar w:fldCharType="begin"/>
      </w:r>
      <w:r>
        <w:instrText xml:space="preserve"> HYPERLINK "https://www.gov.uk/government/publications/refugee-integration-outcomes-rio-insights" </w:instrText>
      </w:r>
      <w:r>
        <w:fldChar w:fldCharType="separate"/>
      </w:r>
      <w:r>
        <w:rPr>
          <w:color w:val="0000FF"/>
          <w:u w:val="single" w:color="0000FF"/>
        </w:rPr>
        <w:t>insights</w:t>
      </w:r>
      <w:r>
        <w:fldChar w:fldCharType="end"/>
      </w:r>
      <w:r>
        <w:rPr>
          <w:u w:val="none"/>
        </w:rPr>
        <w:t>),</w:t>
      </w:r>
      <w:r>
        <w:rPr>
          <w:spacing w:val="-2"/>
          <w:u w:val="none"/>
        </w:rPr>
        <w:t xml:space="preserve"> </w:t>
      </w:r>
      <w:r>
        <w:rPr>
          <w:u w:val="none"/>
        </w:rPr>
        <w:t>to</w:t>
      </w:r>
      <w:r>
        <w:rPr>
          <w:spacing w:val="-4"/>
          <w:u w:val="none"/>
        </w:rPr>
        <w:t xml:space="preserve"> </w:t>
      </w:r>
      <w:r>
        <w:rPr>
          <w:u w:val="none"/>
        </w:rPr>
        <w:t>monitor</w:t>
      </w:r>
      <w:r>
        <w:rPr>
          <w:spacing w:val="-4"/>
          <w:u w:val="none"/>
        </w:rPr>
        <w:t xml:space="preserve"> </w:t>
      </w:r>
      <w:r>
        <w:rPr>
          <w:u w:val="none"/>
        </w:rPr>
        <w:t>outcomes</w:t>
      </w:r>
      <w:r>
        <w:rPr>
          <w:spacing w:val="-3"/>
          <w:u w:val="none"/>
        </w:rPr>
        <w:t xml:space="preserve"> </w:t>
      </w:r>
      <w:r>
        <w:rPr>
          <w:u w:val="none"/>
        </w:rPr>
        <w:t>across</w:t>
      </w:r>
      <w:r>
        <w:rPr>
          <w:spacing w:val="-5"/>
          <w:u w:val="none"/>
        </w:rPr>
        <w:t xml:space="preserve"> </w:t>
      </w:r>
      <w:r>
        <w:rPr>
          <w:u w:val="none"/>
        </w:rPr>
        <w:t>key</w:t>
      </w:r>
      <w:r>
        <w:rPr>
          <w:spacing w:val="-5"/>
          <w:u w:val="none"/>
        </w:rPr>
        <w:t xml:space="preserve"> </w:t>
      </w:r>
      <w:r>
        <w:rPr>
          <w:u w:val="none"/>
        </w:rPr>
        <w:t>areas</w:t>
      </w:r>
      <w:r>
        <w:rPr>
          <w:spacing w:val="-3"/>
          <w:u w:val="none"/>
        </w:rPr>
        <w:t xml:space="preserve"> </w:t>
      </w:r>
      <w:r>
        <w:rPr>
          <w:u w:val="none"/>
        </w:rPr>
        <w:t>of</w:t>
      </w:r>
      <w:r>
        <w:rPr>
          <w:spacing w:val="-2"/>
          <w:u w:val="none"/>
        </w:rPr>
        <w:t xml:space="preserve"> </w:t>
      </w:r>
      <w:r>
        <w:rPr>
          <w:u w:val="none"/>
        </w:rPr>
        <w:t>integration,</w:t>
      </w:r>
      <w:r>
        <w:rPr>
          <w:spacing w:val="-2"/>
          <w:u w:val="none"/>
        </w:rPr>
        <w:t xml:space="preserve"> </w:t>
      </w:r>
      <w:r>
        <w:rPr>
          <w:u w:val="none"/>
        </w:rPr>
        <w:t>for</w:t>
      </w:r>
      <w:r>
        <w:rPr>
          <w:spacing w:val="-6"/>
          <w:u w:val="none"/>
        </w:rPr>
        <w:t xml:space="preserve"> </w:t>
      </w:r>
      <w:r>
        <w:rPr>
          <w:u w:val="none"/>
        </w:rPr>
        <w:t>example</w:t>
      </w:r>
      <w:r>
        <w:rPr>
          <w:spacing w:val="-2"/>
          <w:u w:val="none"/>
        </w:rPr>
        <w:t xml:space="preserve"> </w:t>
      </w:r>
      <w:r>
        <w:rPr>
          <w:u w:val="none"/>
        </w:rPr>
        <w:t>access</w:t>
      </w:r>
      <w:r>
        <w:rPr>
          <w:spacing w:val="-3"/>
          <w:u w:val="none"/>
        </w:rPr>
        <w:t xml:space="preserve"> </w:t>
      </w:r>
      <w:r>
        <w:rPr>
          <w:u w:val="none"/>
        </w:rPr>
        <w:t>to</w:t>
      </w:r>
      <w:r>
        <w:rPr>
          <w:spacing w:val="-4"/>
          <w:u w:val="none"/>
        </w:rPr>
        <w:t xml:space="preserve"> </w:t>
      </w:r>
      <w:r>
        <w:rPr>
          <w:u w:val="none"/>
        </w:rPr>
        <w:t>stable housing, English language development, entry into and progression within the labour market, and wider health and wellbeing. Measures of community integration are also included, capturing aspects such as social cohesion and participation in local community life, which are essential to building independent, sustainable lives in the UK.</w:t>
      </w:r>
      <w:r>
        <w:rPr>
          <w:spacing w:val="-1"/>
          <w:u w:val="none"/>
        </w:rPr>
        <w:t xml:space="preserve"> </w:t>
      </w:r>
      <w:r>
        <w:rPr>
          <w:u w:val="none"/>
        </w:rPr>
        <w:t>The measures being collected have been selected to be both relevant to the programme and grounded in an established evidence-based framework for measuring and understanding integration.</w:t>
      </w:r>
    </w:p>
    <w:p>
      <w:pPr>
        <w:pStyle w:val="Heading1"/>
        <w:spacing w:before="273"/>
        <w:ind w:left="338"/>
        <w:rPr>
          <w:u w:val="none"/>
        </w:rPr>
      </w:pPr>
      <w:r>
        <w:rPr>
          <w:u w:val="none"/>
        </w:rPr>
        <w:t xml:space="preserve">The </w:t>
      </w:r>
      <w:r>
        <w:rPr>
          <w:spacing w:val="-2"/>
          <w:u w:val="none"/>
        </w:rPr>
        <w:t>Court</w:t>
      </w:r>
    </w:p>
    <w:p>
      <w:pPr>
        <w:pStyle w:val="BodyText"/>
        <w:rPr>
          <w:b/>
        </w:rPr>
      </w:pPr>
    </w:p>
    <w:p>
      <w:pPr>
        <w:pStyle w:val="BodyText"/>
        <w:spacing w:before="1"/>
        <w:ind w:left="338" w:right="850"/>
      </w:pPr>
      <w:r>
        <w:t>The Committee has also asked for further explanation about the Court of Appeal process and sought to better understand why the MOD appealed the decision to lift the super-injunction</w:t>
      </w:r>
      <w:r>
        <w:rPr>
          <w:spacing w:val="-4"/>
        </w:rPr>
        <w:t xml:space="preserve"> </w:t>
      </w:r>
      <w:r>
        <w:t>in</w:t>
      </w:r>
      <w:r>
        <w:rPr>
          <w:spacing w:val="-2"/>
        </w:rPr>
        <w:t xml:space="preserve"> </w:t>
      </w:r>
      <w:r>
        <w:t>May</w:t>
      </w:r>
      <w:r>
        <w:rPr>
          <w:spacing w:val="-5"/>
        </w:rPr>
        <w:t xml:space="preserve"> </w:t>
      </w:r>
      <w:r>
        <w:t>2024.</w:t>
      </w:r>
      <w:r>
        <w:rPr>
          <w:spacing w:val="-5"/>
        </w:rPr>
        <w:t xml:space="preserve"> </w:t>
      </w:r>
      <w:r>
        <w:t>The</w:t>
      </w:r>
      <w:r>
        <w:rPr>
          <w:spacing w:val="-2"/>
        </w:rPr>
        <w:t xml:space="preserve"> </w:t>
      </w:r>
      <w:r>
        <w:t>MOD</w:t>
      </w:r>
      <w:r>
        <w:rPr>
          <w:spacing w:val="-3"/>
        </w:rPr>
        <w:t xml:space="preserve"> </w:t>
      </w:r>
      <w:r>
        <w:t>argued,</w:t>
      </w:r>
      <w:r>
        <w:rPr>
          <w:spacing w:val="-2"/>
        </w:rPr>
        <w:t xml:space="preserve"> </w:t>
      </w:r>
      <w:r>
        <w:t>and</w:t>
      </w:r>
      <w:r>
        <w:rPr>
          <w:spacing w:val="-4"/>
        </w:rPr>
        <w:t xml:space="preserve"> </w:t>
      </w:r>
      <w:r>
        <w:t>the</w:t>
      </w:r>
      <w:r>
        <w:rPr>
          <w:spacing w:val="-2"/>
        </w:rPr>
        <w:t xml:space="preserve"> </w:t>
      </w:r>
      <w:r>
        <w:t>Court</w:t>
      </w:r>
      <w:r>
        <w:rPr>
          <w:spacing w:val="-2"/>
        </w:rPr>
        <w:t xml:space="preserve"> </w:t>
      </w:r>
      <w:r>
        <w:t>of</w:t>
      </w:r>
      <w:r>
        <w:rPr>
          <w:spacing w:val="-2"/>
        </w:rPr>
        <w:t xml:space="preserve"> </w:t>
      </w:r>
      <w:r>
        <w:t>Appeal</w:t>
      </w:r>
      <w:r>
        <w:rPr>
          <w:spacing w:val="-3"/>
        </w:rPr>
        <w:t xml:space="preserve"> </w:t>
      </w:r>
      <w:r>
        <w:t>agreed,</w:t>
      </w:r>
      <w:r>
        <w:rPr>
          <w:spacing w:val="-5"/>
        </w:rPr>
        <w:t xml:space="preserve"> </w:t>
      </w:r>
      <w:r>
        <w:t>that</w:t>
      </w:r>
      <w:r>
        <w:rPr>
          <w:spacing w:val="-2"/>
        </w:rPr>
        <w:t xml:space="preserve"> </w:t>
      </w:r>
      <w:r>
        <w:t>there</w:t>
      </w:r>
      <w:r>
        <w:rPr>
          <w:spacing w:val="-2"/>
        </w:rPr>
        <w:t xml:space="preserve"> </w:t>
      </w:r>
      <w:r>
        <w:t>was no material change to the original basis for requesting an injunction, which was that the assessments remained of a very high risk to life should the existence of the dataset</w:t>
      </w:r>
    </w:p>
    <w:p>
      <w:pPr>
        <w:pStyle w:val="BodyText"/>
        <w:spacing w:after="0"/>
        <w:sectPr>
          <w:headerReference w:type="default" r:id="rId5"/>
          <w:pgSz w:w="12240" w:h="15840"/>
          <w:pgMar w:top="480" w:right="360" w:bottom="280" w:left="1080" w:header="271" w:footer="0"/>
          <w:cols w:space="720"/>
        </w:sectPr>
      </w:pPr>
    </w:p>
    <w:p>
      <w:pPr>
        <w:pStyle w:val="BodyText"/>
      </w:pPr>
    </w:p>
    <w:p>
      <w:pPr>
        <w:pStyle w:val="BodyText"/>
      </w:pPr>
    </w:p>
    <w:p>
      <w:pPr>
        <w:pStyle w:val="BodyText"/>
        <w:spacing w:before="97"/>
      </w:pPr>
    </w:p>
    <w:p>
      <w:pPr>
        <w:pStyle w:val="BodyText"/>
        <w:ind w:left="338" w:right="850"/>
      </w:pPr>
      <w:r>
        <w:t>become</w:t>
      </w:r>
      <w:r>
        <w:rPr>
          <w:spacing w:val="-2"/>
        </w:rPr>
        <w:t xml:space="preserve"> </w:t>
      </w:r>
      <w:r>
        <w:t>widely</w:t>
      </w:r>
      <w:r>
        <w:rPr>
          <w:spacing w:val="-3"/>
        </w:rPr>
        <w:t xml:space="preserve"> </w:t>
      </w:r>
      <w:r>
        <w:t>known</w:t>
      </w:r>
      <w:r>
        <w:rPr>
          <w:spacing w:val="-4"/>
        </w:rPr>
        <w:t xml:space="preserve"> </w:t>
      </w:r>
      <w:r>
        <w:t>by</w:t>
      </w:r>
      <w:r>
        <w:rPr>
          <w:spacing w:val="-3"/>
        </w:rPr>
        <w:t xml:space="preserve"> </w:t>
      </w:r>
      <w:r>
        <w:t>the</w:t>
      </w:r>
      <w:r>
        <w:rPr>
          <w:spacing w:val="-2"/>
        </w:rPr>
        <w:t xml:space="preserve"> </w:t>
      </w:r>
      <w:r>
        <w:t>Taleban</w:t>
      </w:r>
      <w:r>
        <w:rPr>
          <w:spacing w:val="-4"/>
        </w:rPr>
        <w:t xml:space="preserve"> </w:t>
      </w:r>
      <w:r>
        <w:t>and</w:t>
      </w:r>
      <w:r>
        <w:rPr>
          <w:spacing w:val="-2"/>
        </w:rPr>
        <w:t xml:space="preserve"> </w:t>
      </w:r>
      <w:r>
        <w:t>it</w:t>
      </w:r>
      <w:r>
        <w:rPr>
          <w:spacing w:val="-5"/>
        </w:rPr>
        <w:t xml:space="preserve"> </w:t>
      </w:r>
      <w:r>
        <w:t>was</w:t>
      </w:r>
      <w:r>
        <w:rPr>
          <w:spacing w:val="-3"/>
        </w:rPr>
        <w:t xml:space="preserve"> </w:t>
      </w:r>
      <w:r>
        <w:t>required</w:t>
      </w:r>
      <w:r>
        <w:rPr>
          <w:spacing w:val="-4"/>
        </w:rPr>
        <w:t xml:space="preserve"> </w:t>
      </w:r>
      <w:r>
        <w:t>to</w:t>
      </w:r>
      <w:r>
        <w:rPr>
          <w:spacing w:val="-2"/>
        </w:rPr>
        <w:t xml:space="preserve"> </w:t>
      </w:r>
      <w:r>
        <w:t>remain</w:t>
      </w:r>
      <w:r>
        <w:rPr>
          <w:spacing w:val="-4"/>
        </w:rPr>
        <w:t xml:space="preserve"> </w:t>
      </w:r>
      <w:r>
        <w:t>in</w:t>
      </w:r>
      <w:r>
        <w:rPr>
          <w:spacing w:val="-2"/>
        </w:rPr>
        <w:t xml:space="preserve"> </w:t>
      </w:r>
      <w:r>
        <w:t>place</w:t>
      </w:r>
      <w:r>
        <w:rPr>
          <w:spacing w:val="-2"/>
        </w:rPr>
        <w:t xml:space="preserve"> </w:t>
      </w:r>
      <w:r>
        <w:t>whilst protective action was continued.</w:t>
      </w:r>
    </w:p>
    <w:p>
      <w:pPr>
        <w:pStyle w:val="BodyText"/>
      </w:pPr>
    </w:p>
    <w:p>
      <w:pPr>
        <w:pStyle w:val="Heading1"/>
        <w:ind w:left="338"/>
        <w:rPr>
          <w:u w:val="none"/>
        </w:rPr>
      </w:pPr>
      <w:r>
        <w:rPr>
          <w:u w:val="none"/>
        </w:rPr>
        <w:t>Lessons</w:t>
      </w:r>
      <w:r>
        <w:rPr>
          <w:spacing w:val="1"/>
          <w:u w:val="none"/>
        </w:rPr>
        <w:t xml:space="preserve"> </w:t>
      </w:r>
      <w:r>
        <w:rPr>
          <w:spacing w:val="-2"/>
          <w:u w:val="none"/>
        </w:rPr>
        <w:t>Learned</w:t>
      </w:r>
    </w:p>
    <w:p>
      <w:pPr>
        <w:pStyle w:val="BodyText"/>
        <w:rPr>
          <w:b/>
        </w:rPr>
      </w:pPr>
    </w:p>
    <w:p>
      <w:pPr>
        <w:pStyle w:val="BodyText"/>
        <w:ind w:left="338" w:right="730"/>
      </w:pPr>
      <w:r>
        <w:t>Finally, I am determined that Government learns from the data incident and delivery of the wider programme. As I said in the session, your report will be an important part of that learning.</w:t>
      </w:r>
      <w:r>
        <w:rPr>
          <w:spacing w:val="-5"/>
        </w:rPr>
        <w:t xml:space="preserve"> </w:t>
      </w:r>
      <w:r>
        <w:t>The</w:t>
      </w:r>
      <w:r>
        <w:rPr>
          <w:spacing w:val="-4"/>
        </w:rPr>
        <w:t xml:space="preserve"> </w:t>
      </w:r>
      <w:r>
        <w:t>Government</w:t>
      </w:r>
      <w:r>
        <w:rPr>
          <w:spacing w:val="-3"/>
        </w:rPr>
        <w:t xml:space="preserve"> </w:t>
      </w:r>
      <w:r>
        <w:t>will</w:t>
      </w:r>
      <w:r>
        <w:rPr>
          <w:spacing w:val="-3"/>
        </w:rPr>
        <w:t xml:space="preserve"> </w:t>
      </w:r>
      <w:r>
        <w:t>carefully</w:t>
      </w:r>
      <w:r>
        <w:rPr>
          <w:spacing w:val="-3"/>
        </w:rPr>
        <w:t xml:space="preserve"> </w:t>
      </w:r>
      <w:r>
        <w:t>consider</w:t>
      </w:r>
      <w:r>
        <w:rPr>
          <w:spacing w:val="-4"/>
        </w:rPr>
        <w:t xml:space="preserve"> </w:t>
      </w:r>
      <w:r>
        <w:t>its</w:t>
      </w:r>
      <w:r>
        <w:rPr>
          <w:spacing w:val="-3"/>
        </w:rPr>
        <w:t xml:space="preserve"> </w:t>
      </w:r>
      <w:r>
        <w:t>recommendations</w:t>
      </w:r>
      <w:r>
        <w:rPr>
          <w:spacing w:val="-3"/>
        </w:rPr>
        <w:t xml:space="preserve"> </w:t>
      </w:r>
      <w:r>
        <w:t>and</w:t>
      </w:r>
      <w:r>
        <w:rPr>
          <w:spacing w:val="-4"/>
        </w:rPr>
        <w:t xml:space="preserve"> </w:t>
      </w:r>
      <w:r>
        <w:t>respond</w:t>
      </w:r>
      <w:r>
        <w:rPr>
          <w:spacing w:val="-2"/>
        </w:rPr>
        <w:t xml:space="preserve"> </w:t>
      </w:r>
      <w:r>
        <w:t>with</w:t>
      </w:r>
      <w:r>
        <w:rPr>
          <w:spacing w:val="-2"/>
        </w:rPr>
        <w:t xml:space="preserve"> </w:t>
      </w:r>
      <w:r>
        <w:t xml:space="preserve">our </w:t>
      </w:r>
      <w:r>
        <w:rPr>
          <w:spacing w:val="-2"/>
        </w:rPr>
        <w:t>conclusions.</w:t>
      </w:r>
    </w:p>
    <w:p>
      <w:pPr>
        <w:pStyle w:val="BodyText"/>
      </w:pPr>
    </w:p>
    <w:p>
      <w:pPr>
        <w:pStyle w:val="BodyText"/>
        <w:ind w:left="338" w:right="770"/>
      </w:pPr>
      <w:r>
        <w:t>As you would expect, there have already been considerable efforts to learn from different aspects of this multifaceted issue and apply them to our ongoing work. The initial efforts to improve data handling have been implemented and are continuing as part of the wider Government approach to improve how data is protected. To follow up on the Committee’s interest in how</w:t>
      </w:r>
      <w:r>
        <w:rPr>
          <w:spacing w:val="-2"/>
        </w:rPr>
        <w:t xml:space="preserve"> </w:t>
      </w:r>
      <w:r>
        <w:t>this has</w:t>
      </w:r>
      <w:r>
        <w:rPr>
          <w:spacing w:val="-1"/>
        </w:rPr>
        <w:t xml:space="preserve"> </w:t>
      </w:r>
      <w:r>
        <w:t>been implemented in Defence, we continue to learn and implement lessons to ensure appropriate record keeping and protecting data, which includes the introduction of new Operational Record Keeping systems. We are also conducting a lessons exercise to consider Government decision-making under a super-injunction, and related</w:t>
      </w:r>
      <w:r>
        <w:rPr>
          <w:spacing w:val="-4"/>
        </w:rPr>
        <w:t xml:space="preserve"> </w:t>
      </w:r>
      <w:r>
        <w:t>guidance</w:t>
      </w:r>
      <w:r>
        <w:rPr>
          <w:spacing w:val="-4"/>
        </w:rPr>
        <w:t xml:space="preserve"> </w:t>
      </w:r>
      <w:r>
        <w:t>for</w:t>
      </w:r>
      <w:r>
        <w:rPr>
          <w:spacing w:val="-5"/>
        </w:rPr>
        <w:t xml:space="preserve"> </w:t>
      </w:r>
      <w:r>
        <w:t>departments</w:t>
      </w:r>
      <w:r>
        <w:rPr>
          <w:spacing w:val="-5"/>
        </w:rPr>
        <w:t xml:space="preserve"> </w:t>
      </w:r>
      <w:r>
        <w:t>is</w:t>
      </w:r>
      <w:r>
        <w:rPr>
          <w:spacing w:val="-3"/>
        </w:rPr>
        <w:t xml:space="preserve"> </w:t>
      </w:r>
      <w:r>
        <w:t>now</w:t>
      </w:r>
      <w:r>
        <w:rPr>
          <w:spacing w:val="-5"/>
        </w:rPr>
        <w:t xml:space="preserve"> </w:t>
      </w:r>
      <w:r>
        <w:t>being</w:t>
      </w:r>
      <w:r>
        <w:rPr>
          <w:spacing w:val="-2"/>
        </w:rPr>
        <w:t xml:space="preserve"> </w:t>
      </w:r>
      <w:r>
        <w:t>developed.</w:t>
      </w:r>
      <w:r>
        <w:rPr>
          <w:spacing w:val="-4"/>
        </w:rPr>
        <w:t xml:space="preserve"> </w:t>
      </w:r>
      <w:r>
        <w:t>We</w:t>
      </w:r>
      <w:r>
        <w:rPr>
          <w:spacing w:val="-4"/>
        </w:rPr>
        <w:t xml:space="preserve"> </w:t>
      </w:r>
      <w:r>
        <w:t>will</w:t>
      </w:r>
      <w:r>
        <w:rPr>
          <w:spacing w:val="-3"/>
        </w:rPr>
        <w:t xml:space="preserve"> </w:t>
      </w:r>
      <w:r>
        <w:t>update</w:t>
      </w:r>
      <w:r>
        <w:rPr>
          <w:spacing w:val="-2"/>
        </w:rPr>
        <w:t xml:space="preserve"> </w:t>
      </w:r>
      <w:r>
        <w:t>the</w:t>
      </w:r>
      <w:r>
        <w:rPr>
          <w:spacing w:val="-2"/>
        </w:rPr>
        <w:t xml:space="preserve"> </w:t>
      </w:r>
      <w:r>
        <w:t>Committee</w:t>
      </w:r>
      <w:r>
        <w:rPr>
          <w:spacing w:val="-2"/>
        </w:rPr>
        <w:t xml:space="preserve"> </w:t>
      </w:r>
      <w:r>
        <w:t>in our final response to your report.</w:t>
      </w:r>
    </w:p>
    <w:p>
      <w:pPr>
        <w:pStyle w:val="BodyText"/>
      </w:pPr>
    </w:p>
    <w:p>
      <w:pPr>
        <w:pStyle w:val="BodyText"/>
        <w:ind w:left="338" w:right="1850"/>
        <w:jc w:val="both"/>
      </w:pPr>
      <w:r>
        <w:t>I</w:t>
      </w:r>
      <w:r>
        <w:rPr>
          <w:spacing w:val="-2"/>
        </w:rPr>
        <w:t xml:space="preserve"> </w:t>
      </w:r>
      <w:r>
        <w:t>thank</w:t>
      </w:r>
      <w:r>
        <w:rPr>
          <w:spacing w:val="-3"/>
        </w:rPr>
        <w:t xml:space="preserve"> </w:t>
      </w:r>
      <w:r>
        <w:t>the</w:t>
      </w:r>
      <w:r>
        <w:rPr>
          <w:spacing w:val="-2"/>
        </w:rPr>
        <w:t xml:space="preserve"> </w:t>
      </w:r>
      <w:r>
        <w:t>Committee</w:t>
      </w:r>
      <w:r>
        <w:rPr>
          <w:spacing w:val="-4"/>
        </w:rPr>
        <w:t xml:space="preserve"> </w:t>
      </w:r>
      <w:r>
        <w:t>for</w:t>
      </w:r>
      <w:r>
        <w:rPr>
          <w:spacing w:val="-4"/>
        </w:rPr>
        <w:t xml:space="preserve"> </w:t>
      </w:r>
      <w:r>
        <w:t>their</w:t>
      </w:r>
      <w:r>
        <w:rPr>
          <w:spacing w:val="-6"/>
        </w:rPr>
        <w:t xml:space="preserve"> </w:t>
      </w:r>
      <w:r>
        <w:t>ongoing</w:t>
      </w:r>
      <w:r>
        <w:rPr>
          <w:spacing w:val="-2"/>
        </w:rPr>
        <w:t xml:space="preserve"> </w:t>
      </w:r>
      <w:r>
        <w:t>work</w:t>
      </w:r>
      <w:r>
        <w:rPr>
          <w:spacing w:val="-5"/>
        </w:rPr>
        <w:t xml:space="preserve"> </w:t>
      </w:r>
      <w:r>
        <w:t>with</w:t>
      </w:r>
      <w:r>
        <w:rPr>
          <w:spacing w:val="-2"/>
        </w:rPr>
        <w:t xml:space="preserve"> </w:t>
      </w:r>
      <w:r>
        <w:t>this</w:t>
      </w:r>
      <w:r>
        <w:rPr>
          <w:spacing w:val="-3"/>
        </w:rPr>
        <w:t xml:space="preserve"> </w:t>
      </w:r>
      <w:r>
        <w:t>inquiry</w:t>
      </w:r>
      <w:r>
        <w:rPr>
          <w:spacing w:val="-3"/>
        </w:rPr>
        <w:t xml:space="preserve"> </w:t>
      </w:r>
      <w:r>
        <w:t>and</w:t>
      </w:r>
      <w:r>
        <w:rPr>
          <w:spacing w:val="-2"/>
        </w:rPr>
        <w:t xml:space="preserve"> </w:t>
      </w:r>
      <w:r>
        <w:t>your</w:t>
      </w:r>
      <w:r>
        <w:rPr>
          <w:spacing w:val="-4"/>
        </w:rPr>
        <w:t xml:space="preserve"> </w:t>
      </w:r>
      <w:r>
        <w:t>supportive engagement.</w:t>
      </w:r>
      <w:r>
        <w:rPr>
          <w:spacing w:val="-5"/>
        </w:rPr>
        <w:t xml:space="preserve"> </w:t>
      </w:r>
      <w:r>
        <w:t>I</w:t>
      </w:r>
      <w:r>
        <w:rPr>
          <w:spacing w:val="-3"/>
        </w:rPr>
        <w:t xml:space="preserve"> </w:t>
      </w:r>
      <w:r>
        <w:t>look</w:t>
      </w:r>
      <w:r>
        <w:rPr>
          <w:spacing w:val="-5"/>
        </w:rPr>
        <w:t xml:space="preserve"> </w:t>
      </w:r>
      <w:r>
        <w:t>forward</w:t>
      </w:r>
      <w:r>
        <w:rPr>
          <w:spacing w:val="-3"/>
        </w:rPr>
        <w:t xml:space="preserve"> </w:t>
      </w:r>
      <w:r>
        <w:t>to</w:t>
      </w:r>
      <w:r>
        <w:rPr>
          <w:spacing w:val="-3"/>
        </w:rPr>
        <w:t xml:space="preserve"> </w:t>
      </w:r>
      <w:r>
        <w:t>receiving</w:t>
      </w:r>
      <w:r>
        <w:rPr>
          <w:spacing w:val="-3"/>
        </w:rPr>
        <w:t xml:space="preserve"> </w:t>
      </w:r>
      <w:r>
        <w:t>the</w:t>
      </w:r>
      <w:r>
        <w:rPr>
          <w:spacing w:val="-3"/>
        </w:rPr>
        <w:t xml:space="preserve"> </w:t>
      </w:r>
      <w:r>
        <w:t>Committee’s</w:t>
      </w:r>
      <w:r>
        <w:rPr>
          <w:spacing w:val="-3"/>
        </w:rPr>
        <w:t xml:space="preserve"> </w:t>
      </w:r>
      <w:r>
        <w:t>report</w:t>
      </w:r>
      <w:r>
        <w:rPr>
          <w:spacing w:val="-3"/>
        </w:rPr>
        <w:t xml:space="preserve"> </w:t>
      </w:r>
      <w:r>
        <w:t>and</w:t>
      </w:r>
      <w:r>
        <w:rPr>
          <w:spacing w:val="-4"/>
        </w:rPr>
        <w:t xml:space="preserve"> </w:t>
      </w:r>
      <w:r>
        <w:t>providing</w:t>
      </w:r>
      <w:r>
        <w:rPr>
          <w:spacing w:val="-4"/>
        </w:rPr>
        <w:t xml:space="preserve"> </w:t>
      </w:r>
      <w:r>
        <w:t>the Government response in due course.</w:t>
      </w:r>
    </w:p>
    <w:p>
      <w:pPr>
        <w:pStyle w:val="BodyText"/>
      </w:pPr>
    </w:p>
    <w:p>
      <w:pPr>
        <w:pStyle w:val="BodyText"/>
      </w:pPr>
    </w:p>
    <w:p>
      <w:pPr>
        <w:pStyle w:val="BodyText"/>
        <w:spacing w:before="1"/>
        <w:ind w:left="3" w:right="380"/>
        <w:jc w:val="center"/>
      </w:pPr>
      <w:r>
        <w:t>Best</w:t>
      </w:r>
      <w:r>
        <w:rPr>
          <w:spacing w:val="-2"/>
        </w:rPr>
        <w:t xml:space="preserve"> wishes,</w:t>
      </w:r>
    </w:p>
    <w:p>
      <w:pPr>
        <w:pStyle w:val="BodyText"/>
        <w:spacing w:before="6"/>
        <w:rPr>
          <w:sz w:val="8"/>
        </w:rPr>
      </w:pPr>
      <w:r>
        <w:rPr>
          <w:sz w:val="8"/>
        </w:rPr>
        <w:drawing>
          <wp:anchor distT="0" distB="0" distL="0" distR="0" simplePos="0" relativeHeight="251658240" behindDoc="1" locked="0" layoutInCell="1" allowOverlap="1">
            <wp:simplePos x="0" y="0"/>
            <wp:positionH relativeFrom="page">
              <wp:posOffset>3150215</wp:posOffset>
            </wp:positionH>
            <wp:positionV relativeFrom="paragraph">
              <wp:posOffset>78037</wp:posOffset>
            </wp:positionV>
            <wp:extent cx="1740882" cy="709422"/>
            <wp:effectExtent l="0" t="0" r="0" b="0"/>
            <wp:wrapTopAndBottom/>
            <wp:docPr id="3" name="Image 3"/>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xmlns:r="http://schemas.openxmlformats.org/officeDocument/2006/relationships" r:embed="rId6" cstate="print"/>
                    <a:stretch>
                      <a:fillRect/>
                    </a:stretch>
                  </pic:blipFill>
                  <pic:spPr>
                    <a:xfrm>
                      <a:off x="0" y="0"/>
                      <a:ext cx="1740882" cy="709422"/>
                    </a:xfrm>
                    <a:prstGeom prst="rect">
                      <a:avLst/>
                    </a:prstGeom>
                  </pic:spPr>
                </pic:pic>
              </a:graphicData>
            </a:graphic>
          </wp:anchor>
        </w:drawing>
      </w:r>
    </w:p>
    <w:p>
      <w:pPr>
        <w:pStyle w:val="BodyText"/>
        <w:spacing w:before="139"/>
      </w:pPr>
    </w:p>
    <w:p>
      <w:pPr>
        <w:spacing w:before="1"/>
        <w:ind w:left="0" w:right="380" w:firstLine="0"/>
        <w:jc w:val="center"/>
        <w:rPr>
          <w:b/>
          <w:sz w:val="24"/>
        </w:rPr>
      </w:pPr>
      <w:r>
        <w:rPr>
          <w:b/>
          <w:sz w:val="24"/>
        </w:rPr>
        <w:t>LUKE</w:t>
      </w:r>
      <w:r>
        <w:rPr>
          <w:b/>
          <w:spacing w:val="-3"/>
          <w:sz w:val="24"/>
        </w:rPr>
        <w:t xml:space="preserve"> </w:t>
      </w:r>
      <w:r>
        <w:rPr>
          <w:b/>
          <w:sz w:val="24"/>
        </w:rPr>
        <w:t>POLLARD</w:t>
      </w:r>
      <w:r>
        <w:rPr>
          <w:b/>
          <w:spacing w:val="-3"/>
          <w:sz w:val="24"/>
        </w:rPr>
        <w:t xml:space="preserve"> </w:t>
      </w:r>
      <w:r>
        <w:rPr>
          <w:b/>
          <w:spacing w:val="-5"/>
          <w:sz w:val="24"/>
        </w:rPr>
        <w:t>MP</w:t>
      </w:r>
    </w:p>
    <w:p>
      <w:pPr>
        <w:spacing w:after="0"/>
        <w:jc w:val="center"/>
        <w:rPr>
          <w:b/>
          <w:sz w:val="24"/>
        </w:rPr>
        <w:sectPr>
          <w:pgSz w:w="12240" w:h="15840"/>
          <w:pgMar w:top="480" w:right="360" w:bottom="280" w:left="1080" w:header="271" w:footer="0"/>
          <w:cols w:space="720"/>
        </w:sectPr>
      </w:pPr>
    </w:p>
    <w:p>
      <w:pPr>
        <w:spacing w:before="82"/>
        <w:ind w:left="0" w:right="359" w:firstLine="0"/>
        <w:jc w:val="center"/>
        <w:rPr>
          <w:b/>
          <w:sz w:val="24"/>
        </w:rPr>
      </w:pPr>
      <w:bookmarkStart w:id="1" w:name="20260618 - Afghan Relocations Annex A - "/>
      <w:bookmarkEnd w:id="1"/>
      <w:r>
        <w:rPr>
          <w:b/>
          <w:sz w:val="24"/>
          <w:u w:val="single"/>
        </w:rPr>
        <w:t>Annex</w:t>
      </w:r>
      <w:r>
        <w:rPr>
          <w:b/>
          <w:spacing w:val="-1"/>
          <w:sz w:val="24"/>
          <w:u w:val="single"/>
        </w:rPr>
        <w:t xml:space="preserve"> </w:t>
      </w:r>
      <w:r>
        <w:rPr>
          <w:b/>
          <w:sz w:val="24"/>
          <w:u w:val="single"/>
        </w:rPr>
        <w:t>A:</w:t>
      </w:r>
      <w:r>
        <w:rPr>
          <w:b/>
          <w:spacing w:val="-2"/>
          <w:sz w:val="24"/>
          <w:u w:val="single"/>
        </w:rPr>
        <w:t xml:space="preserve"> </w:t>
      </w:r>
      <w:r>
        <w:rPr>
          <w:b/>
          <w:sz w:val="24"/>
          <w:u w:val="single"/>
        </w:rPr>
        <w:t>The</w:t>
      </w:r>
      <w:r>
        <w:rPr>
          <w:b/>
          <w:spacing w:val="-4"/>
          <w:sz w:val="24"/>
          <w:u w:val="single"/>
        </w:rPr>
        <w:t xml:space="preserve"> </w:t>
      </w:r>
      <w:r>
        <w:rPr>
          <w:b/>
          <w:sz w:val="24"/>
          <w:u w:val="single"/>
        </w:rPr>
        <w:t>Triples</w:t>
      </w:r>
      <w:r>
        <w:rPr>
          <w:b/>
          <w:spacing w:val="-2"/>
          <w:sz w:val="24"/>
          <w:u w:val="single"/>
        </w:rPr>
        <w:t xml:space="preserve"> Review</w:t>
      </w:r>
    </w:p>
    <w:p>
      <w:pPr>
        <w:pStyle w:val="BodyText"/>
        <w:rPr>
          <w:b/>
        </w:rPr>
      </w:pPr>
    </w:p>
    <w:p>
      <w:pPr>
        <w:spacing w:before="0"/>
        <w:ind w:left="0" w:right="0" w:firstLine="0"/>
        <w:jc w:val="left"/>
        <w:rPr>
          <w:b/>
          <w:sz w:val="24"/>
        </w:rPr>
      </w:pPr>
      <w:r>
        <w:rPr>
          <w:b/>
          <w:spacing w:val="-2"/>
          <w:sz w:val="24"/>
          <w:u w:val="single"/>
        </w:rPr>
        <w:t>Background</w:t>
      </w:r>
    </w:p>
    <w:p>
      <w:pPr>
        <w:pStyle w:val="BodyText"/>
        <w:rPr>
          <w:b/>
        </w:rPr>
      </w:pPr>
    </w:p>
    <w:p>
      <w:pPr>
        <w:pStyle w:val="BodyText"/>
        <w:ind w:right="406"/>
      </w:pPr>
      <w:r>
        <w:t>“Triples” is the name commonly given to members of former Afghan specialist military</w:t>
      </w:r>
      <w:r>
        <w:rPr>
          <w:spacing w:val="-4"/>
        </w:rPr>
        <w:t xml:space="preserve"> </w:t>
      </w:r>
      <w:r>
        <w:t>units,</w:t>
      </w:r>
      <w:r>
        <w:rPr>
          <w:spacing w:val="-3"/>
        </w:rPr>
        <w:t xml:space="preserve"> </w:t>
      </w:r>
      <w:r>
        <w:t>including</w:t>
      </w:r>
      <w:r>
        <w:rPr>
          <w:spacing w:val="-4"/>
        </w:rPr>
        <w:t xml:space="preserve"> </w:t>
      </w:r>
      <w:r>
        <w:t>two</w:t>
      </w:r>
      <w:r>
        <w:rPr>
          <w:spacing w:val="-3"/>
        </w:rPr>
        <w:t xml:space="preserve"> </w:t>
      </w:r>
      <w:r>
        <w:t>units</w:t>
      </w:r>
      <w:r>
        <w:rPr>
          <w:spacing w:val="-4"/>
        </w:rPr>
        <w:t xml:space="preserve"> </w:t>
      </w:r>
      <w:r>
        <w:t>called</w:t>
      </w:r>
      <w:r>
        <w:rPr>
          <w:spacing w:val="-4"/>
        </w:rPr>
        <w:t xml:space="preserve"> </w:t>
      </w:r>
      <w:r>
        <w:t>Commando</w:t>
      </w:r>
      <w:r>
        <w:rPr>
          <w:spacing w:val="-3"/>
        </w:rPr>
        <w:t xml:space="preserve"> </w:t>
      </w:r>
      <w:r>
        <w:t>Force</w:t>
      </w:r>
      <w:r>
        <w:rPr>
          <w:spacing w:val="-3"/>
        </w:rPr>
        <w:t xml:space="preserve"> </w:t>
      </w:r>
      <w:r>
        <w:t>333</w:t>
      </w:r>
      <w:r>
        <w:rPr>
          <w:spacing w:val="-3"/>
        </w:rPr>
        <w:t xml:space="preserve"> </w:t>
      </w:r>
      <w:r>
        <w:t>(“CF333”)</w:t>
      </w:r>
      <w:r>
        <w:rPr>
          <w:spacing w:val="-4"/>
        </w:rPr>
        <w:t xml:space="preserve"> </w:t>
      </w:r>
      <w:r>
        <w:t>and</w:t>
      </w:r>
      <w:r>
        <w:rPr>
          <w:spacing w:val="-3"/>
        </w:rPr>
        <w:t xml:space="preserve"> </w:t>
      </w:r>
      <w:r>
        <w:t>Afghan Task Force 444 (“ATF444”). Many Afghan Relocations and Assistance Policy (ARAP) applications were submitted by individuals in relation to the Triples. To process these cases, Defence Afghan Relocation and Resettlement (DARR) caseworkers needed assistance from stakeholders across Government including personnel from UK Special Forces (UKSF) and individuals from Other Government Departments (OGDs). This is because DARR caseworkers needed to determine, for example, if</w:t>
      </w:r>
      <w:r>
        <w:rPr>
          <w:spacing w:val="-2"/>
        </w:rPr>
        <w:t xml:space="preserve"> </w:t>
      </w:r>
      <w:r>
        <w:t>an</w:t>
      </w:r>
      <w:r>
        <w:rPr>
          <w:spacing w:val="-1"/>
        </w:rPr>
        <w:t xml:space="preserve"> </w:t>
      </w:r>
      <w:r>
        <w:t>individual had been</w:t>
      </w:r>
      <w:r>
        <w:rPr>
          <w:spacing w:val="-1"/>
        </w:rPr>
        <w:t xml:space="preserve"> </w:t>
      </w:r>
      <w:r>
        <w:t>a Triple</w:t>
      </w:r>
      <w:r>
        <w:rPr>
          <w:spacing w:val="-1"/>
        </w:rPr>
        <w:t xml:space="preserve"> </w:t>
      </w:r>
      <w:r>
        <w:t>according to those</w:t>
      </w:r>
      <w:r>
        <w:rPr>
          <w:spacing w:val="-1"/>
        </w:rPr>
        <w:t xml:space="preserve"> </w:t>
      </w:r>
      <w:r>
        <w:t>organisations’ records or had participated in a particular operation.</w:t>
      </w:r>
    </w:p>
    <w:p>
      <w:pPr>
        <w:pStyle w:val="BodyText"/>
      </w:pPr>
    </w:p>
    <w:p>
      <w:pPr>
        <w:pStyle w:val="Heading1"/>
        <w:rPr>
          <w:u w:val="none"/>
        </w:rPr>
      </w:pPr>
      <w:r>
        <w:rPr>
          <w:u w:val="single"/>
        </w:rPr>
        <w:t>Initial</w:t>
      </w:r>
      <w:r>
        <w:rPr>
          <w:spacing w:val="-1"/>
          <w:u w:val="single"/>
        </w:rPr>
        <w:t xml:space="preserve"> </w:t>
      </w:r>
      <w:r>
        <w:rPr>
          <w:spacing w:val="-2"/>
          <w:u w:val="single"/>
        </w:rPr>
        <w:t>Concerns</w:t>
      </w:r>
    </w:p>
    <w:p>
      <w:pPr>
        <w:pStyle w:val="BodyText"/>
        <w:rPr>
          <w:b/>
        </w:rPr>
      </w:pPr>
    </w:p>
    <w:p>
      <w:pPr>
        <w:pStyle w:val="BodyText"/>
        <w:ind w:left="-1" w:right="406"/>
      </w:pPr>
      <w:r>
        <w:t>By</w:t>
      </w:r>
      <w:r>
        <w:rPr>
          <w:spacing w:val="-3"/>
        </w:rPr>
        <w:t xml:space="preserve"> </w:t>
      </w:r>
      <w:r>
        <w:t>May</w:t>
      </w:r>
      <w:r>
        <w:rPr>
          <w:spacing w:val="-3"/>
        </w:rPr>
        <w:t xml:space="preserve"> </w:t>
      </w:r>
      <w:r>
        <w:t>2022,</w:t>
      </w:r>
      <w:r>
        <w:rPr>
          <w:spacing w:val="-2"/>
        </w:rPr>
        <w:t xml:space="preserve"> </w:t>
      </w:r>
      <w:r>
        <w:t>a</w:t>
      </w:r>
      <w:r>
        <w:rPr>
          <w:spacing w:val="-3"/>
        </w:rPr>
        <w:t xml:space="preserve"> </w:t>
      </w:r>
      <w:r>
        <w:t>process</w:t>
      </w:r>
      <w:r>
        <w:rPr>
          <w:spacing w:val="-3"/>
        </w:rPr>
        <w:t xml:space="preserve"> </w:t>
      </w:r>
      <w:r>
        <w:t>had</w:t>
      </w:r>
      <w:r>
        <w:rPr>
          <w:spacing w:val="-3"/>
        </w:rPr>
        <w:t xml:space="preserve"> </w:t>
      </w:r>
      <w:r>
        <w:t>been</w:t>
      </w:r>
      <w:r>
        <w:rPr>
          <w:spacing w:val="-3"/>
        </w:rPr>
        <w:t xml:space="preserve"> </w:t>
      </w:r>
      <w:r>
        <w:t>devised</w:t>
      </w:r>
      <w:r>
        <w:rPr>
          <w:spacing w:val="-2"/>
        </w:rPr>
        <w:t xml:space="preserve"> </w:t>
      </w:r>
      <w:r>
        <w:t>by</w:t>
      </w:r>
      <w:r>
        <w:rPr>
          <w:spacing w:val="-4"/>
        </w:rPr>
        <w:t xml:space="preserve"> </w:t>
      </w:r>
      <w:r>
        <w:t>which</w:t>
      </w:r>
      <w:r>
        <w:rPr>
          <w:spacing w:val="-2"/>
        </w:rPr>
        <w:t xml:space="preserve"> </w:t>
      </w:r>
      <w:r>
        <w:t>DARR</w:t>
      </w:r>
      <w:r>
        <w:rPr>
          <w:spacing w:val="-3"/>
        </w:rPr>
        <w:t xml:space="preserve"> </w:t>
      </w:r>
      <w:r>
        <w:t>caseworkers</w:t>
      </w:r>
      <w:r>
        <w:rPr>
          <w:spacing w:val="-3"/>
        </w:rPr>
        <w:t xml:space="preserve"> </w:t>
      </w:r>
      <w:r>
        <w:t>would</w:t>
      </w:r>
      <w:r>
        <w:rPr>
          <w:spacing w:val="-2"/>
        </w:rPr>
        <w:t xml:space="preserve"> </w:t>
      </w:r>
      <w:r>
        <w:t>refer applications from individuals claiming to be Triples to UKSF personnel, for the purpose of ‘enrichment’ through verification of the application. By May the following year, a significant backlog of referrals to UKSF had amassed and there was Ministerial pressure to address this. Ministry of Defence (MOD) senior leadership implemented a series of ‘sprints’ in 2023 to reduce this backlog. However, by October</w:t>
      </w:r>
      <w:r>
        <w:rPr>
          <w:spacing w:val="-1"/>
        </w:rPr>
        <w:t xml:space="preserve"> </w:t>
      </w:r>
      <w:r>
        <w:t>2023,</w:t>
      </w:r>
      <w:r>
        <w:rPr>
          <w:spacing w:val="-2"/>
        </w:rPr>
        <w:t xml:space="preserve"> </w:t>
      </w:r>
      <w:r>
        <w:t>the</w:t>
      </w:r>
      <w:r>
        <w:rPr>
          <w:spacing w:val="-1"/>
        </w:rPr>
        <w:t xml:space="preserve"> </w:t>
      </w:r>
      <w:r>
        <w:t>DARR Director</w:t>
      </w:r>
      <w:r>
        <w:rPr>
          <w:spacing w:val="-1"/>
        </w:rPr>
        <w:t xml:space="preserve"> </w:t>
      </w:r>
      <w:r>
        <w:t>had</w:t>
      </w:r>
      <w:r>
        <w:rPr>
          <w:spacing w:val="-1"/>
        </w:rPr>
        <w:t xml:space="preserve"> </w:t>
      </w:r>
      <w:r>
        <w:t>growing concerns</w:t>
      </w:r>
      <w:r>
        <w:rPr>
          <w:spacing w:val="-2"/>
        </w:rPr>
        <w:t xml:space="preserve"> </w:t>
      </w:r>
      <w:r>
        <w:t>of</w:t>
      </w:r>
      <w:r>
        <w:rPr>
          <w:spacing w:val="-2"/>
        </w:rPr>
        <w:t xml:space="preserve"> </w:t>
      </w:r>
      <w:r>
        <w:t>potential inconsistencies and other problems with how Triples ARAP applications were being handled.</w:t>
      </w:r>
    </w:p>
    <w:p>
      <w:pPr>
        <w:pStyle w:val="BodyText"/>
      </w:pPr>
    </w:p>
    <w:p>
      <w:pPr>
        <w:pStyle w:val="Heading1"/>
        <w:rPr>
          <w:u w:val="none"/>
        </w:rPr>
      </w:pPr>
      <w:r>
        <w:rPr>
          <w:u w:val="single"/>
        </w:rPr>
        <w:t>Actions</w:t>
      </w:r>
      <w:r>
        <w:rPr>
          <w:spacing w:val="-3"/>
          <w:u w:val="single"/>
        </w:rPr>
        <w:t xml:space="preserve"> </w:t>
      </w:r>
      <w:r>
        <w:rPr>
          <w:spacing w:val="-2"/>
          <w:u w:val="single"/>
        </w:rPr>
        <w:t>Taken</w:t>
      </w:r>
    </w:p>
    <w:p>
      <w:pPr>
        <w:pStyle w:val="BodyText"/>
        <w:rPr>
          <w:b/>
        </w:rPr>
      </w:pPr>
    </w:p>
    <w:p>
      <w:pPr>
        <w:pStyle w:val="BodyText"/>
        <w:spacing w:before="1"/>
        <w:ind w:right="378"/>
      </w:pPr>
      <w:r>
        <w:t>In response to these concerns, an internal review was commissioned which set out</w:t>
      </w:r>
      <w:r>
        <w:rPr>
          <w:spacing w:val="40"/>
        </w:rPr>
        <w:t xml:space="preserve"> </w:t>
      </w:r>
      <w:r>
        <w:t>to</w:t>
      </w:r>
      <w:r>
        <w:rPr>
          <w:spacing w:val="-3"/>
        </w:rPr>
        <w:t xml:space="preserve"> </w:t>
      </w:r>
      <w:r>
        <w:t>examine</w:t>
      </w:r>
      <w:r>
        <w:rPr>
          <w:spacing w:val="-3"/>
        </w:rPr>
        <w:t xml:space="preserve"> </w:t>
      </w:r>
      <w:r>
        <w:t>the</w:t>
      </w:r>
      <w:r>
        <w:rPr>
          <w:spacing w:val="-4"/>
        </w:rPr>
        <w:t xml:space="preserve"> </w:t>
      </w:r>
      <w:r>
        <w:t>decision-making</w:t>
      </w:r>
      <w:r>
        <w:rPr>
          <w:spacing w:val="-3"/>
        </w:rPr>
        <w:t xml:space="preserve"> </w:t>
      </w:r>
      <w:r>
        <w:t>process</w:t>
      </w:r>
      <w:r>
        <w:rPr>
          <w:spacing w:val="-4"/>
        </w:rPr>
        <w:t xml:space="preserve"> </w:t>
      </w:r>
      <w:r>
        <w:t>in</w:t>
      </w:r>
      <w:r>
        <w:rPr>
          <w:spacing w:val="-3"/>
        </w:rPr>
        <w:t xml:space="preserve"> </w:t>
      </w:r>
      <w:r>
        <w:t>relation</w:t>
      </w:r>
      <w:r>
        <w:rPr>
          <w:spacing w:val="-3"/>
        </w:rPr>
        <w:t xml:space="preserve"> </w:t>
      </w:r>
      <w:r>
        <w:t>to</w:t>
      </w:r>
      <w:r>
        <w:rPr>
          <w:spacing w:val="-3"/>
        </w:rPr>
        <w:t xml:space="preserve"> </w:t>
      </w:r>
      <w:r>
        <w:t>ARAP</w:t>
      </w:r>
      <w:r>
        <w:rPr>
          <w:spacing w:val="-3"/>
        </w:rPr>
        <w:t xml:space="preserve"> </w:t>
      </w:r>
      <w:r>
        <w:t>cases</w:t>
      </w:r>
      <w:r>
        <w:rPr>
          <w:spacing w:val="-4"/>
        </w:rPr>
        <w:t xml:space="preserve"> </w:t>
      </w:r>
      <w:r>
        <w:t>referred</w:t>
      </w:r>
      <w:r>
        <w:rPr>
          <w:spacing w:val="-4"/>
        </w:rPr>
        <w:t xml:space="preserve"> </w:t>
      </w:r>
      <w:r>
        <w:t>to</w:t>
      </w:r>
      <w:r>
        <w:rPr>
          <w:spacing w:val="-3"/>
        </w:rPr>
        <w:t xml:space="preserve"> </w:t>
      </w:r>
      <w:r>
        <w:t>UKSF. The issues identified, including through this review, were that there was an over-reliance on UKSF by DARR in process terms; a lack of clarity over how ARAP applied to Triples decisions as well as a lack of due consideration of cases; inadequate record keeping of decisions; inconsistency in which cases were referred to UKSF and a lack of access to the relevant records.</w:t>
      </w:r>
    </w:p>
    <w:p>
      <w:pPr>
        <w:pStyle w:val="BodyText"/>
        <w:spacing w:before="276"/>
        <w:ind w:right="548"/>
      </w:pPr>
      <w:r>
        <w:t>In January 2024, a further internal review was also commissioned specifically to investigate the allegations of bias in decision-making by UKSF. The final report concluded that there was no evidence of automatic, instant or mass rejections of Eligible Persons (EPs) in a deliberate attempt to actively block the return of Triples personnel coming to the UK to prevent them from providing evidence of alleged extra-judicial killings to the Independent Inquiry related to Afghanistan. The investigation therefore found no evidence of bias or hidden motives on the part of UKSF.</w:t>
      </w:r>
      <w:r>
        <w:rPr>
          <w:spacing w:val="-2"/>
        </w:rPr>
        <w:t xml:space="preserve"> </w:t>
      </w:r>
      <w:r>
        <w:t>However,</w:t>
      </w:r>
      <w:r>
        <w:rPr>
          <w:spacing w:val="-5"/>
        </w:rPr>
        <w:t xml:space="preserve"> </w:t>
      </w:r>
      <w:r>
        <w:t>it</w:t>
      </w:r>
      <w:r>
        <w:rPr>
          <w:spacing w:val="-2"/>
        </w:rPr>
        <w:t xml:space="preserve"> </w:t>
      </w:r>
      <w:r>
        <w:t>did</w:t>
      </w:r>
      <w:r>
        <w:rPr>
          <w:spacing w:val="-5"/>
        </w:rPr>
        <w:t xml:space="preserve"> </w:t>
      </w:r>
      <w:r>
        <w:t>identify</w:t>
      </w:r>
      <w:r>
        <w:rPr>
          <w:spacing w:val="-6"/>
        </w:rPr>
        <w:t xml:space="preserve"> </w:t>
      </w:r>
      <w:r>
        <w:t>the</w:t>
      </w:r>
      <w:r>
        <w:rPr>
          <w:spacing w:val="-4"/>
        </w:rPr>
        <w:t xml:space="preserve"> </w:t>
      </w:r>
      <w:r>
        <w:t>“slack</w:t>
      </w:r>
      <w:r>
        <w:rPr>
          <w:spacing w:val="-3"/>
        </w:rPr>
        <w:t xml:space="preserve"> </w:t>
      </w:r>
      <w:r>
        <w:t>and</w:t>
      </w:r>
      <w:r>
        <w:rPr>
          <w:spacing w:val="-4"/>
        </w:rPr>
        <w:t xml:space="preserve"> </w:t>
      </w:r>
      <w:r>
        <w:t>unprofessional</w:t>
      </w:r>
      <w:r>
        <w:rPr>
          <w:spacing w:val="-3"/>
        </w:rPr>
        <w:t xml:space="preserve"> </w:t>
      </w:r>
      <w:r>
        <w:t>verification</w:t>
      </w:r>
      <w:r>
        <w:rPr>
          <w:spacing w:val="-2"/>
        </w:rPr>
        <w:t xml:space="preserve"> </w:t>
      </w:r>
      <w:r>
        <w:t>processes” practised within the ARAP decision-making process prior to the review.</w:t>
      </w:r>
    </w:p>
    <w:p>
      <w:pPr>
        <w:pStyle w:val="BodyText"/>
      </w:pPr>
    </w:p>
    <w:p>
      <w:pPr>
        <w:pStyle w:val="Heading1"/>
        <w:rPr>
          <w:u w:val="none"/>
        </w:rPr>
      </w:pPr>
      <w:r>
        <w:rPr>
          <w:u w:val="single"/>
        </w:rPr>
        <w:t>Establishing</w:t>
      </w:r>
      <w:r>
        <w:rPr>
          <w:spacing w:val="-3"/>
          <w:u w:val="single"/>
        </w:rPr>
        <w:t xml:space="preserve"> </w:t>
      </w:r>
      <w:r>
        <w:rPr>
          <w:u w:val="single"/>
        </w:rPr>
        <w:t>the</w:t>
      </w:r>
      <w:r>
        <w:rPr>
          <w:spacing w:val="-4"/>
          <w:u w:val="single"/>
        </w:rPr>
        <w:t xml:space="preserve"> </w:t>
      </w:r>
      <w:r>
        <w:rPr>
          <w:u w:val="single"/>
        </w:rPr>
        <w:t>Triples</w:t>
      </w:r>
      <w:r>
        <w:rPr>
          <w:spacing w:val="-2"/>
          <w:u w:val="single"/>
        </w:rPr>
        <w:t xml:space="preserve"> Review</w:t>
      </w:r>
    </w:p>
    <w:p>
      <w:pPr>
        <w:pStyle w:val="BodyText"/>
        <w:rPr>
          <w:b/>
        </w:rPr>
      </w:pPr>
    </w:p>
    <w:p>
      <w:pPr>
        <w:pStyle w:val="BodyText"/>
        <w:ind w:right="406"/>
      </w:pPr>
      <w:r>
        <w:t>These concerns, legal challenges, and the continued pressure from stakeholders inside</w:t>
      </w:r>
      <w:r>
        <w:rPr>
          <w:spacing w:val="-3"/>
        </w:rPr>
        <w:t xml:space="preserve"> </w:t>
      </w:r>
      <w:r>
        <w:t>and</w:t>
      </w:r>
      <w:r>
        <w:rPr>
          <w:spacing w:val="-4"/>
        </w:rPr>
        <w:t xml:space="preserve"> </w:t>
      </w:r>
      <w:r>
        <w:t>outside</w:t>
      </w:r>
      <w:r>
        <w:rPr>
          <w:spacing w:val="-3"/>
        </w:rPr>
        <w:t xml:space="preserve"> </w:t>
      </w:r>
      <w:r>
        <w:t>of</w:t>
      </w:r>
      <w:r>
        <w:rPr>
          <w:spacing w:val="-3"/>
        </w:rPr>
        <w:t xml:space="preserve"> </w:t>
      </w:r>
      <w:r>
        <w:t>Government</w:t>
      </w:r>
      <w:r>
        <w:rPr>
          <w:spacing w:val="-3"/>
        </w:rPr>
        <w:t xml:space="preserve"> </w:t>
      </w:r>
      <w:r>
        <w:t>led</w:t>
      </w:r>
      <w:r>
        <w:rPr>
          <w:spacing w:val="-4"/>
        </w:rPr>
        <w:t xml:space="preserve"> </w:t>
      </w:r>
      <w:r>
        <w:t>to</w:t>
      </w:r>
      <w:r>
        <w:rPr>
          <w:spacing w:val="-4"/>
        </w:rPr>
        <w:t xml:space="preserve"> </w:t>
      </w:r>
      <w:r>
        <w:t>a</w:t>
      </w:r>
      <w:r>
        <w:rPr>
          <w:spacing w:val="-3"/>
        </w:rPr>
        <w:t xml:space="preserve"> </w:t>
      </w:r>
      <w:r>
        <w:t>recommendation</w:t>
      </w:r>
      <w:r>
        <w:rPr>
          <w:spacing w:val="-3"/>
        </w:rPr>
        <w:t xml:space="preserve"> </w:t>
      </w:r>
      <w:r>
        <w:t>to</w:t>
      </w:r>
      <w:r>
        <w:rPr>
          <w:spacing w:val="-3"/>
        </w:rPr>
        <w:t xml:space="preserve"> </w:t>
      </w:r>
      <w:r>
        <w:t>Ministers</w:t>
      </w:r>
      <w:r>
        <w:rPr>
          <w:spacing w:val="-3"/>
        </w:rPr>
        <w:t xml:space="preserve"> </w:t>
      </w:r>
      <w:r>
        <w:t>in</w:t>
      </w:r>
      <w:r>
        <w:rPr>
          <w:spacing w:val="-3"/>
        </w:rPr>
        <w:t xml:space="preserve"> </w:t>
      </w:r>
      <w:r>
        <w:t>January</w:t>
      </w:r>
    </w:p>
    <w:p>
      <w:pPr>
        <w:pStyle w:val="BodyText"/>
        <w:spacing w:after="0"/>
        <w:sectPr>
          <w:headerReference w:type="default" r:id="rId7"/>
          <w:pgSz w:w="11910" w:h="16840"/>
          <w:pgMar w:top="1340" w:right="1080" w:bottom="280" w:left="1440" w:header="276" w:footer="0"/>
          <w:cols w:space="720"/>
        </w:sectPr>
      </w:pPr>
    </w:p>
    <w:p>
      <w:pPr>
        <w:pStyle w:val="BodyText"/>
        <w:spacing w:before="82"/>
        <w:ind w:left="-1" w:right="406"/>
      </w:pPr>
      <w:r>
        <w:t>2024</w:t>
      </w:r>
      <w:r>
        <w:rPr>
          <w:spacing w:val="-2"/>
        </w:rPr>
        <w:t xml:space="preserve"> </w:t>
      </w:r>
      <w:r>
        <w:t>to</w:t>
      </w:r>
      <w:r>
        <w:rPr>
          <w:spacing w:val="-3"/>
        </w:rPr>
        <w:t xml:space="preserve"> </w:t>
      </w:r>
      <w:r>
        <w:t>re-assess</w:t>
      </w:r>
      <w:r>
        <w:rPr>
          <w:spacing w:val="-4"/>
        </w:rPr>
        <w:t xml:space="preserve"> </w:t>
      </w:r>
      <w:r>
        <w:t>a</w:t>
      </w:r>
      <w:r>
        <w:rPr>
          <w:spacing w:val="-2"/>
        </w:rPr>
        <w:t xml:space="preserve"> </w:t>
      </w:r>
      <w:r>
        <w:t>tranche</w:t>
      </w:r>
      <w:r>
        <w:rPr>
          <w:spacing w:val="-3"/>
        </w:rPr>
        <w:t xml:space="preserve"> </w:t>
      </w:r>
      <w:r>
        <w:t>of</w:t>
      </w:r>
      <w:r>
        <w:rPr>
          <w:spacing w:val="-2"/>
        </w:rPr>
        <w:t xml:space="preserve"> </w:t>
      </w:r>
      <w:r>
        <w:t>Triples</w:t>
      </w:r>
      <w:r>
        <w:rPr>
          <w:spacing w:val="-2"/>
        </w:rPr>
        <w:t xml:space="preserve"> </w:t>
      </w:r>
      <w:r>
        <w:t>cases</w:t>
      </w:r>
      <w:r>
        <w:rPr>
          <w:spacing w:val="-2"/>
        </w:rPr>
        <w:t xml:space="preserve"> </w:t>
      </w:r>
      <w:r>
        <w:t>that</w:t>
      </w:r>
      <w:r>
        <w:rPr>
          <w:spacing w:val="-4"/>
        </w:rPr>
        <w:t xml:space="preserve"> </w:t>
      </w:r>
      <w:r>
        <w:t>had</w:t>
      </w:r>
      <w:r>
        <w:rPr>
          <w:spacing w:val="-3"/>
        </w:rPr>
        <w:t xml:space="preserve"> </w:t>
      </w:r>
      <w:r>
        <w:t>been</w:t>
      </w:r>
      <w:r>
        <w:rPr>
          <w:spacing w:val="-2"/>
        </w:rPr>
        <w:t xml:space="preserve"> </w:t>
      </w:r>
      <w:r>
        <w:t>referred</w:t>
      </w:r>
      <w:r>
        <w:rPr>
          <w:spacing w:val="-3"/>
        </w:rPr>
        <w:t xml:space="preserve"> </w:t>
      </w:r>
      <w:r>
        <w:t>to</w:t>
      </w:r>
      <w:r>
        <w:rPr>
          <w:spacing w:val="-2"/>
        </w:rPr>
        <w:t xml:space="preserve"> </w:t>
      </w:r>
      <w:r>
        <w:t>UKSF alongside a number of additional applications.</w:t>
      </w:r>
    </w:p>
    <w:p>
      <w:pPr>
        <w:pStyle w:val="BodyText"/>
      </w:pPr>
    </w:p>
    <w:p>
      <w:pPr>
        <w:pStyle w:val="BodyText"/>
        <w:ind w:right="406"/>
      </w:pPr>
      <w:r>
        <w:t>On</w:t>
      </w:r>
      <w:r>
        <w:rPr>
          <w:spacing w:val="-2"/>
        </w:rPr>
        <w:t xml:space="preserve"> </w:t>
      </w:r>
      <w:r>
        <w:t>1</w:t>
      </w:r>
      <w:r>
        <w:rPr>
          <w:spacing w:val="-2"/>
        </w:rPr>
        <w:t xml:space="preserve"> </w:t>
      </w:r>
      <w:r>
        <w:t>February</w:t>
      </w:r>
      <w:r>
        <w:rPr>
          <w:spacing w:val="-3"/>
        </w:rPr>
        <w:t xml:space="preserve"> </w:t>
      </w:r>
      <w:r>
        <w:t>2024,</w:t>
      </w:r>
      <w:r>
        <w:rPr>
          <w:spacing w:val="-5"/>
        </w:rPr>
        <w:t xml:space="preserve"> </w:t>
      </w:r>
      <w:r>
        <w:t>the</w:t>
      </w:r>
      <w:r>
        <w:rPr>
          <w:spacing w:val="-2"/>
        </w:rPr>
        <w:t xml:space="preserve"> </w:t>
      </w:r>
      <w:r>
        <w:t>previous</w:t>
      </w:r>
      <w:r>
        <w:rPr>
          <w:spacing w:val="-3"/>
        </w:rPr>
        <w:t xml:space="preserve"> </w:t>
      </w:r>
      <w:r>
        <w:t>Government</w:t>
      </w:r>
      <w:r>
        <w:rPr>
          <w:spacing w:val="-2"/>
        </w:rPr>
        <w:t xml:space="preserve"> </w:t>
      </w:r>
      <w:r>
        <w:t>announced</w:t>
      </w:r>
      <w:r>
        <w:rPr>
          <w:spacing w:val="-2"/>
        </w:rPr>
        <w:t xml:space="preserve"> </w:t>
      </w:r>
      <w:r>
        <w:t>the</w:t>
      </w:r>
      <w:r>
        <w:rPr>
          <w:spacing w:val="-4"/>
        </w:rPr>
        <w:t xml:space="preserve"> </w:t>
      </w:r>
      <w:r>
        <w:t>establishment</w:t>
      </w:r>
      <w:r>
        <w:rPr>
          <w:spacing w:val="-5"/>
        </w:rPr>
        <w:t xml:space="preserve"> </w:t>
      </w:r>
      <w:r>
        <w:t>of</w:t>
      </w:r>
      <w:r>
        <w:rPr>
          <w:spacing w:val="-2"/>
        </w:rPr>
        <w:t xml:space="preserve"> </w:t>
      </w:r>
      <w:r>
        <w:t>the Triples Review. This was a review by caseworkers of a cohort of around 2,000 negative decisions made on applications which had previously been referred to UKSF. This included those who claimed to either be a member of a UKSF Afghan Partner Forces (APF) or to have had links to a UKSF APF. It also included a small number of applications that had been erroneously referred to UKSF at the time.</w:t>
      </w:r>
    </w:p>
    <w:p>
      <w:pPr>
        <w:pStyle w:val="BodyText"/>
      </w:pPr>
    </w:p>
    <w:p>
      <w:pPr>
        <w:pStyle w:val="Heading1"/>
        <w:rPr>
          <w:u w:val="none"/>
        </w:rPr>
      </w:pPr>
      <w:r>
        <w:rPr>
          <w:u w:val="single"/>
        </w:rPr>
        <w:t>Phase</w:t>
      </w:r>
      <w:r>
        <w:rPr>
          <w:spacing w:val="-2"/>
          <w:u w:val="single"/>
        </w:rPr>
        <w:t xml:space="preserve"> </w:t>
      </w:r>
      <w:r>
        <w:rPr>
          <w:spacing w:val="-10"/>
          <w:u w:val="single"/>
        </w:rPr>
        <w:t>1</w:t>
      </w:r>
    </w:p>
    <w:p>
      <w:pPr>
        <w:pStyle w:val="BodyText"/>
        <w:rPr>
          <w:b/>
        </w:rPr>
      </w:pPr>
    </w:p>
    <w:p>
      <w:pPr>
        <w:pStyle w:val="BodyText"/>
        <w:ind w:left="-1" w:right="361"/>
      </w:pPr>
      <w:r>
        <w:t>Following the launch of the Triples Review, DARR worked to establish a team and a process that would address the issues identified and ensure robust decision-making for</w:t>
      </w:r>
      <w:r>
        <w:rPr>
          <w:spacing w:val="-1"/>
        </w:rPr>
        <w:t xml:space="preserve"> </w:t>
      </w:r>
      <w:r>
        <w:t>the</w:t>
      </w:r>
      <w:r>
        <w:rPr>
          <w:spacing w:val="-1"/>
        </w:rPr>
        <w:t xml:space="preserve"> </w:t>
      </w:r>
      <w:r>
        <w:t>around</w:t>
      </w:r>
      <w:r>
        <w:rPr>
          <w:spacing w:val="-1"/>
        </w:rPr>
        <w:t xml:space="preserve"> </w:t>
      </w:r>
      <w:r>
        <w:t>2,000 cases in scope</w:t>
      </w:r>
      <w:r>
        <w:rPr>
          <w:spacing w:val="-1"/>
        </w:rPr>
        <w:t xml:space="preserve"> </w:t>
      </w:r>
      <w:r>
        <w:t>of</w:t>
      </w:r>
      <w:r>
        <w:rPr>
          <w:spacing w:val="-2"/>
        </w:rPr>
        <w:t xml:space="preserve"> </w:t>
      </w:r>
      <w:r>
        <w:t>the</w:t>
      </w:r>
      <w:r>
        <w:rPr>
          <w:spacing w:val="-1"/>
        </w:rPr>
        <w:t xml:space="preserve"> </w:t>
      </w:r>
      <w:r>
        <w:t>Review. Individuals were loaned</w:t>
      </w:r>
      <w:r>
        <w:rPr>
          <w:spacing w:val="-1"/>
        </w:rPr>
        <w:t xml:space="preserve"> </w:t>
      </w:r>
      <w:r>
        <w:t>to DARR from</w:t>
      </w:r>
      <w:r>
        <w:rPr>
          <w:spacing w:val="-1"/>
        </w:rPr>
        <w:t xml:space="preserve"> </w:t>
      </w:r>
      <w:r>
        <w:t>the</w:t>
      </w:r>
      <w:r>
        <w:rPr>
          <w:spacing w:val="-2"/>
        </w:rPr>
        <w:t xml:space="preserve"> </w:t>
      </w:r>
      <w:r>
        <w:t>Home</w:t>
      </w:r>
      <w:r>
        <w:rPr>
          <w:spacing w:val="-2"/>
        </w:rPr>
        <w:t xml:space="preserve"> </w:t>
      </w:r>
      <w:r>
        <w:t>Office,</w:t>
      </w:r>
      <w:r>
        <w:rPr>
          <w:spacing w:val="-5"/>
        </w:rPr>
        <w:t xml:space="preserve"> </w:t>
      </w:r>
      <w:r>
        <w:t>who</w:t>
      </w:r>
      <w:r>
        <w:rPr>
          <w:spacing w:val="-2"/>
        </w:rPr>
        <w:t xml:space="preserve"> </w:t>
      </w:r>
      <w:r>
        <w:t>were</w:t>
      </w:r>
      <w:r>
        <w:rPr>
          <w:spacing w:val="-4"/>
        </w:rPr>
        <w:t xml:space="preserve"> </w:t>
      </w:r>
      <w:r>
        <w:t>experienced</w:t>
      </w:r>
      <w:r>
        <w:rPr>
          <w:spacing w:val="-4"/>
        </w:rPr>
        <w:t xml:space="preserve"> </w:t>
      </w:r>
      <w:r>
        <w:t>in</w:t>
      </w:r>
      <w:r>
        <w:rPr>
          <w:spacing w:val="-2"/>
        </w:rPr>
        <w:t xml:space="preserve"> </w:t>
      </w:r>
      <w:r>
        <w:t>case</w:t>
      </w:r>
      <w:r>
        <w:rPr>
          <w:spacing w:val="-4"/>
        </w:rPr>
        <w:t xml:space="preserve"> </w:t>
      </w:r>
      <w:r>
        <w:t>working</w:t>
      </w:r>
      <w:r>
        <w:rPr>
          <w:spacing w:val="-4"/>
        </w:rPr>
        <w:t xml:space="preserve"> </w:t>
      </w:r>
      <w:r>
        <w:t>and</w:t>
      </w:r>
      <w:r>
        <w:rPr>
          <w:spacing w:val="-4"/>
        </w:rPr>
        <w:t xml:space="preserve"> </w:t>
      </w:r>
      <w:r>
        <w:t>had</w:t>
      </w:r>
      <w:r>
        <w:rPr>
          <w:spacing w:val="-2"/>
        </w:rPr>
        <w:t xml:space="preserve"> </w:t>
      </w:r>
      <w:r>
        <w:t>previously</w:t>
      </w:r>
      <w:r>
        <w:rPr>
          <w:spacing w:val="-3"/>
        </w:rPr>
        <w:t xml:space="preserve"> </w:t>
      </w:r>
      <w:r>
        <w:t>not worked on ARAP cases nor in the MOD. Any DARR staff involved in supporting the new</w:t>
      </w:r>
      <w:r>
        <w:rPr>
          <w:spacing w:val="-3"/>
        </w:rPr>
        <w:t xml:space="preserve"> </w:t>
      </w:r>
      <w:r>
        <w:t>team</w:t>
      </w:r>
      <w:r>
        <w:rPr>
          <w:spacing w:val="-4"/>
        </w:rPr>
        <w:t xml:space="preserve"> </w:t>
      </w:r>
      <w:r>
        <w:t>were</w:t>
      </w:r>
      <w:r>
        <w:rPr>
          <w:spacing w:val="-2"/>
        </w:rPr>
        <w:t xml:space="preserve"> </w:t>
      </w:r>
      <w:r>
        <w:t>independent</w:t>
      </w:r>
      <w:r>
        <w:rPr>
          <w:spacing w:val="-2"/>
        </w:rPr>
        <w:t xml:space="preserve"> </w:t>
      </w:r>
      <w:r>
        <w:t>from</w:t>
      </w:r>
      <w:r>
        <w:rPr>
          <w:spacing w:val="-1"/>
        </w:rPr>
        <w:t xml:space="preserve"> </w:t>
      </w:r>
      <w:r>
        <w:t>those</w:t>
      </w:r>
      <w:r>
        <w:rPr>
          <w:spacing w:val="-2"/>
        </w:rPr>
        <w:t xml:space="preserve"> </w:t>
      </w:r>
      <w:r>
        <w:t>who</w:t>
      </w:r>
      <w:r>
        <w:rPr>
          <w:spacing w:val="-4"/>
        </w:rPr>
        <w:t xml:space="preserve"> </w:t>
      </w:r>
      <w:r>
        <w:t>had</w:t>
      </w:r>
      <w:r>
        <w:rPr>
          <w:spacing w:val="-4"/>
        </w:rPr>
        <w:t xml:space="preserve"> </w:t>
      </w:r>
      <w:r>
        <w:t>been</w:t>
      </w:r>
      <w:r>
        <w:rPr>
          <w:spacing w:val="-2"/>
        </w:rPr>
        <w:t xml:space="preserve"> </w:t>
      </w:r>
      <w:r>
        <w:t>involved</w:t>
      </w:r>
      <w:r>
        <w:rPr>
          <w:spacing w:val="-2"/>
        </w:rPr>
        <w:t xml:space="preserve"> </w:t>
      </w:r>
      <w:r>
        <w:t>in</w:t>
      </w:r>
      <w:r>
        <w:rPr>
          <w:spacing w:val="-2"/>
        </w:rPr>
        <w:t xml:space="preserve"> </w:t>
      </w:r>
      <w:r>
        <w:t>the</w:t>
      </w:r>
      <w:r>
        <w:rPr>
          <w:spacing w:val="-2"/>
        </w:rPr>
        <w:t xml:space="preserve"> </w:t>
      </w:r>
      <w:r>
        <w:t>original</w:t>
      </w:r>
      <w:r>
        <w:rPr>
          <w:spacing w:val="-3"/>
        </w:rPr>
        <w:t xml:space="preserve"> </w:t>
      </w:r>
      <w:r>
        <w:t>Triples decision-making. All new caseworkers underwent rigorous training to ensure understanding of the ARAP criteria and ensure both consistency and adherence to objective standards of decision-making. The Triples Review team started reviewing cases on 24 March 2024.</w:t>
      </w:r>
    </w:p>
    <w:p>
      <w:pPr>
        <w:pStyle w:val="BodyText"/>
      </w:pPr>
    </w:p>
    <w:p>
      <w:pPr>
        <w:pStyle w:val="BodyText"/>
        <w:ind w:right="433"/>
      </w:pPr>
      <w:r>
        <w:t>The Review was originally expected to take 12 weeks to complete but took much longer. This was in part because information was found in the Government archives which</w:t>
      </w:r>
      <w:r>
        <w:rPr>
          <w:spacing w:val="-1"/>
        </w:rPr>
        <w:t xml:space="preserve"> </w:t>
      </w:r>
      <w:r>
        <w:t>required</w:t>
      </w:r>
      <w:r>
        <w:rPr>
          <w:spacing w:val="-1"/>
        </w:rPr>
        <w:t xml:space="preserve"> </w:t>
      </w:r>
      <w:r>
        <w:t>further</w:t>
      </w:r>
      <w:r>
        <w:rPr>
          <w:spacing w:val="-5"/>
        </w:rPr>
        <w:t xml:space="preserve"> </w:t>
      </w:r>
      <w:r>
        <w:t>assessment.</w:t>
      </w:r>
      <w:r>
        <w:rPr>
          <w:spacing w:val="-1"/>
        </w:rPr>
        <w:t xml:space="preserve"> </w:t>
      </w:r>
      <w:r>
        <w:t>As</w:t>
      </w:r>
      <w:r>
        <w:rPr>
          <w:spacing w:val="-4"/>
        </w:rPr>
        <w:t xml:space="preserve"> </w:t>
      </w:r>
      <w:r>
        <w:t>noted</w:t>
      </w:r>
      <w:r>
        <w:rPr>
          <w:spacing w:val="-3"/>
        </w:rPr>
        <w:t xml:space="preserve"> </w:t>
      </w:r>
      <w:r>
        <w:t>in</w:t>
      </w:r>
      <w:r>
        <w:rPr>
          <w:spacing w:val="-1"/>
        </w:rPr>
        <w:t xml:space="preserve"> </w:t>
      </w:r>
      <w:r>
        <w:t>an</w:t>
      </w:r>
      <w:r>
        <w:rPr>
          <w:spacing w:val="-3"/>
        </w:rPr>
        <w:t xml:space="preserve"> </w:t>
      </w:r>
      <w:r>
        <w:t>Oral</w:t>
      </w:r>
      <w:r>
        <w:rPr>
          <w:spacing w:val="-2"/>
        </w:rPr>
        <w:t xml:space="preserve"> </w:t>
      </w:r>
      <w:r>
        <w:t>Statement</w:t>
      </w:r>
      <w:r>
        <w:rPr>
          <w:spacing w:val="-4"/>
        </w:rPr>
        <w:t xml:space="preserve"> </w:t>
      </w:r>
      <w:r>
        <w:t>made</w:t>
      </w:r>
      <w:r>
        <w:rPr>
          <w:spacing w:val="-1"/>
        </w:rPr>
        <w:t xml:space="preserve"> </w:t>
      </w:r>
      <w:r>
        <w:t>by</w:t>
      </w:r>
      <w:r>
        <w:rPr>
          <w:spacing w:val="-4"/>
        </w:rPr>
        <w:t xml:space="preserve"> </w:t>
      </w:r>
      <w:r>
        <w:t>the</w:t>
      </w:r>
      <w:r>
        <w:rPr>
          <w:spacing w:val="-1"/>
        </w:rPr>
        <w:t xml:space="preserve"> </w:t>
      </w:r>
      <w:r>
        <w:t>then Minister for the Armed Forces, Luke Pollard MP on 14 October 2024, the nature of the relationship between the UK Government and the Triples evolved over the almost 20 years of UK military involvement in Afghanistan, leading to a complex set of historical records held by different departments. Given the complexities of the records, it took longer than anticipated to piece information together to give a fuller and more accurate picture.</w:t>
      </w:r>
    </w:p>
    <w:p>
      <w:pPr>
        <w:pStyle w:val="BodyText"/>
      </w:pPr>
    </w:p>
    <w:p>
      <w:pPr>
        <w:pStyle w:val="BodyText"/>
        <w:spacing w:before="1"/>
        <w:ind w:right="406"/>
      </w:pPr>
      <w:r>
        <w:t>New caseworker guidance specific to the Triples, which had been in development prior</w:t>
      </w:r>
      <w:r>
        <w:rPr>
          <w:spacing w:val="-4"/>
        </w:rPr>
        <w:t xml:space="preserve"> </w:t>
      </w:r>
      <w:r>
        <w:t>to</w:t>
      </w:r>
      <w:r>
        <w:rPr>
          <w:spacing w:val="-2"/>
        </w:rPr>
        <w:t xml:space="preserve"> </w:t>
      </w:r>
      <w:r>
        <w:t>the</w:t>
      </w:r>
      <w:r>
        <w:rPr>
          <w:spacing w:val="-2"/>
        </w:rPr>
        <w:t xml:space="preserve"> </w:t>
      </w:r>
      <w:r>
        <w:t>launch</w:t>
      </w:r>
      <w:r>
        <w:rPr>
          <w:spacing w:val="-4"/>
        </w:rPr>
        <w:t xml:space="preserve"> </w:t>
      </w:r>
      <w:r>
        <w:t>of</w:t>
      </w:r>
      <w:r>
        <w:rPr>
          <w:spacing w:val="-5"/>
        </w:rPr>
        <w:t xml:space="preserve"> </w:t>
      </w:r>
      <w:r>
        <w:t>the</w:t>
      </w:r>
      <w:r>
        <w:rPr>
          <w:spacing w:val="-2"/>
        </w:rPr>
        <w:t xml:space="preserve"> </w:t>
      </w:r>
      <w:r>
        <w:t>Review,</w:t>
      </w:r>
      <w:r>
        <w:rPr>
          <w:spacing w:val="-2"/>
        </w:rPr>
        <w:t xml:space="preserve"> </w:t>
      </w:r>
      <w:r>
        <w:t>was</w:t>
      </w:r>
      <w:r>
        <w:rPr>
          <w:spacing w:val="-5"/>
        </w:rPr>
        <w:t xml:space="preserve"> </w:t>
      </w:r>
      <w:r>
        <w:t>also</w:t>
      </w:r>
      <w:r>
        <w:rPr>
          <w:spacing w:val="-2"/>
        </w:rPr>
        <w:t xml:space="preserve"> </w:t>
      </w:r>
      <w:r>
        <w:t>finalised</w:t>
      </w:r>
      <w:r>
        <w:rPr>
          <w:spacing w:val="-2"/>
        </w:rPr>
        <w:t xml:space="preserve"> </w:t>
      </w:r>
      <w:r>
        <w:t>and</w:t>
      </w:r>
      <w:r>
        <w:rPr>
          <w:spacing w:val="-4"/>
        </w:rPr>
        <w:t xml:space="preserve"> </w:t>
      </w:r>
      <w:r>
        <w:t>put</w:t>
      </w:r>
      <w:r>
        <w:rPr>
          <w:spacing w:val="-2"/>
        </w:rPr>
        <w:t xml:space="preserve"> </w:t>
      </w:r>
      <w:r>
        <w:t>in</w:t>
      </w:r>
      <w:r>
        <w:rPr>
          <w:spacing w:val="-2"/>
        </w:rPr>
        <w:t xml:space="preserve"> </w:t>
      </w:r>
      <w:r>
        <w:t>place</w:t>
      </w:r>
      <w:r>
        <w:rPr>
          <w:spacing w:val="-4"/>
        </w:rPr>
        <w:t xml:space="preserve"> </w:t>
      </w:r>
      <w:r>
        <w:t>to</w:t>
      </w:r>
      <w:r>
        <w:rPr>
          <w:spacing w:val="-2"/>
        </w:rPr>
        <w:t xml:space="preserve"> </w:t>
      </w:r>
      <w:r>
        <w:t>assist</w:t>
      </w:r>
      <w:r>
        <w:rPr>
          <w:spacing w:val="-2"/>
        </w:rPr>
        <w:t xml:space="preserve"> </w:t>
      </w:r>
      <w:r>
        <w:t>case workers in their decision-making. This was complemented by Standard Operating Procedures which outlined the roles of both DARR and UKSF.</w:t>
      </w:r>
    </w:p>
    <w:p>
      <w:pPr>
        <w:pStyle w:val="BodyText"/>
      </w:pPr>
    </w:p>
    <w:p>
      <w:pPr>
        <w:pStyle w:val="BodyText"/>
        <w:ind w:left="-1" w:right="406"/>
      </w:pPr>
      <w:r>
        <w:t>A large proportion of the Triples in scope for the review were also included in the February 2022 Afghan resettlement data incident and so were eligible for the Afghanistan Response</w:t>
      </w:r>
      <w:r>
        <w:rPr>
          <w:spacing w:val="-1"/>
        </w:rPr>
        <w:t xml:space="preserve"> </w:t>
      </w:r>
      <w:r>
        <w:t>Route</w:t>
      </w:r>
      <w:r>
        <w:rPr>
          <w:spacing w:val="-1"/>
        </w:rPr>
        <w:t xml:space="preserve"> </w:t>
      </w:r>
      <w:r>
        <w:t>(ARR). The timing of Phase</w:t>
      </w:r>
      <w:r>
        <w:rPr>
          <w:spacing w:val="-1"/>
        </w:rPr>
        <w:t xml:space="preserve"> </w:t>
      </w:r>
      <w:r>
        <w:t>1 coincided with the work to identify those eligible for protective action via the ARR, who received letters that mirrored</w:t>
      </w:r>
      <w:r>
        <w:rPr>
          <w:spacing w:val="-2"/>
        </w:rPr>
        <w:t xml:space="preserve"> </w:t>
      </w:r>
      <w:r>
        <w:t>the</w:t>
      </w:r>
      <w:r>
        <w:rPr>
          <w:spacing w:val="-2"/>
        </w:rPr>
        <w:t xml:space="preserve"> </w:t>
      </w:r>
      <w:r>
        <w:t>ARAP</w:t>
      </w:r>
      <w:r>
        <w:rPr>
          <w:spacing w:val="-2"/>
        </w:rPr>
        <w:t xml:space="preserve"> </w:t>
      </w:r>
      <w:r>
        <w:t>letters</w:t>
      </w:r>
      <w:r>
        <w:rPr>
          <w:spacing w:val="-3"/>
        </w:rPr>
        <w:t xml:space="preserve"> </w:t>
      </w:r>
      <w:r>
        <w:t>(so</w:t>
      </w:r>
      <w:r>
        <w:rPr>
          <w:spacing w:val="-2"/>
        </w:rPr>
        <w:t xml:space="preserve"> </w:t>
      </w:r>
      <w:r>
        <w:t>as</w:t>
      </w:r>
      <w:r>
        <w:rPr>
          <w:spacing w:val="-5"/>
        </w:rPr>
        <w:t xml:space="preserve"> </w:t>
      </w:r>
      <w:r>
        <w:t>not</w:t>
      </w:r>
      <w:r>
        <w:rPr>
          <w:spacing w:val="-5"/>
        </w:rPr>
        <w:t xml:space="preserve"> </w:t>
      </w:r>
      <w:r>
        <w:t>to</w:t>
      </w:r>
      <w:r>
        <w:rPr>
          <w:spacing w:val="-2"/>
        </w:rPr>
        <w:t xml:space="preserve"> </w:t>
      </w:r>
      <w:r>
        <w:t>reveal</w:t>
      </w:r>
      <w:r>
        <w:rPr>
          <w:spacing w:val="-6"/>
        </w:rPr>
        <w:t xml:space="preserve"> </w:t>
      </w:r>
      <w:r>
        <w:t>the</w:t>
      </w:r>
      <w:r>
        <w:rPr>
          <w:spacing w:val="-4"/>
        </w:rPr>
        <w:t xml:space="preserve"> </w:t>
      </w:r>
      <w:r>
        <w:t>data</w:t>
      </w:r>
      <w:r>
        <w:rPr>
          <w:spacing w:val="-2"/>
        </w:rPr>
        <w:t xml:space="preserve"> </w:t>
      </w:r>
      <w:r>
        <w:t>incident</w:t>
      </w:r>
      <w:r>
        <w:rPr>
          <w:spacing w:val="-2"/>
        </w:rPr>
        <w:t xml:space="preserve"> </w:t>
      </w:r>
      <w:r>
        <w:t>subject</w:t>
      </w:r>
      <w:r>
        <w:rPr>
          <w:spacing w:val="-2"/>
        </w:rPr>
        <w:t xml:space="preserve"> </w:t>
      </w:r>
      <w:r>
        <w:t>to</w:t>
      </w:r>
      <w:r>
        <w:rPr>
          <w:spacing w:val="-4"/>
        </w:rPr>
        <w:t xml:space="preserve"> </w:t>
      </w:r>
      <w:r>
        <w:t>the</w:t>
      </w:r>
      <w:r>
        <w:rPr>
          <w:spacing w:val="-2"/>
        </w:rPr>
        <w:t xml:space="preserve"> </w:t>
      </w:r>
      <w:r>
        <w:t>super-injunction).</w:t>
      </w:r>
      <w:r>
        <w:rPr>
          <w:spacing w:val="-2"/>
        </w:rPr>
        <w:t xml:space="preserve"> </w:t>
      </w:r>
      <w:r>
        <w:t>As such,</w:t>
      </w:r>
      <w:r>
        <w:rPr>
          <w:spacing w:val="-2"/>
        </w:rPr>
        <w:t xml:space="preserve"> </w:t>
      </w:r>
      <w:r>
        <w:t>negative ARAP</w:t>
      </w:r>
      <w:r>
        <w:rPr>
          <w:spacing w:val="-2"/>
        </w:rPr>
        <w:t xml:space="preserve"> </w:t>
      </w:r>
      <w:r>
        <w:t>decisions made</w:t>
      </w:r>
      <w:r>
        <w:rPr>
          <w:spacing w:val="-1"/>
        </w:rPr>
        <w:t xml:space="preserve"> </w:t>
      </w:r>
      <w:r>
        <w:t>under</w:t>
      </w:r>
      <w:r>
        <w:rPr>
          <w:spacing w:val="-1"/>
        </w:rPr>
        <w:t xml:space="preserve"> </w:t>
      </w:r>
      <w:r>
        <w:t>the Triples Review</w:t>
      </w:r>
      <w:r>
        <w:rPr>
          <w:spacing w:val="-1"/>
        </w:rPr>
        <w:t xml:space="preserve"> </w:t>
      </w:r>
      <w:r>
        <w:t>were not issued to EPs at the time because there was a high chance that, even if found ineligible under ARAP, they would be found eligible for ARR.</w:t>
      </w:r>
    </w:p>
    <w:p>
      <w:pPr>
        <w:pStyle w:val="BodyText"/>
        <w:spacing w:after="0"/>
        <w:sectPr>
          <w:pgSz w:w="11910" w:h="16840"/>
          <w:pgMar w:top="1340" w:right="1080" w:bottom="280" w:left="1440" w:header="276" w:footer="0"/>
          <w:cols w:space="720"/>
        </w:sectPr>
      </w:pPr>
    </w:p>
    <w:p>
      <w:pPr>
        <w:pStyle w:val="Heading1"/>
        <w:spacing w:before="82"/>
        <w:rPr>
          <w:u w:val="none"/>
        </w:rPr>
      </w:pPr>
      <w:r>
        <w:rPr>
          <w:u w:val="single"/>
        </w:rPr>
        <w:t>Phase</w:t>
      </w:r>
      <w:r>
        <w:rPr>
          <w:spacing w:val="-2"/>
          <w:u w:val="single"/>
        </w:rPr>
        <w:t xml:space="preserve"> </w:t>
      </w:r>
      <w:r>
        <w:rPr>
          <w:spacing w:val="-10"/>
          <w:u w:val="single"/>
        </w:rPr>
        <w:t>2</w:t>
      </w:r>
    </w:p>
    <w:p>
      <w:pPr>
        <w:pStyle w:val="BodyText"/>
        <w:rPr>
          <w:b/>
        </w:rPr>
      </w:pPr>
    </w:p>
    <w:p>
      <w:pPr>
        <w:pStyle w:val="BodyText"/>
        <w:ind w:right="406"/>
      </w:pPr>
      <w:r>
        <w:t>As we continued to analyse and strengthen our understanding of the payment records, it was concluded that, more individuals while not meeting the threshold for direct employment relationship, would instead meet the requirements for working alongside the UK. This meant that, in some cases, evidence of certain Top Up Payments was also sufficient to demonstrate a substantive and positive contribution to</w:t>
      </w:r>
      <w:r>
        <w:rPr>
          <w:spacing w:val="-1"/>
        </w:rPr>
        <w:t xml:space="preserve"> </w:t>
      </w:r>
      <w:r>
        <w:t>the</w:t>
      </w:r>
      <w:r>
        <w:rPr>
          <w:spacing w:val="-1"/>
        </w:rPr>
        <w:t xml:space="preserve"> </w:t>
      </w:r>
      <w:r>
        <w:t>UK’s</w:t>
      </w:r>
      <w:r>
        <w:rPr>
          <w:spacing w:val="-4"/>
        </w:rPr>
        <w:t xml:space="preserve"> </w:t>
      </w:r>
      <w:r>
        <w:t>military</w:t>
      </w:r>
      <w:r>
        <w:rPr>
          <w:spacing w:val="-2"/>
        </w:rPr>
        <w:t xml:space="preserve"> </w:t>
      </w:r>
      <w:r>
        <w:t>or</w:t>
      </w:r>
      <w:r>
        <w:rPr>
          <w:spacing w:val="-5"/>
        </w:rPr>
        <w:t xml:space="preserve"> </w:t>
      </w:r>
      <w:r>
        <w:t>national</w:t>
      </w:r>
      <w:r>
        <w:rPr>
          <w:spacing w:val="-2"/>
        </w:rPr>
        <w:t xml:space="preserve"> </w:t>
      </w:r>
      <w:r>
        <w:t>security</w:t>
      </w:r>
      <w:r>
        <w:rPr>
          <w:spacing w:val="-2"/>
        </w:rPr>
        <w:t xml:space="preserve"> </w:t>
      </w:r>
      <w:r>
        <w:t>objectives</w:t>
      </w:r>
      <w:r>
        <w:rPr>
          <w:spacing w:val="-2"/>
        </w:rPr>
        <w:t xml:space="preserve"> </w:t>
      </w:r>
      <w:r>
        <w:t>in</w:t>
      </w:r>
      <w:r>
        <w:rPr>
          <w:spacing w:val="-1"/>
        </w:rPr>
        <w:t xml:space="preserve"> </w:t>
      </w:r>
      <w:r>
        <w:t>Afghanistan</w:t>
      </w:r>
      <w:r>
        <w:rPr>
          <w:spacing w:val="-1"/>
        </w:rPr>
        <w:t xml:space="preserve"> </w:t>
      </w:r>
      <w:r>
        <w:t>due</w:t>
      </w:r>
      <w:r>
        <w:rPr>
          <w:spacing w:val="-1"/>
        </w:rPr>
        <w:t xml:space="preserve"> </w:t>
      </w:r>
      <w:r>
        <w:t>to</w:t>
      </w:r>
      <w:r>
        <w:rPr>
          <w:spacing w:val="-3"/>
        </w:rPr>
        <w:t xml:space="preserve"> </w:t>
      </w:r>
      <w:r>
        <w:t>the</w:t>
      </w:r>
      <w:r>
        <w:rPr>
          <w:spacing w:val="-3"/>
        </w:rPr>
        <w:t xml:space="preserve"> </w:t>
      </w:r>
      <w:r>
        <w:t>nature</w:t>
      </w:r>
      <w:r>
        <w:rPr>
          <w:spacing w:val="-3"/>
        </w:rPr>
        <w:t xml:space="preserve"> </w:t>
      </w:r>
      <w:r>
        <w:t>of the work undertaken by those individuals. As such, these applications would be eligible under Category 4, condition 1 of ARAP and were reviewed for evidence against Category 4, conditions 2, 3 and / or 4. This included some individuals who were in scope of the original Review, but also included some applications outside of the</w:t>
      </w:r>
      <w:r>
        <w:rPr>
          <w:spacing w:val="-2"/>
        </w:rPr>
        <w:t xml:space="preserve"> </w:t>
      </w:r>
      <w:r>
        <w:t>scope</w:t>
      </w:r>
      <w:r>
        <w:rPr>
          <w:spacing w:val="-4"/>
        </w:rPr>
        <w:t xml:space="preserve"> </w:t>
      </w:r>
      <w:r>
        <w:t>of</w:t>
      </w:r>
      <w:r>
        <w:rPr>
          <w:spacing w:val="-4"/>
        </w:rPr>
        <w:t xml:space="preserve"> </w:t>
      </w:r>
      <w:r>
        <w:t>Phase</w:t>
      </w:r>
      <w:r>
        <w:rPr>
          <w:spacing w:val="-2"/>
        </w:rPr>
        <w:t xml:space="preserve"> </w:t>
      </w:r>
      <w:r>
        <w:t>1,</w:t>
      </w:r>
      <w:r>
        <w:rPr>
          <w:spacing w:val="-4"/>
        </w:rPr>
        <w:t xml:space="preserve"> </w:t>
      </w:r>
      <w:r>
        <w:t>where</w:t>
      </w:r>
      <w:r>
        <w:rPr>
          <w:spacing w:val="-2"/>
        </w:rPr>
        <w:t xml:space="preserve"> </w:t>
      </w:r>
      <w:r>
        <w:t>the</w:t>
      </w:r>
      <w:r>
        <w:rPr>
          <w:spacing w:val="-2"/>
        </w:rPr>
        <w:t xml:space="preserve"> </w:t>
      </w:r>
      <w:r>
        <w:t>MOD</w:t>
      </w:r>
      <w:r>
        <w:rPr>
          <w:spacing w:val="-3"/>
        </w:rPr>
        <w:t xml:space="preserve"> </w:t>
      </w:r>
      <w:r>
        <w:t>holds</w:t>
      </w:r>
      <w:r>
        <w:rPr>
          <w:spacing w:val="-4"/>
        </w:rPr>
        <w:t xml:space="preserve"> </w:t>
      </w:r>
      <w:r>
        <w:t>Top</w:t>
      </w:r>
      <w:r>
        <w:rPr>
          <w:spacing w:val="-2"/>
        </w:rPr>
        <w:t xml:space="preserve"> </w:t>
      </w:r>
      <w:r>
        <w:t>Up</w:t>
      </w:r>
      <w:r>
        <w:rPr>
          <w:spacing w:val="-4"/>
        </w:rPr>
        <w:t xml:space="preserve"> </w:t>
      </w:r>
      <w:r>
        <w:t>Payment</w:t>
      </w:r>
      <w:r>
        <w:rPr>
          <w:spacing w:val="-2"/>
        </w:rPr>
        <w:t xml:space="preserve"> </w:t>
      </w:r>
      <w:r>
        <w:t>records</w:t>
      </w:r>
      <w:r>
        <w:rPr>
          <w:spacing w:val="-3"/>
        </w:rPr>
        <w:t xml:space="preserve"> </w:t>
      </w:r>
      <w:r>
        <w:t>relating</w:t>
      </w:r>
      <w:r>
        <w:rPr>
          <w:spacing w:val="-2"/>
        </w:rPr>
        <w:t xml:space="preserve"> </w:t>
      </w:r>
      <w:r>
        <w:t>to</w:t>
      </w:r>
      <w:r>
        <w:rPr>
          <w:spacing w:val="-4"/>
        </w:rPr>
        <w:t xml:space="preserve"> </w:t>
      </w:r>
      <w:r>
        <w:t>the individual or verification from Government that they served with APF. Phase 2 was announced</w:t>
      </w:r>
      <w:r>
        <w:rPr>
          <w:spacing w:val="-3"/>
        </w:rPr>
        <w:t xml:space="preserve"> </w:t>
      </w:r>
      <w:r>
        <w:t>on</w:t>
      </w:r>
      <w:r>
        <w:rPr>
          <w:spacing w:val="-3"/>
        </w:rPr>
        <w:t xml:space="preserve"> </w:t>
      </w:r>
      <w:r>
        <w:t>16</w:t>
      </w:r>
      <w:r>
        <w:rPr>
          <w:spacing w:val="-1"/>
        </w:rPr>
        <w:t xml:space="preserve"> </w:t>
      </w:r>
      <w:r>
        <w:t>May</w:t>
      </w:r>
      <w:r>
        <w:rPr>
          <w:spacing w:val="-4"/>
        </w:rPr>
        <w:t xml:space="preserve"> </w:t>
      </w:r>
      <w:r>
        <w:t>2025</w:t>
      </w:r>
      <w:r>
        <w:rPr>
          <w:spacing w:val="-1"/>
        </w:rPr>
        <w:t xml:space="preserve"> </w:t>
      </w:r>
      <w:r>
        <w:t>in</w:t>
      </w:r>
      <w:r>
        <w:rPr>
          <w:spacing w:val="-1"/>
        </w:rPr>
        <w:t xml:space="preserve"> </w:t>
      </w:r>
      <w:r>
        <w:t>a</w:t>
      </w:r>
      <w:r>
        <w:rPr>
          <w:spacing w:val="-3"/>
        </w:rPr>
        <w:t xml:space="preserve"> </w:t>
      </w:r>
      <w:r>
        <w:t>Written</w:t>
      </w:r>
      <w:r>
        <w:rPr>
          <w:spacing w:val="-1"/>
        </w:rPr>
        <w:t xml:space="preserve"> </w:t>
      </w:r>
      <w:r>
        <w:t>Ministerial</w:t>
      </w:r>
      <w:r>
        <w:rPr>
          <w:spacing w:val="-2"/>
        </w:rPr>
        <w:t xml:space="preserve"> </w:t>
      </w:r>
      <w:r>
        <w:t>Statement</w:t>
      </w:r>
      <w:r>
        <w:rPr>
          <w:spacing w:val="-4"/>
        </w:rPr>
        <w:t xml:space="preserve"> </w:t>
      </w:r>
      <w:r>
        <w:t>made</w:t>
      </w:r>
      <w:r>
        <w:rPr>
          <w:spacing w:val="-3"/>
        </w:rPr>
        <w:t xml:space="preserve"> </w:t>
      </w:r>
      <w:r>
        <w:t>by</w:t>
      </w:r>
      <w:r>
        <w:rPr>
          <w:spacing w:val="-2"/>
        </w:rPr>
        <w:t xml:space="preserve"> </w:t>
      </w:r>
      <w:r>
        <w:t>Luke</w:t>
      </w:r>
      <w:r>
        <w:rPr>
          <w:spacing w:val="-1"/>
        </w:rPr>
        <w:t xml:space="preserve"> </w:t>
      </w:r>
      <w:r>
        <w:t>Pollard MP (the then Minister of the Armed Forces).</w:t>
      </w:r>
    </w:p>
    <w:p>
      <w:pPr>
        <w:pStyle w:val="BodyText"/>
      </w:pPr>
    </w:p>
    <w:p>
      <w:pPr>
        <w:pStyle w:val="BodyText"/>
        <w:ind w:right="548"/>
      </w:pPr>
      <w:r>
        <w:t>Following</w:t>
      </w:r>
      <w:r>
        <w:rPr>
          <w:spacing w:val="-2"/>
        </w:rPr>
        <w:t xml:space="preserve"> </w:t>
      </w:r>
      <w:r>
        <w:t>the</w:t>
      </w:r>
      <w:r>
        <w:rPr>
          <w:spacing w:val="-2"/>
        </w:rPr>
        <w:t xml:space="preserve"> </w:t>
      </w:r>
      <w:r>
        <w:t>Review,</w:t>
      </w:r>
      <w:r>
        <w:rPr>
          <w:spacing w:val="-5"/>
        </w:rPr>
        <w:t xml:space="preserve"> </w:t>
      </w:r>
      <w:r>
        <w:t>a</w:t>
      </w:r>
      <w:r>
        <w:rPr>
          <w:spacing w:val="-2"/>
        </w:rPr>
        <w:t xml:space="preserve"> </w:t>
      </w:r>
      <w:r>
        <w:t>number</w:t>
      </w:r>
      <w:r>
        <w:rPr>
          <w:spacing w:val="-4"/>
        </w:rPr>
        <w:t xml:space="preserve"> </w:t>
      </w:r>
      <w:r>
        <w:t>of</w:t>
      </w:r>
      <w:r>
        <w:rPr>
          <w:spacing w:val="-5"/>
        </w:rPr>
        <w:t xml:space="preserve"> </w:t>
      </w:r>
      <w:r>
        <w:t>those</w:t>
      </w:r>
      <w:r>
        <w:rPr>
          <w:spacing w:val="-2"/>
        </w:rPr>
        <w:t xml:space="preserve"> </w:t>
      </w:r>
      <w:r>
        <w:t>found</w:t>
      </w:r>
      <w:r>
        <w:rPr>
          <w:spacing w:val="-2"/>
        </w:rPr>
        <w:t xml:space="preserve"> </w:t>
      </w:r>
      <w:r>
        <w:t>eligible</w:t>
      </w:r>
      <w:r>
        <w:rPr>
          <w:spacing w:val="-2"/>
        </w:rPr>
        <w:t xml:space="preserve"> </w:t>
      </w:r>
      <w:r>
        <w:t>under</w:t>
      </w:r>
      <w:r>
        <w:rPr>
          <w:spacing w:val="-4"/>
        </w:rPr>
        <w:t xml:space="preserve"> </w:t>
      </w:r>
      <w:r>
        <w:t>the</w:t>
      </w:r>
      <w:r>
        <w:rPr>
          <w:spacing w:val="-4"/>
        </w:rPr>
        <w:t xml:space="preserve"> </w:t>
      </w:r>
      <w:r>
        <w:t>ARR</w:t>
      </w:r>
      <w:r>
        <w:rPr>
          <w:spacing w:val="-3"/>
        </w:rPr>
        <w:t xml:space="preserve"> </w:t>
      </w:r>
      <w:r>
        <w:t>and</w:t>
      </w:r>
      <w:r>
        <w:rPr>
          <w:spacing w:val="-2"/>
        </w:rPr>
        <w:t xml:space="preserve"> </w:t>
      </w:r>
      <w:r>
        <w:t>who have relocated to the UK have subsequently been found ARAP eligible. The quarterly published Home Office statistics will reflect these changes to provide accurate figures of arrivals under each scheme.</w:t>
      </w:r>
    </w:p>
    <w:p>
      <w:pPr>
        <w:pStyle w:val="BodyText"/>
      </w:pPr>
    </w:p>
    <w:p>
      <w:pPr>
        <w:pStyle w:val="Heading1"/>
        <w:rPr>
          <w:u w:val="none"/>
        </w:rPr>
      </w:pPr>
      <w:r>
        <w:rPr>
          <w:spacing w:val="-2"/>
          <w:u w:val="single"/>
        </w:rPr>
        <w:t>Conclusions</w:t>
      </w:r>
    </w:p>
    <w:p>
      <w:pPr>
        <w:pStyle w:val="BodyText"/>
        <w:rPr>
          <w:b/>
        </w:rPr>
      </w:pPr>
    </w:p>
    <w:p>
      <w:pPr>
        <w:pStyle w:val="BodyText"/>
        <w:ind w:right="698"/>
        <w:jc w:val="both"/>
      </w:pPr>
      <w:r>
        <w:t>The</w:t>
      </w:r>
      <w:r>
        <w:rPr>
          <w:spacing w:val="-2"/>
        </w:rPr>
        <w:t xml:space="preserve"> </w:t>
      </w:r>
      <w:r>
        <w:t>conclusion</w:t>
      </w:r>
      <w:r>
        <w:rPr>
          <w:spacing w:val="-4"/>
        </w:rPr>
        <w:t xml:space="preserve"> </w:t>
      </w:r>
      <w:r>
        <w:t>of</w:t>
      </w:r>
      <w:r>
        <w:rPr>
          <w:spacing w:val="-5"/>
        </w:rPr>
        <w:t xml:space="preserve"> </w:t>
      </w:r>
      <w:r>
        <w:t>the</w:t>
      </w:r>
      <w:r>
        <w:rPr>
          <w:spacing w:val="-7"/>
        </w:rPr>
        <w:t xml:space="preserve"> </w:t>
      </w:r>
      <w:r>
        <w:t>Triples</w:t>
      </w:r>
      <w:r>
        <w:rPr>
          <w:spacing w:val="-3"/>
        </w:rPr>
        <w:t xml:space="preserve"> </w:t>
      </w:r>
      <w:r>
        <w:t>Review</w:t>
      </w:r>
      <w:r>
        <w:rPr>
          <w:spacing w:val="-3"/>
        </w:rPr>
        <w:t xml:space="preserve"> </w:t>
      </w:r>
      <w:r>
        <w:t>was</w:t>
      </w:r>
      <w:r>
        <w:rPr>
          <w:spacing w:val="-3"/>
        </w:rPr>
        <w:t xml:space="preserve"> </w:t>
      </w:r>
      <w:r>
        <w:t>announced</w:t>
      </w:r>
      <w:r>
        <w:rPr>
          <w:spacing w:val="-4"/>
        </w:rPr>
        <w:t xml:space="preserve"> </w:t>
      </w:r>
      <w:r>
        <w:t>26</w:t>
      </w:r>
      <w:r>
        <w:rPr>
          <w:spacing w:val="-2"/>
        </w:rPr>
        <w:t xml:space="preserve"> </w:t>
      </w:r>
      <w:r>
        <w:t>March</w:t>
      </w:r>
      <w:r>
        <w:rPr>
          <w:spacing w:val="-2"/>
        </w:rPr>
        <w:t xml:space="preserve"> </w:t>
      </w:r>
      <w:r>
        <w:t>2026</w:t>
      </w:r>
      <w:r>
        <w:rPr>
          <w:spacing w:val="-2"/>
        </w:rPr>
        <w:t xml:space="preserve"> </w:t>
      </w:r>
      <w:r>
        <w:t>by</w:t>
      </w:r>
      <w:r>
        <w:rPr>
          <w:spacing w:val="-5"/>
        </w:rPr>
        <w:t xml:space="preserve"> </w:t>
      </w:r>
      <w:r>
        <w:t>a</w:t>
      </w:r>
      <w:r>
        <w:rPr>
          <w:spacing w:val="-2"/>
        </w:rPr>
        <w:t xml:space="preserve"> </w:t>
      </w:r>
      <w:r>
        <w:t>Written Ministerial</w:t>
      </w:r>
      <w:r>
        <w:rPr>
          <w:spacing w:val="-2"/>
        </w:rPr>
        <w:t xml:space="preserve"> </w:t>
      </w:r>
      <w:r>
        <w:t>Statement</w:t>
      </w:r>
      <w:r>
        <w:rPr>
          <w:spacing w:val="-4"/>
        </w:rPr>
        <w:t xml:space="preserve"> </w:t>
      </w:r>
      <w:r>
        <w:t>by</w:t>
      </w:r>
      <w:r>
        <w:rPr>
          <w:spacing w:val="-2"/>
        </w:rPr>
        <w:t xml:space="preserve"> </w:t>
      </w:r>
      <w:r>
        <w:t>Luke</w:t>
      </w:r>
      <w:r>
        <w:rPr>
          <w:spacing w:val="-3"/>
        </w:rPr>
        <w:t xml:space="preserve"> </w:t>
      </w:r>
      <w:r>
        <w:t>Pollard</w:t>
      </w:r>
      <w:r>
        <w:rPr>
          <w:spacing w:val="-1"/>
        </w:rPr>
        <w:t xml:space="preserve"> </w:t>
      </w:r>
      <w:r>
        <w:t>MP</w:t>
      </w:r>
      <w:r>
        <w:rPr>
          <w:spacing w:val="-4"/>
        </w:rPr>
        <w:t xml:space="preserve"> </w:t>
      </w:r>
      <w:r>
        <w:t>(as</w:t>
      </w:r>
      <w:r>
        <w:rPr>
          <w:spacing w:val="-4"/>
        </w:rPr>
        <w:t xml:space="preserve"> </w:t>
      </w:r>
      <w:r>
        <w:t>Minister</w:t>
      </w:r>
      <w:r>
        <w:rPr>
          <w:spacing w:val="-3"/>
        </w:rPr>
        <w:t xml:space="preserve"> </w:t>
      </w:r>
      <w:r>
        <w:t>for</w:t>
      </w:r>
      <w:r>
        <w:rPr>
          <w:spacing w:val="-3"/>
        </w:rPr>
        <w:t xml:space="preserve"> </w:t>
      </w:r>
      <w:r>
        <w:t>Defence</w:t>
      </w:r>
      <w:r>
        <w:rPr>
          <w:spacing w:val="-1"/>
        </w:rPr>
        <w:t xml:space="preserve"> </w:t>
      </w:r>
      <w:r>
        <w:t>Readiness</w:t>
      </w:r>
      <w:r>
        <w:rPr>
          <w:spacing w:val="-2"/>
        </w:rPr>
        <w:t xml:space="preserve"> </w:t>
      </w:r>
      <w:r>
        <w:t>and Industry) which confirmed that over both phases, 884 decisions were overturned.</w:t>
      </w:r>
    </w:p>
    <w:p>
      <w:pPr>
        <w:pStyle w:val="BodyText"/>
      </w:pPr>
    </w:p>
    <w:p>
      <w:pPr>
        <w:pStyle w:val="BodyText"/>
        <w:spacing w:before="1"/>
        <w:ind w:right="404"/>
      </w:pPr>
      <w:r>
        <w:t>As noted in the Written Ministerial Statement, all those who have already had their applications reviewed under Phase 1 and 2 and have had a fresh decision made have either been contacted or will be contacted in due course. If an individual does not</w:t>
      </w:r>
      <w:r>
        <w:rPr>
          <w:spacing w:val="-5"/>
        </w:rPr>
        <w:t xml:space="preserve"> </w:t>
      </w:r>
      <w:r>
        <w:t>agree</w:t>
      </w:r>
      <w:r>
        <w:rPr>
          <w:spacing w:val="-4"/>
        </w:rPr>
        <w:t xml:space="preserve"> </w:t>
      </w:r>
      <w:r>
        <w:t>with</w:t>
      </w:r>
      <w:r>
        <w:rPr>
          <w:spacing w:val="-2"/>
        </w:rPr>
        <w:t xml:space="preserve"> </w:t>
      </w:r>
      <w:r>
        <w:t>the</w:t>
      </w:r>
      <w:r>
        <w:rPr>
          <w:spacing w:val="-4"/>
        </w:rPr>
        <w:t xml:space="preserve"> </w:t>
      </w:r>
      <w:r>
        <w:t>decision</w:t>
      </w:r>
      <w:r>
        <w:rPr>
          <w:spacing w:val="-2"/>
        </w:rPr>
        <w:t xml:space="preserve"> </w:t>
      </w:r>
      <w:r>
        <w:t>made</w:t>
      </w:r>
      <w:r>
        <w:rPr>
          <w:spacing w:val="-2"/>
        </w:rPr>
        <w:t xml:space="preserve"> </w:t>
      </w:r>
      <w:r>
        <w:t>on</w:t>
      </w:r>
      <w:r>
        <w:rPr>
          <w:spacing w:val="-2"/>
        </w:rPr>
        <w:t xml:space="preserve"> </w:t>
      </w:r>
      <w:r>
        <w:t>their</w:t>
      </w:r>
      <w:r>
        <w:rPr>
          <w:spacing w:val="-4"/>
        </w:rPr>
        <w:t xml:space="preserve"> </w:t>
      </w:r>
      <w:r>
        <w:t>application</w:t>
      </w:r>
      <w:r>
        <w:rPr>
          <w:spacing w:val="-2"/>
        </w:rPr>
        <w:t xml:space="preserve"> </w:t>
      </w:r>
      <w:r>
        <w:t>under</w:t>
      </w:r>
      <w:r>
        <w:rPr>
          <w:spacing w:val="-6"/>
        </w:rPr>
        <w:t xml:space="preserve"> </w:t>
      </w:r>
      <w:r>
        <w:t>the</w:t>
      </w:r>
      <w:r>
        <w:rPr>
          <w:spacing w:val="-4"/>
        </w:rPr>
        <w:t xml:space="preserve"> </w:t>
      </w:r>
      <w:r>
        <w:t>Triples</w:t>
      </w:r>
      <w:r>
        <w:rPr>
          <w:spacing w:val="-3"/>
        </w:rPr>
        <w:t xml:space="preserve"> </w:t>
      </w:r>
      <w:r>
        <w:t>Review,</w:t>
      </w:r>
      <w:r>
        <w:rPr>
          <w:spacing w:val="-2"/>
        </w:rPr>
        <w:t xml:space="preserve"> </w:t>
      </w:r>
      <w:r>
        <w:t>they are entitled to request a review of this decision, as with all ARAP applications.</w:t>
      </w:r>
    </w:p>
    <w:p>
      <w:pPr>
        <w:pStyle w:val="BodyText"/>
        <w:spacing w:before="276"/>
        <w:ind w:right="406"/>
      </w:pPr>
      <w:r>
        <w:t>Before</w:t>
      </w:r>
      <w:r>
        <w:rPr>
          <w:spacing w:val="-4"/>
        </w:rPr>
        <w:t xml:space="preserve"> </w:t>
      </w:r>
      <w:r>
        <w:t>concluding</w:t>
      </w:r>
      <w:r>
        <w:rPr>
          <w:spacing w:val="-4"/>
        </w:rPr>
        <w:t xml:space="preserve"> </w:t>
      </w:r>
      <w:r>
        <w:t>the</w:t>
      </w:r>
      <w:r>
        <w:rPr>
          <w:spacing w:val="-4"/>
        </w:rPr>
        <w:t xml:space="preserve"> </w:t>
      </w:r>
      <w:r>
        <w:t>Review,</w:t>
      </w:r>
      <w:r>
        <w:rPr>
          <w:spacing w:val="-2"/>
        </w:rPr>
        <w:t xml:space="preserve"> </w:t>
      </w:r>
      <w:r>
        <w:t>the</w:t>
      </w:r>
      <w:r>
        <w:rPr>
          <w:spacing w:val="-4"/>
        </w:rPr>
        <w:t xml:space="preserve"> </w:t>
      </w:r>
      <w:r>
        <w:t>MOD</w:t>
      </w:r>
      <w:r>
        <w:rPr>
          <w:spacing w:val="-4"/>
        </w:rPr>
        <w:t xml:space="preserve"> </w:t>
      </w:r>
      <w:r>
        <w:t>ensured</w:t>
      </w:r>
      <w:r>
        <w:rPr>
          <w:spacing w:val="-2"/>
        </w:rPr>
        <w:t xml:space="preserve"> </w:t>
      </w:r>
      <w:r>
        <w:t>that</w:t>
      </w:r>
      <w:r>
        <w:rPr>
          <w:spacing w:val="-5"/>
        </w:rPr>
        <w:t xml:space="preserve"> </w:t>
      </w:r>
      <w:r>
        <w:t>all</w:t>
      </w:r>
      <w:r>
        <w:rPr>
          <w:spacing w:val="-3"/>
        </w:rPr>
        <w:t xml:space="preserve"> </w:t>
      </w:r>
      <w:r>
        <w:t>available</w:t>
      </w:r>
      <w:r>
        <w:rPr>
          <w:spacing w:val="-2"/>
        </w:rPr>
        <w:t xml:space="preserve"> </w:t>
      </w:r>
      <w:r>
        <w:t>records</w:t>
      </w:r>
      <w:r>
        <w:rPr>
          <w:spacing w:val="-3"/>
        </w:rPr>
        <w:t xml:space="preserve"> </w:t>
      </w:r>
      <w:r>
        <w:t>that</w:t>
      </w:r>
      <w:r>
        <w:rPr>
          <w:spacing w:val="-2"/>
        </w:rPr>
        <w:t xml:space="preserve"> </w:t>
      </w:r>
      <w:r>
        <w:t>could inform eligibility decisions were fully analysed and understood. This has been a crucial step in keeping our commitments to Afghan partners and allies.</w:t>
      </w:r>
    </w:p>
    <w:p>
      <w:pPr>
        <w:pStyle w:val="BodyText"/>
      </w:pPr>
    </w:p>
    <w:p>
      <w:pPr>
        <w:pStyle w:val="Heading1"/>
        <w:rPr>
          <w:u w:val="none"/>
        </w:rPr>
      </w:pPr>
      <w:r>
        <w:rPr>
          <w:u w:val="single"/>
        </w:rPr>
        <w:t xml:space="preserve">Triples </w:t>
      </w:r>
      <w:r>
        <w:rPr>
          <w:spacing w:val="-2"/>
          <w:u w:val="single"/>
        </w:rPr>
        <w:t>Lessons</w:t>
      </w:r>
    </w:p>
    <w:p>
      <w:pPr>
        <w:pStyle w:val="BodyText"/>
        <w:rPr>
          <w:b/>
        </w:rPr>
      </w:pPr>
    </w:p>
    <w:p>
      <w:pPr>
        <w:pStyle w:val="BodyText"/>
        <w:ind w:right="419"/>
      </w:pPr>
      <w:r>
        <w:t>As</w:t>
      </w:r>
      <w:r>
        <w:rPr>
          <w:spacing w:val="-2"/>
        </w:rPr>
        <w:t xml:space="preserve"> </w:t>
      </w:r>
      <w:r>
        <w:t>set</w:t>
      </w:r>
      <w:r>
        <w:rPr>
          <w:spacing w:val="-4"/>
        </w:rPr>
        <w:t xml:space="preserve"> </w:t>
      </w:r>
      <w:r>
        <w:t>out</w:t>
      </w:r>
      <w:r>
        <w:rPr>
          <w:spacing w:val="-4"/>
        </w:rPr>
        <w:t xml:space="preserve"> </w:t>
      </w:r>
      <w:r>
        <w:t>in</w:t>
      </w:r>
      <w:r>
        <w:rPr>
          <w:spacing w:val="-1"/>
        </w:rPr>
        <w:t xml:space="preserve"> </w:t>
      </w:r>
      <w:r>
        <w:t>the</w:t>
      </w:r>
      <w:r>
        <w:rPr>
          <w:spacing w:val="-3"/>
        </w:rPr>
        <w:t xml:space="preserve"> </w:t>
      </w:r>
      <w:r>
        <w:t>Written</w:t>
      </w:r>
      <w:r>
        <w:rPr>
          <w:spacing w:val="-1"/>
        </w:rPr>
        <w:t xml:space="preserve"> </w:t>
      </w:r>
      <w:r>
        <w:t>Ministerial</w:t>
      </w:r>
      <w:r>
        <w:rPr>
          <w:spacing w:val="-2"/>
        </w:rPr>
        <w:t xml:space="preserve"> </w:t>
      </w:r>
      <w:r>
        <w:t>Statement</w:t>
      </w:r>
      <w:r>
        <w:rPr>
          <w:spacing w:val="-4"/>
        </w:rPr>
        <w:t xml:space="preserve"> </w:t>
      </w:r>
      <w:r>
        <w:t>on</w:t>
      </w:r>
      <w:r>
        <w:rPr>
          <w:spacing w:val="-4"/>
        </w:rPr>
        <w:t xml:space="preserve"> </w:t>
      </w:r>
      <w:r>
        <w:t>26</w:t>
      </w:r>
      <w:r>
        <w:rPr>
          <w:spacing w:val="-1"/>
        </w:rPr>
        <w:t xml:space="preserve"> </w:t>
      </w:r>
      <w:r>
        <w:t>March</w:t>
      </w:r>
      <w:r>
        <w:rPr>
          <w:spacing w:val="-3"/>
        </w:rPr>
        <w:t xml:space="preserve"> </w:t>
      </w:r>
      <w:r>
        <w:t>2026,</w:t>
      </w:r>
      <w:r>
        <w:rPr>
          <w:spacing w:val="-4"/>
        </w:rPr>
        <w:t xml:space="preserve"> </w:t>
      </w:r>
      <w:r>
        <w:t>the</w:t>
      </w:r>
      <w:r>
        <w:rPr>
          <w:spacing w:val="-1"/>
        </w:rPr>
        <w:t xml:space="preserve"> </w:t>
      </w:r>
      <w:r>
        <w:t>Triples</w:t>
      </w:r>
      <w:r>
        <w:rPr>
          <w:spacing w:val="-2"/>
        </w:rPr>
        <w:t xml:space="preserve"> </w:t>
      </w:r>
      <w:r>
        <w:t>Review has led to improvements in the ARAP casework function, and the MOD have put in place additional resourcing and new processes to continue to drive those improvements.</w:t>
      </w:r>
      <w:r>
        <w:rPr>
          <w:spacing w:val="-4"/>
        </w:rPr>
        <w:t xml:space="preserve"> </w:t>
      </w:r>
      <w:r>
        <w:t>Enhanced</w:t>
      </w:r>
      <w:r>
        <w:rPr>
          <w:spacing w:val="-2"/>
        </w:rPr>
        <w:t xml:space="preserve"> </w:t>
      </w:r>
      <w:r>
        <w:t>training</w:t>
      </w:r>
      <w:r>
        <w:rPr>
          <w:spacing w:val="-2"/>
        </w:rPr>
        <w:t xml:space="preserve"> </w:t>
      </w:r>
      <w:r>
        <w:t>is</w:t>
      </w:r>
      <w:r>
        <w:rPr>
          <w:spacing w:val="-4"/>
        </w:rPr>
        <w:t xml:space="preserve"> </w:t>
      </w:r>
      <w:r>
        <w:t>now</w:t>
      </w:r>
      <w:r>
        <w:rPr>
          <w:spacing w:val="-2"/>
        </w:rPr>
        <w:t xml:space="preserve"> </w:t>
      </w:r>
      <w:r>
        <w:t>in</w:t>
      </w:r>
      <w:r>
        <w:rPr>
          <w:spacing w:val="-3"/>
        </w:rPr>
        <w:t xml:space="preserve"> </w:t>
      </w:r>
      <w:r>
        <w:t>place</w:t>
      </w:r>
      <w:r>
        <w:rPr>
          <w:spacing w:val="-2"/>
        </w:rPr>
        <w:t xml:space="preserve"> </w:t>
      </w:r>
      <w:r>
        <w:t>within</w:t>
      </w:r>
      <w:r>
        <w:rPr>
          <w:spacing w:val="-3"/>
        </w:rPr>
        <w:t xml:space="preserve"> </w:t>
      </w:r>
      <w:r>
        <w:t>the</w:t>
      </w:r>
      <w:r>
        <w:rPr>
          <w:spacing w:val="-3"/>
        </w:rPr>
        <w:t xml:space="preserve"> </w:t>
      </w:r>
      <w:r>
        <w:t>ARAP</w:t>
      </w:r>
      <w:r>
        <w:rPr>
          <w:spacing w:val="-4"/>
        </w:rPr>
        <w:t xml:space="preserve"> </w:t>
      </w:r>
      <w:r>
        <w:t>casework</w:t>
      </w:r>
      <w:r>
        <w:rPr>
          <w:spacing w:val="-2"/>
        </w:rPr>
        <w:t xml:space="preserve"> </w:t>
      </w:r>
      <w:r>
        <w:t>team</w:t>
      </w:r>
      <w:r>
        <w:rPr>
          <w:spacing w:val="-3"/>
        </w:rPr>
        <w:t xml:space="preserve"> </w:t>
      </w:r>
      <w:r>
        <w:t>to better identify organisations who may hold relevant records – and guidance has been amended to reflect this.</w:t>
      </w:r>
    </w:p>
    <w:p>
      <w:pPr>
        <w:pStyle w:val="BodyText"/>
      </w:pPr>
    </w:p>
    <w:p>
      <w:pPr>
        <w:pStyle w:val="BodyText"/>
        <w:ind w:right="406"/>
      </w:pPr>
      <w:r>
        <w:t>The MOD is investing in both the systems and the people to improve our digital records</w:t>
      </w:r>
      <w:r>
        <w:rPr>
          <w:spacing w:val="-2"/>
        </w:rPr>
        <w:t xml:space="preserve"> </w:t>
      </w:r>
      <w:r>
        <w:t>management</w:t>
      </w:r>
      <w:r>
        <w:rPr>
          <w:spacing w:val="-4"/>
        </w:rPr>
        <w:t xml:space="preserve"> </w:t>
      </w:r>
      <w:r>
        <w:t>now</w:t>
      </w:r>
      <w:r>
        <w:rPr>
          <w:spacing w:val="-2"/>
        </w:rPr>
        <w:t xml:space="preserve"> </w:t>
      </w:r>
      <w:r>
        <w:t>and</w:t>
      </w:r>
      <w:r>
        <w:rPr>
          <w:spacing w:val="-1"/>
        </w:rPr>
        <w:t xml:space="preserve"> </w:t>
      </w:r>
      <w:r>
        <w:t>in</w:t>
      </w:r>
      <w:r>
        <w:rPr>
          <w:spacing w:val="-3"/>
        </w:rPr>
        <w:t xml:space="preserve"> </w:t>
      </w:r>
      <w:r>
        <w:t>the</w:t>
      </w:r>
      <w:r>
        <w:rPr>
          <w:spacing w:val="-3"/>
        </w:rPr>
        <w:t xml:space="preserve"> </w:t>
      </w:r>
      <w:r>
        <w:t>future,</w:t>
      </w:r>
      <w:r>
        <w:rPr>
          <w:spacing w:val="-4"/>
        </w:rPr>
        <w:t xml:space="preserve"> </w:t>
      </w:r>
      <w:r>
        <w:t>as</w:t>
      </w:r>
      <w:r>
        <w:rPr>
          <w:spacing w:val="-2"/>
        </w:rPr>
        <w:t xml:space="preserve"> </w:t>
      </w:r>
      <w:r>
        <w:t>well</w:t>
      </w:r>
      <w:r>
        <w:rPr>
          <w:spacing w:val="-2"/>
        </w:rPr>
        <w:t xml:space="preserve"> </w:t>
      </w:r>
      <w:r>
        <w:t>as</w:t>
      </w:r>
      <w:r>
        <w:rPr>
          <w:spacing w:val="-2"/>
        </w:rPr>
        <w:t xml:space="preserve"> </w:t>
      </w:r>
      <w:r>
        <w:t>enhancing</w:t>
      </w:r>
      <w:r>
        <w:rPr>
          <w:spacing w:val="-1"/>
        </w:rPr>
        <w:t xml:space="preserve"> </w:t>
      </w:r>
      <w:r>
        <w:t>our</w:t>
      </w:r>
      <w:r>
        <w:rPr>
          <w:spacing w:val="-3"/>
        </w:rPr>
        <w:t xml:space="preserve"> </w:t>
      </w:r>
      <w:r>
        <w:t>capability</w:t>
      </w:r>
      <w:r>
        <w:rPr>
          <w:spacing w:val="-2"/>
        </w:rPr>
        <w:t xml:space="preserve"> </w:t>
      </w:r>
      <w:r>
        <w:t>and approach in interrogating legacy data sets. In coordination with the</w:t>
      </w:r>
    </w:p>
    <w:p>
      <w:pPr>
        <w:pStyle w:val="BodyText"/>
        <w:spacing w:after="0"/>
        <w:sectPr>
          <w:pgSz w:w="11910" w:h="16840"/>
          <w:pgMar w:top="1340" w:right="1080" w:bottom="280" w:left="1440" w:header="276" w:footer="0"/>
          <w:cols w:space="720"/>
        </w:sectPr>
      </w:pPr>
    </w:p>
    <w:p>
      <w:pPr>
        <w:pStyle w:val="BodyText"/>
        <w:spacing w:before="82"/>
        <w:ind w:right="548"/>
      </w:pPr>
      <w:r>
        <w:t>recommendations made in the McIvor Review into Data Protection Compliance within</w:t>
      </w:r>
      <w:r>
        <w:rPr>
          <w:spacing w:val="-2"/>
        </w:rPr>
        <w:t xml:space="preserve"> </w:t>
      </w:r>
      <w:r>
        <w:t>the</w:t>
      </w:r>
      <w:r>
        <w:rPr>
          <w:spacing w:val="-2"/>
        </w:rPr>
        <w:t xml:space="preserve"> </w:t>
      </w:r>
      <w:r>
        <w:t>MOD,</w:t>
      </w:r>
      <w:r>
        <w:rPr>
          <w:spacing w:val="-2"/>
        </w:rPr>
        <w:t xml:space="preserve"> </w:t>
      </w:r>
      <w:r>
        <w:t>we</w:t>
      </w:r>
      <w:r>
        <w:rPr>
          <w:spacing w:val="-4"/>
        </w:rPr>
        <w:t xml:space="preserve"> </w:t>
      </w:r>
      <w:r>
        <w:t>have</w:t>
      </w:r>
      <w:r>
        <w:rPr>
          <w:spacing w:val="-2"/>
        </w:rPr>
        <w:t xml:space="preserve"> </w:t>
      </w:r>
      <w:r>
        <w:t>also</w:t>
      </w:r>
      <w:r>
        <w:rPr>
          <w:spacing w:val="-4"/>
        </w:rPr>
        <w:t xml:space="preserve"> </w:t>
      </w:r>
      <w:r>
        <w:t>been</w:t>
      </w:r>
      <w:r>
        <w:rPr>
          <w:spacing w:val="-2"/>
        </w:rPr>
        <w:t xml:space="preserve"> </w:t>
      </w:r>
      <w:r>
        <w:t>implementing</w:t>
      </w:r>
      <w:r>
        <w:rPr>
          <w:spacing w:val="-4"/>
        </w:rPr>
        <w:t xml:space="preserve"> </w:t>
      </w:r>
      <w:r>
        <w:t>a</w:t>
      </w:r>
      <w:r>
        <w:rPr>
          <w:spacing w:val="-2"/>
        </w:rPr>
        <w:t xml:space="preserve"> </w:t>
      </w:r>
      <w:r>
        <w:t>Digital</w:t>
      </w:r>
      <w:r>
        <w:rPr>
          <w:spacing w:val="-3"/>
        </w:rPr>
        <w:t xml:space="preserve"> </w:t>
      </w:r>
      <w:r>
        <w:t>Records</w:t>
      </w:r>
      <w:r>
        <w:rPr>
          <w:spacing w:val="-5"/>
        </w:rPr>
        <w:t xml:space="preserve"> </w:t>
      </w:r>
      <w:r>
        <w:t>Management Plan across the Department.</w:t>
      </w:r>
    </w:p>
    <w:p>
      <w:pPr>
        <w:pStyle w:val="BodyText"/>
      </w:pPr>
    </w:p>
    <w:p>
      <w:pPr>
        <w:pStyle w:val="BodyText"/>
        <w:ind w:left="-1" w:right="406"/>
      </w:pPr>
      <w:r>
        <w:t>The MOD, including all organisations that operate within it, has and continues to learn</w:t>
      </w:r>
      <w:r>
        <w:rPr>
          <w:spacing w:val="-3"/>
        </w:rPr>
        <w:t xml:space="preserve"> </w:t>
      </w:r>
      <w:r>
        <w:t>and</w:t>
      </w:r>
      <w:r>
        <w:rPr>
          <w:spacing w:val="-3"/>
        </w:rPr>
        <w:t xml:space="preserve"> </w:t>
      </w:r>
      <w:r>
        <w:t>implement</w:t>
      </w:r>
      <w:r>
        <w:rPr>
          <w:spacing w:val="-3"/>
        </w:rPr>
        <w:t xml:space="preserve"> </w:t>
      </w:r>
      <w:r>
        <w:t>lessons</w:t>
      </w:r>
      <w:r>
        <w:rPr>
          <w:spacing w:val="-4"/>
        </w:rPr>
        <w:t xml:space="preserve"> </w:t>
      </w:r>
      <w:r>
        <w:t>on</w:t>
      </w:r>
      <w:r>
        <w:rPr>
          <w:spacing w:val="-3"/>
        </w:rPr>
        <w:t xml:space="preserve"> </w:t>
      </w:r>
      <w:r>
        <w:t>operational</w:t>
      </w:r>
      <w:r>
        <w:rPr>
          <w:spacing w:val="-4"/>
        </w:rPr>
        <w:t xml:space="preserve"> </w:t>
      </w:r>
      <w:r>
        <w:t>record</w:t>
      </w:r>
      <w:r>
        <w:rPr>
          <w:spacing w:val="-3"/>
        </w:rPr>
        <w:t xml:space="preserve"> </w:t>
      </w:r>
      <w:r>
        <w:t>keeping.</w:t>
      </w:r>
      <w:r>
        <w:rPr>
          <w:spacing w:val="-3"/>
        </w:rPr>
        <w:t xml:space="preserve"> </w:t>
      </w:r>
      <w:r>
        <w:t>It</w:t>
      </w:r>
      <w:r>
        <w:rPr>
          <w:spacing w:val="-3"/>
        </w:rPr>
        <w:t xml:space="preserve"> </w:t>
      </w:r>
      <w:r>
        <w:t>is</w:t>
      </w:r>
      <w:r>
        <w:rPr>
          <w:spacing w:val="-4"/>
        </w:rPr>
        <w:t xml:space="preserve"> </w:t>
      </w:r>
      <w:r>
        <w:t>recognised</w:t>
      </w:r>
      <w:r>
        <w:rPr>
          <w:spacing w:val="-3"/>
        </w:rPr>
        <w:t xml:space="preserve"> </w:t>
      </w:r>
      <w:r>
        <w:t>across the entire Department that the lessons-learned processes relating to operational record keeping are a live and continuously evolving activity, undertaken on an ongoing basis to improve ways in which data and records are logged, stored, handled and shared. That includes the introduction of new Operational Record Keeping systems for data capture and management. This process will continue to evolve, including through capturing and implementing lessons from the broader Independent Inquiry related to Afghanistan.</w:t>
      </w:r>
    </w:p>
    <w:p>
      <w:pPr>
        <w:pStyle w:val="BodyText"/>
      </w:pPr>
    </w:p>
    <w:p>
      <w:pPr>
        <w:pStyle w:val="Heading1"/>
        <w:rPr>
          <w:u w:val="none"/>
        </w:rPr>
      </w:pPr>
      <w:r>
        <w:rPr>
          <w:spacing w:val="-4"/>
          <w:u w:val="single"/>
        </w:rPr>
        <w:t>TPL1</w:t>
      </w:r>
    </w:p>
    <w:p>
      <w:pPr>
        <w:pStyle w:val="BodyText"/>
        <w:rPr>
          <w:b/>
        </w:rPr>
      </w:pPr>
    </w:p>
    <w:p>
      <w:pPr>
        <w:pStyle w:val="BodyText"/>
      </w:pPr>
      <w:r>
        <w:t>TPL1</w:t>
      </w:r>
      <w:r>
        <w:rPr>
          <w:spacing w:val="-2"/>
        </w:rPr>
        <w:t xml:space="preserve"> </w:t>
      </w:r>
      <w:r>
        <w:t>was</w:t>
      </w:r>
      <w:r>
        <w:rPr>
          <w:spacing w:val="-5"/>
        </w:rPr>
        <w:t xml:space="preserve"> </w:t>
      </w:r>
      <w:r>
        <w:t>a</w:t>
      </w:r>
      <w:r>
        <w:rPr>
          <w:spacing w:val="-2"/>
        </w:rPr>
        <w:t xml:space="preserve"> </w:t>
      </w:r>
      <w:r>
        <w:t>Judicial</w:t>
      </w:r>
      <w:r>
        <w:rPr>
          <w:spacing w:val="-3"/>
        </w:rPr>
        <w:t xml:space="preserve"> </w:t>
      </w:r>
      <w:r>
        <w:t>Review</w:t>
      </w:r>
      <w:r>
        <w:rPr>
          <w:spacing w:val="-3"/>
        </w:rPr>
        <w:t xml:space="preserve"> </w:t>
      </w:r>
      <w:r>
        <w:t>challenge</w:t>
      </w:r>
      <w:r>
        <w:rPr>
          <w:spacing w:val="-4"/>
        </w:rPr>
        <w:t xml:space="preserve"> </w:t>
      </w:r>
      <w:r>
        <w:t>brought</w:t>
      </w:r>
      <w:r>
        <w:rPr>
          <w:spacing w:val="-2"/>
        </w:rPr>
        <w:t xml:space="preserve"> </w:t>
      </w:r>
      <w:r>
        <w:t>against</w:t>
      </w:r>
      <w:r>
        <w:rPr>
          <w:spacing w:val="-5"/>
        </w:rPr>
        <w:t xml:space="preserve"> </w:t>
      </w:r>
      <w:r>
        <w:t>the</w:t>
      </w:r>
      <w:r>
        <w:rPr>
          <w:spacing w:val="-2"/>
        </w:rPr>
        <w:t xml:space="preserve"> </w:t>
      </w:r>
      <w:r>
        <w:t>MOD</w:t>
      </w:r>
      <w:r>
        <w:rPr>
          <w:spacing w:val="-3"/>
        </w:rPr>
        <w:t xml:space="preserve"> </w:t>
      </w:r>
      <w:r>
        <w:t>by</w:t>
      </w:r>
      <w:r>
        <w:rPr>
          <w:spacing w:val="-5"/>
        </w:rPr>
        <w:t xml:space="preserve"> </w:t>
      </w:r>
      <w:r>
        <w:t>a</w:t>
      </w:r>
      <w:r>
        <w:rPr>
          <w:spacing w:val="-2"/>
        </w:rPr>
        <w:t xml:space="preserve"> </w:t>
      </w:r>
      <w:r>
        <w:t>former</w:t>
      </w:r>
      <w:r>
        <w:rPr>
          <w:spacing w:val="-4"/>
        </w:rPr>
        <w:t xml:space="preserve"> </w:t>
      </w:r>
      <w:r>
        <w:t>Triple raising grounds of challenge relating to the lawfulness of the Triples Review.</w:t>
      </w:r>
    </w:p>
    <w:p>
      <w:pPr>
        <w:pStyle w:val="BodyText"/>
      </w:pPr>
    </w:p>
    <w:p>
      <w:pPr>
        <w:pStyle w:val="BodyText"/>
        <w:ind w:right="390"/>
      </w:pPr>
      <w:r>
        <w:t>A judgment was handed down on 8 July 2025 and is publicly available. This judgment directed that the Defence Secretary publish two documents, which can be found on GOV.UK. The documents provide information on the scope of the Triples Review and the guidance used by</w:t>
      </w:r>
      <w:r>
        <w:rPr>
          <w:spacing w:val="-1"/>
        </w:rPr>
        <w:t xml:space="preserve"> </w:t>
      </w:r>
      <w:r>
        <w:t>caseworkers when assessing applicants – both of which</w:t>
      </w:r>
      <w:r>
        <w:rPr>
          <w:spacing w:val="-2"/>
        </w:rPr>
        <w:t xml:space="preserve"> </w:t>
      </w:r>
      <w:r>
        <w:t>have</w:t>
      </w:r>
      <w:r>
        <w:rPr>
          <w:spacing w:val="-2"/>
        </w:rPr>
        <w:t xml:space="preserve"> </w:t>
      </w:r>
      <w:r>
        <w:t>provided</w:t>
      </w:r>
      <w:r>
        <w:rPr>
          <w:spacing w:val="-4"/>
        </w:rPr>
        <w:t xml:space="preserve"> </w:t>
      </w:r>
      <w:r>
        <w:t>greater</w:t>
      </w:r>
      <w:r>
        <w:rPr>
          <w:spacing w:val="-4"/>
        </w:rPr>
        <w:t xml:space="preserve"> </w:t>
      </w:r>
      <w:r>
        <w:t>transparency</w:t>
      </w:r>
      <w:r>
        <w:rPr>
          <w:spacing w:val="-3"/>
        </w:rPr>
        <w:t xml:space="preserve"> </w:t>
      </w:r>
      <w:r>
        <w:t>on</w:t>
      </w:r>
      <w:r>
        <w:rPr>
          <w:spacing w:val="-5"/>
        </w:rPr>
        <w:t xml:space="preserve"> </w:t>
      </w:r>
      <w:r>
        <w:t>the</w:t>
      </w:r>
      <w:r>
        <w:rPr>
          <w:spacing w:val="-2"/>
        </w:rPr>
        <w:t xml:space="preserve"> </w:t>
      </w:r>
      <w:r>
        <w:t>Review</w:t>
      </w:r>
      <w:r>
        <w:rPr>
          <w:spacing w:val="-3"/>
        </w:rPr>
        <w:t xml:space="preserve"> </w:t>
      </w:r>
      <w:r>
        <w:t>and</w:t>
      </w:r>
      <w:r>
        <w:rPr>
          <w:spacing w:val="-2"/>
        </w:rPr>
        <w:t xml:space="preserve"> </w:t>
      </w:r>
      <w:r>
        <w:t>the</w:t>
      </w:r>
      <w:r>
        <w:rPr>
          <w:spacing w:val="-4"/>
        </w:rPr>
        <w:t xml:space="preserve"> </w:t>
      </w:r>
      <w:r>
        <w:t>ARAP</w:t>
      </w:r>
      <w:r>
        <w:rPr>
          <w:spacing w:val="-2"/>
        </w:rPr>
        <w:t xml:space="preserve"> </w:t>
      </w:r>
      <w:r>
        <w:t xml:space="preserve">assessment </w:t>
      </w:r>
      <w:r>
        <w:rPr>
          <w:spacing w:val="-2"/>
        </w:rPr>
        <w:t>criteria.</w:t>
      </w:r>
    </w:p>
    <w:p>
      <w:pPr>
        <w:pStyle w:val="BodyText"/>
      </w:pPr>
    </w:p>
    <w:p>
      <w:pPr>
        <w:pStyle w:val="BodyText"/>
        <w:ind w:right="404"/>
      </w:pPr>
      <w:r>
        <w:t>The grounds of challenge raised by the claimant narrowed considerably before the time of the final hearing to focus on whether the Secretary of Defence had acted unlawfully</w:t>
      </w:r>
      <w:r>
        <w:rPr>
          <w:spacing w:val="-2"/>
        </w:rPr>
        <w:t xml:space="preserve"> </w:t>
      </w:r>
      <w:r>
        <w:t>by</w:t>
      </w:r>
      <w:r>
        <w:rPr>
          <w:spacing w:val="-4"/>
        </w:rPr>
        <w:t xml:space="preserve"> </w:t>
      </w:r>
      <w:r>
        <w:t>failing</w:t>
      </w:r>
      <w:r>
        <w:rPr>
          <w:spacing w:val="-3"/>
        </w:rPr>
        <w:t xml:space="preserve"> </w:t>
      </w:r>
      <w:r>
        <w:t>to</w:t>
      </w:r>
      <w:r>
        <w:rPr>
          <w:spacing w:val="-3"/>
        </w:rPr>
        <w:t xml:space="preserve"> </w:t>
      </w:r>
      <w:r>
        <w:t>publish</w:t>
      </w:r>
      <w:r>
        <w:rPr>
          <w:spacing w:val="-3"/>
        </w:rPr>
        <w:t xml:space="preserve"> </w:t>
      </w:r>
      <w:r>
        <w:t>a</w:t>
      </w:r>
      <w:r>
        <w:rPr>
          <w:spacing w:val="-1"/>
        </w:rPr>
        <w:t xml:space="preserve"> </w:t>
      </w:r>
      <w:r>
        <w:t>full</w:t>
      </w:r>
      <w:r>
        <w:rPr>
          <w:spacing w:val="-5"/>
        </w:rPr>
        <w:t xml:space="preserve"> </w:t>
      </w:r>
      <w:r>
        <w:t>explanation</w:t>
      </w:r>
      <w:r>
        <w:rPr>
          <w:spacing w:val="-1"/>
        </w:rPr>
        <w:t xml:space="preserve"> </w:t>
      </w:r>
      <w:r>
        <w:t>of</w:t>
      </w:r>
      <w:r>
        <w:rPr>
          <w:spacing w:val="-1"/>
        </w:rPr>
        <w:t xml:space="preserve"> </w:t>
      </w:r>
      <w:r>
        <w:t>the</w:t>
      </w:r>
      <w:r>
        <w:rPr>
          <w:spacing w:val="-1"/>
        </w:rPr>
        <w:t xml:space="preserve"> </w:t>
      </w:r>
      <w:r>
        <w:t>scope</w:t>
      </w:r>
      <w:r>
        <w:rPr>
          <w:spacing w:val="-3"/>
        </w:rPr>
        <w:t xml:space="preserve"> </w:t>
      </w:r>
      <w:r>
        <w:t>of</w:t>
      </w:r>
      <w:r>
        <w:rPr>
          <w:spacing w:val="-1"/>
        </w:rPr>
        <w:t xml:space="preserve"> </w:t>
      </w:r>
      <w:r>
        <w:t>the</w:t>
      </w:r>
      <w:r>
        <w:rPr>
          <w:spacing w:val="-3"/>
        </w:rPr>
        <w:t xml:space="preserve"> </w:t>
      </w:r>
      <w:r>
        <w:t>Review</w:t>
      </w:r>
      <w:r>
        <w:rPr>
          <w:spacing w:val="-2"/>
        </w:rPr>
        <w:t xml:space="preserve"> </w:t>
      </w:r>
      <w:r>
        <w:t>and</w:t>
      </w:r>
      <w:r>
        <w:rPr>
          <w:spacing w:val="-3"/>
        </w:rPr>
        <w:t xml:space="preserve"> </w:t>
      </w:r>
      <w:r>
        <w:t>the Caseworker Guidance used to assess the applications.</w:t>
      </w:r>
    </w:p>
    <w:p>
      <w:pPr>
        <w:pStyle w:val="BodyText"/>
      </w:pPr>
    </w:p>
    <w:p>
      <w:pPr>
        <w:pStyle w:val="BodyText"/>
        <w:spacing w:before="1"/>
        <w:ind w:right="406"/>
      </w:pPr>
      <w:r>
        <w:t>At an earlier point during the litigation the claimant raised a challenge relating to UKSF</w:t>
      </w:r>
      <w:r>
        <w:rPr>
          <w:spacing w:val="-2"/>
        </w:rPr>
        <w:t xml:space="preserve"> </w:t>
      </w:r>
      <w:r>
        <w:t>bias</w:t>
      </w:r>
      <w:r>
        <w:rPr>
          <w:spacing w:val="-4"/>
        </w:rPr>
        <w:t xml:space="preserve"> </w:t>
      </w:r>
      <w:r>
        <w:t>and</w:t>
      </w:r>
      <w:r>
        <w:rPr>
          <w:spacing w:val="-3"/>
        </w:rPr>
        <w:t xml:space="preserve"> </w:t>
      </w:r>
      <w:r>
        <w:t>raised</w:t>
      </w:r>
      <w:r>
        <w:rPr>
          <w:spacing w:val="-3"/>
        </w:rPr>
        <w:t xml:space="preserve"> </w:t>
      </w:r>
      <w:r>
        <w:t>the</w:t>
      </w:r>
      <w:r>
        <w:rPr>
          <w:spacing w:val="-1"/>
        </w:rPr>
        <w:t xml:space="preserve"> </w:t>
      </w:r>
      <w:r>
        <w:t>issue</w:t>
      </w:r>
      <w:r>
        <w:rPr>
          <w:spacing w:val="-1"/>
        </w:rPr>
        <w:t xml:space="preserve"> </w:t>
      </w:r>
      <w:r>
        <w:t>of</w:t>
      </w:r>
      <w:r>
        <w:rPr>
          <w:spacing w:val="-1"/>
        </w:rPr>
        <w:t xml:space="preserve"> </w:t>
      </w:r>
      <w:r>
        <w:t>a</w:t>
      </w:r>
      <w:r>
        <w:rPr>
          <w:spacing w:val="-1"/>
        </w:rPr>
        <w:t xml:space="preserve"> </w:t>
      </w:r>
      <w:r>
        <w:t>'veto'</w:t>
      </w:r>
      <w:r>
        <w:rPr>
          <w:spacing w:val="-5"/>
        </w:rPr>
        <w:t xml:space="preserve"> </w:t>
      </w:r>
      <w:r>
        <w:t>being</w:t>
      </w:r>
      <w:r>
        <w:rPr>
          <w:spacing w:val="-1"/>
        </w:rPr>
        <w:t xml:space="preserve"> </w:t>
      </w:r>
      <w:r>
        <w:t>used</w:t>
      </w:r>
      <w:r>
        <w:rPr>
          <w:spacing w:val="-3"/>
        </w:rPr>
        <w:t xml:space="preserve"> </w:t>
      </w:r>
      <w:r>
        <w:t>to</w:t>
      </w:r>
      <w:r>
        <w:rPr>
          <w:spacing w:val="-3"/>
        </w:rPr>
        <w:t xml:space="preserve"> </w:t>
      </w:r>
      <w:r>
        <w:t>block</w:t>
      </w:r>
      <w:r>
        <w:rPr>
          <w:spacing w:val="-2"/>
        </w:rPr>
        <w:t xml:space="preserve"> </w:t>
      </w:r>
      <w:r>
        <w:t>any</w:t>
      </w:r>
      <w:r>
        <w:rPr>
          <w:spacing w:val="-2"/>
        </w:rPr>
        <w:t xml:space="preserve"> </w:t>
      </w:r>
      <w:r>
        <w:t>application,</w:t>
      </w:r>
      <w:r>
        <w:rPr>
          <w:spacing w:val="-1"/>
        </w:rPr>
        <w:t xml:space="preserve"> </w:t>
      </w:r>
      <w:r>
        <w:t xml:space="preserve">and that a blanket refusal policy was applied to members of the Triples, drawing a link with matters being investigated by the Independent Inquiry relating to Afghanistan. The Claimant did not maintain this element of the challenge by the time of the final </w:t>
      </w:r>
      <w:r>
        <w:rPr>
          <w:spacing w:val="-2"/>
        </w:rPr>
        <w:t>hearing.</w:t>
      </w:r>
    </w:p>
    <w:p>
      <w:pPr>
        <w:pStyle w:val="BodyText"/>
      </w:pPr>
    </w:p>
    <w:p>
      <w:pPr>
        <w:pStyle w:val="BodyText"/>
        <w:ind w:right="361"/>
      </w:pPr>
      <w:r>
        <w:t>The</w:t>
      </w:r>
      <w:r>
        <w:rPr>
          <w:spacing w:val="-1"/>
        </w:rPr>
        <w:t xml:space="preserve"> </w:t>
      </w:r>
      <w:r>
        <w:t>judgment</w:t>
      </w:r>
      <w:r>
        <w:rPr>
          <w:spacing w:val="-3"/>
        </w:rPr>
        <w:t xml:space="preserve"> </w:t>
      </w:r>
      <w:r>
        <w:t>found</w:t>
      </w:r>
      <w:r>
        <w:rPr>
          <w:spacing w:val="-2"/>
        </w:rPr>
        <w:t xml:space="preserve"> </w:t>
      </w:r>
      <w:r>
        <w:t>that</w:t>
      </w:r>
      <w:r>
        <w:rPr>
          <w:spacing w:val="-1"/>
        </w:rPr>
        <w:t xml:space="preserve"> </w:t>
      </w:r>
      <w:r>
        <w:t>there</w:t>
      </w:r>
      <w:r>
        <w:rPr>
          <w:spacing w:val="-1"/>
        </w:rPr>
        <w:t xml:space="preserve"> </w:t>
      </w:r>
      <w:r>
        <w:t>was</w:t>
      </w:r>
      <w:r>
        <w:rPr>
          <w:spacing w:val="-3"/>
        </w:rPr>
        <w:t xml:space="preserve"> </w:t>
      </w:r>
      <w:r>
        <w:t>no</w:t>
      </w:r>
      <w:r>
        <w:rPr>
          <w:spacing w:val="-2"/>
        </w:rPr>
        <w:t xml:space="preserve"> </w:t>
      </w:r>
      <w:r>
        <w:t>evidence</w:t>
      </w:r>
      <w:r>
        <w:rPr>
          <w:spacing w:val="-1"/>
        </w:rPr>
        <w:t xml:space="preserve"> </w:t>
      </w:r>
      <w:r>
        <w:t>of</w:t>
      </w:r>
      <w:r>
        <w:rPr>
          <w:spacing w:val="-3"/>
        </w:rPr>
        <w:t xml:space="preserve"> </w:t>
      </w:r>
      <w:r>
        <w:t>a</w:t>
      </w:r>
      <w:r>
        <w:rPr>
          <w:spacing w:val="-1"/>
        </w:rPr>
        <w:t xml:space="preserve"> </w:t>
      </w:r>
      <w:r>
        <w:t>formal</w:t>
      </w:r>
      <w:r>
        <w:rPr>
          <w:spacing w:val="-2"/>
        </w:rPr>
        <w:t xml:space="preserve"> </w:t>
      </w:r>
      <w:r>
        <w:t>‘veto’</w:t>
      </w:r>
      <w:r>
        <w:rPr>
          <w:spacing w:val="-2"/>
        </w:rPr>
        <w:t xml:space="preserve"> </w:t>
      </w:r>
      <w:r>
        <w:t>given</w:t>
      </w:r>
      <w:r>
        <w:rPr>
          <w:spacing w:val="-1"/>
        </w:rPr>
        <w:t xml:space="preserve"> </w:t>
      </w:r>
      <w:r>
        <w:t>to</w:t>
      </w:r>
      <w:r>
        <w:rPr>
          <w:spacing w:val="-1"/>
        </w:rPr>
        <w:t xml:space="preserve"> </w:t>
      </w:r>
      <w:r>
        <w:t>individuals on</w:t>
      </w:r>
      <w:r>
        <w:rPr>
          <w:spacing w:val="-1"/>
        </w:rPr>
        <w:t xml:space="preserve"> </w:t>
      </w:r>
      <w:r>
        <w:t>decisions</w:t>
      </w:r>
      <w:r>
        <w:rPr>
          <w:spacing w:val="-4"/>
        </w:rPr>
        <w:t xml:space="preserve"> </w:t>
      </w:r>
      <w:r>
        <w:t>about</w:t>
      </w:r>
      <w:r>
        <w:rPr>
          <w:spacing w:val="-4"/>
        </w:rPr>
        <w:t xml:space="preserve"> </w:t>
      </w:r>
      <w:r>
        <w:t>applications</w:t>
      </w:r>
      <w:r>
        <w:rPr>
          <w:spacing w:val="-4"/>
        </w:rPr>
        <w:t xml:space="preserve"> </w:t>
      </w:r>
      <w:r>
        <w:t>and</w:t>
      </w:r>
      <w:r>
        <w:rPr>
          <w:spacing w:val="-3"/>
        </w:rPr>
        <w:t xml:space="preserve"> </w:t>
      </w:r>
      <w:r>
        <w:t>an</w:t>
      </w:r>
      <w:r>
        <w:rPr>
          <w:spacing w:val="-3"/>
        </w:rPr>
        <w:t xml:space="preserve"> </w:t>
      </w:r>
      <w:r>
        <w:t>investigation</w:t>
      </w:r>
      <w:r>
        <w:rPr>
          <w:spacing w:val="-1"/>
        </w:rPr>
        <w:t xml:space="preserve"> </w:t>
      </w:r>
      <w:r>
        <w:t>found</w:t>
      </w:r>
      <w:r>
        <w:rPr>
          <w:spacing w:val="-3"/>
        </w:rPr>
        <w:t xml:space="preserve"> </w:t>
      </w:r>
      <w:r>
        <w:t>no</w:t>
      </w:r>
      <w:r>
        <w:rPr>
          <w:spacing w:val="-3"/>
        </w:rPr>
        <w:t xml:space="preserve"> </w:t>
      </w:r>
      <w:r>
        <w:t>bias</w:t>
      </w:r>
      <w:r>
        <w:rPr>
          <w:spacing w:val="-4"/>
        </w:rPr>
        <w:t xml:space="preserve"> </w:t>
      </w:r>
      <w:r>
        <w:t>or</w:t>
      </w:r>
      <w:r>
        <w:rPr>
          <w:spacing w:val="-3"/>
        </w:rPr>
        <w:t xml:space="preserve"> </w:t>
      </w:r>
      <w:r>
        <w:t>hidden</w:t>
      </w:r>
      <w:r>
        <w:rPr>
          <w:spacing w:val="-3"/>
        </w:rPr>
        <w:t xml:space="preserve"> </w:t>
      </w:r>
      <w:r>
        <w:t>motives on the part of UKSF. Although there was no formal ‘veto’ given to UKSF, it is recognised that in practical terms that the DARR caseworkers over-relied on UKSF when</w:t>
      </w:r>
      <w:r>
        <w:rPr>
          <w:spacing w:val="-3"/>
        </w:rPr>
        <w:t xml:space="preserve"> </w:t>
      </w:r>
      <w:r>
        <w:t>making</w:t>
      </w:r>
      <w:r>
        <w:rPr>
          <w:spacing w:val="-1"/>
        </w:rPr>
        <w:t xml:space="preserve"> </w:t>
      </w:r>
      <w:r>
        <w:t>eligibility</w:t>
      </w:r>
      <w:r>
        <w:rPr>
          <w:spacing w:val="-4"/>
        </w:rPr>
        <w:t xml:space="preserve"> </w:t>
      </w:r>
      <w:r>
        <w:t>decisions</w:t>
      </w:r>
      <w:r>
        <w:rPr>
          <w:spacing w:val="-5"/>
        </w:rPr>
        <w:t xml:space="preserve"> </w:t>
      </w:r>
      <w:r>
        <w:t>and</w:t>
      </w:r>
      <w:r>
        <w:rPr>
          <w:spacing w:val="-3"/>
        </w:rPr>
        <w:t xml:space="preserve"> </w:t>
      </w:r>
      <w:r>
        <w:t>the</w:t>
      </w:r>
      <w:r>
        <w:rPr>
          <w:spacing w:val="-1"/>
        </w:rPr>
        <w:t xml:space="preserve"> </w:t>
      </w:r>
      <w:r>
        <w:t>role</w:t>
      </w:r>
      <w:r>
        <w:rPr>
          <w:spacing w:val="-3"/>
        </w:rPr>
        <w:t xml:space="preserve"> </w:t>
      </w:r>
      <w:r>
        <w:t>of</w:t>
      </w:r>
      <w:r>
        <w:rPr>
          <w:spacing w:val="-1"/>
        </w:rPr>
        <w:t xml:space="preserve"> </w:t>
      </w:r>
      <w:r>
        <w:t>those</w:t>
      </w:r>
      <w:r>
        <w:rPr>
          <w:spacing w:val="-3"/>
        </w:rPr>
        <w:t xml:space="preserve"> </w:t>
      </w:r>
      <w:r>
        <w:t>providing</w:t>
      </w:r>
      <w:r>
        <w:rPr>
          <w:spacing w:val="-1"/>
        </w:rPr>
        <w:t xml:space="preserve"> </w:t>
      </w:r>
      <w:r>
        <w:t>‘enrichment’</w:t>
      </w:r>
      <w:r>
        <w:rPr>
          <w:spacing w:val="-2"/>
        </w:rPr>
        <w:t xml:space="preserve"> </w:t>
      </w:r>
      <w:r>
        <w:t>was</w:t>
      </w:r>
      <w:r>
        <w:rPr>
          <w:spacing w:val="-4"/>
        </w:rPr>
        <w:t xml:space="preserve"> </w:t>
      </w:r>
      <w:r>
        <w:t>not sufficiently clear.</w:t>
      </w:r>
    </w:p>
    <w:p>
      <w:pPr>
        <w:pStyle w:val="BodyText"/>
      </w:pPr>
    </w:p>
    <w:p>
      <w:pPr>
        <w:pStyle w:val="BodyText"/>
        <w:ind w:right="406"/>
      </w:pPr>
      <w:r>
        <w:t>It was evident, however, that inconsistencies and inefficiencies within the decision-making process needed to be reviewed. Therefore, robust mechanisms, including assurance</w:t>
      </w:r>
      <w:r>
        <w:rPr>
          <w:spacing w:val="-2"/>
        </w:rPr>
        <w:t xml:space="preserve"> </w:t>
      </w:r>
      <w:r>
        <w:t>protocols,</w:t>
      </w:r>
      <w:r>
        <w:rPr>
          <w:spacing w:val="-2"/>
        </w:rPr>
        <w:t xml:space="preserve"> </w:t>
      </w:r>
      <w:r>
        <w:t>were</w:t>
      </w:r>
      <w:r>
        <w:rPr>
          <w:spacing w:val="-2"/>
        </w:rPr>
        <w:t xml:space="preserve"> </w:t>
      </w:r>
      <w:r>
        <w:t>implemented</w:t>
      </w:r>
      <w:r>
        <w:rPr>
          <w:spacing w:val="-4"/>
        </w:rPr>
        <w:t xml:space="preserve"> </w:t>
      </w:r>
      <w:r>
        <w:t>as</w:t>
      </w:r>
      <w:r>
        <w:rPr>
          <w:spacing w:val="-3"/>
        </w:rPr>
        <w:t xml:space="preserve"> </w:t>
      </w:r>
      <w:r>
        <w:t>part</w:t>
      </w:r>
      <w:r>
        <w:rPr>
          <w:spacing w:val="-2"/>
        </w:rPr>
        <w:t xml:space="preserve"> </w:t>
      </w:r>
      <w:r>
        <w:t>of</w:t>
      </w:r>
      <w:r>
        <w:rPr>
          <w:spacing w:val="-2"/>
        </w:rPr>
        <w:t xml:space="preserve"> </w:t>
      </w:r>
      <w:r>
        <w:t>the</w:t>
      </w:r>
      <w:r>
        <w:rPr>
          <w:spacing w:val="-2"/>
        </w:rPr>
        <w:t xml:space="preserve"> </w:t>
      </w:r>
      <w:r>
        <w:t>Triples</w:t>
      </w:r>
      <w:r>
        <w:rPr>
          <w:spacing w:val="-3"/>
        </w:rPr>
        <w:t xml:space="preserve"> </w:t>
      </w:r>
      <w:r>
        <w:t>Review</w:t>
      </w:r>
      <w:r>
        <w:rPr>
          <w:spacing w:val="-3"/>
        </w:rPr>
        <w:t xml:space="preserve"> </w:t>
      </w:r>
      <w:r>
        <w:t>to</w:t>
      </w:r>
      <w:r>
        <w:rPr>
          <w:spacing w:val="-2"/>
        </w:rPr>
        <w:t xml:space="preserve"> </w:t>
      </w:r>
      <w:r>
        <w:t>ensure</w:t>
      </w:r>
      <w:r>
        <w:rPr>
          <w:spacing w:val="-4"/>
        </w:rPr>
        <w:t xml:space="preserve"> </w:t>
      </w:r>
      <w:r>
        <w:t>this could not happen again.</w:t>
      </w:r>
    </w:p>
    <w:p>
      <w:pPr>
        <w:pStyle w:val="BodyText"/>
        <w:spacing w:after="0"/>
        <w:sectPr>
          <w:pgSz w:w="11910" w:h="16840"/>
          <w:pgMar w:top="1340" w:right="1080" w:bottom="280" w:left="1440" w:header="276" w:footer="0"/>
          <w:cols w:space="720"/>
        </w:sectPr>
      </w:pPr>
    </w:p>
    <w:p>
      <w:pPr>
        <w:pStyle w:val="Heading1"/>
        <w:spacing w:before="82"/>
        <w:ind w:left="638"/>
        <w:rPr>
          <w:u w:val="none"/>
        </w:rPr>
      </w:pPr>
      <w:bookmarkStart w:id="2" w:name="20260618 Afghan Relocations Annex B - Af"/>
      <w:bookmarkEnd w:id="2"/>
      <w:r>
        <w:rPr>
          <w:u w:val="single"/>
        </w:rPr>
        <w:t>Annex</w:t>
      </w:r>
      <w:r>
        <w:rPr>
          <w:spacing w:val="-4"/>
          <w:u w:val="single"/>
        </w:rPr>
        <w:t xml:space="preserve"> </w:t>
      </w:r>
      <w:r>
        <w:rPr>
          <w:u w:val="single"/>
        </w:rPr>
        <w:t>B:</w:t>
      </w:r>
      <w:r>
        <w:rPr>
          <w:spacing w:val="-4"/>
          <w:u w:val="single"/>
        </w:rPr>
        <w:t xml:space="preserve"> </w:t>
      </w:r>
      <w:r>
        <w:rPr>
          <w:u w:val="single"/>
        </w:rPr>
        <w:t>Afghan</w:t>
      </w:r>
      <w:r>
        <w:rPr>
          <w:spacing w:val="-3"/>
          <w:u w:val="single"/>
        </w:rPr>
        <w:t xml:space="preserve"> </w:t>
      </w:r>
      <w:r>
        <w:rPr>
          <w:u w:val="single"/>
        </w:rPr>
        <w:t>Resettlement</w:t>
      </w:r>
      <w:r>
        <w:rPr>
          <w:spacing w:val="-4"/>
          <w:u w:val="single"/>
        </w:rPr>
        <w:t xml:space="preserve"> </w:t>
      </w:r>
      <w:r>
        <w:rPr>
          <w:u w:val="single"/>
        </w:rPr>
        <w:t>Programme</w:t>
      </w:r>
      <w:r>
        <w:rPr>
          <w:spacing w:val="-2"/>
          <w:u w:val="single"/>
        </w:rPr>
        <w:t xml:space="preserve"> </w:t>
      </w:r>
      <w:r>
        <w:rPr>
          <w:u w:val="single"/>
        </w:rPr>
        <w:t>Status</w:t>
      </w:r>
      <w:r>
        <w:rPr>
          <w:spacing w:val="-4"/>
          <w:u w:val="single"/>
        </w:rPr>
        <w:t xml:space="preserve"> </w:t>
      </w:r>
      <w:r>
        <w:rPr>
          <w:u w:val="single"/>
        </w:rPr>
        <w:t>and</w:t>
      </w:r>
      <w:r>
        <w:rPr>
          <w:spacing w:val="-2"/>
          <w:u w:val="single"/>
        </w:rPr>
        <w:t xml:space="preserve"> Performance</w:t>
      </w:r>
    </w:p>
    <w:p>
      <w:pPr>
        <w:pStyle w:val="BodyText"/>
        <w:rPr>
          <w:b/>
        </w:rPr>
      </w:pPr>
    </w:p>
    <w:p>
      <w:pPr>
        <w:spacing w:before="0"/>
        <w:ind w:left="0" w:right="0" w:firstLine="0"/>
        <w:jc w:val="left"/>
        <w:rPr>
          <w:b/>
          <w:sz w:val="24"/>
        </w:rPr>
      </w:pPr>
      <w:r>
        <w:rPr>
          <w:b/>
          <w:sz w:val="24"/>
          <w:u w:val="single"/>
        </w:rPr>
        <w:t>Programme</w:t>
      </w:r>
      <w:r>
        <w:rPr>
          <w:b/>
          <w:spacing w:val="-1"/>
          <w:sz w:val="24"/>
          <w:u w:val="single"/>
        </w:rPr>
        <w:t xml:space="preserve"> </w:t>
      </w:r>
      <w:r>
        <w:rPr>
          <w:b/>
          <w:spacing w:val="-2"/>
          <w:sz w:val="24"/>
          <w:u w:val="single"/>
        </w:rPr>
        <w:t>Update</w:t>
      </w:r>
    </w:p>
    <w:p>
      <w:pPr>
        <w:pStyle w:val="BodyText"/>
        <w:rPr>
          <w:b/>
        </w:rPr>
      </w:pPr>
    </w:p>
    <w:p>
      <w:pPr>
        <w:pStyle w:val="BodyText"/>
        <w:ind w:left="-1" w:right="404"/>
      </w:pPr>
      <w:r>
        <w:t>The</w:t>
      </w:r>
      <w:r>
        <w:rPr>
          <w:spacing w:val="-9"/>
        </w:rPr>
        <w:t xml:space="preserve"> </w:t>
      </w:r>
      <w:r>
        <w:t>Afghan Resettlement Programme (ARP)</w:t>
      </w:r>
      <w:r>
        <w:rPr>
          <w:spacing w:val="-13"/>
        </w:rPr>
        <w:t xml:space="preserve"> </w:t>
      </w:r>
      <w:r>
        <w:t>was announced in December 2024 to bring together existing Afghan resettlement schemes into a single, efficient pipeline for ease of</w:t>
      </w:r>
      <w:r>
        <w:rPr>
          <w:spacing w:val="-14"/>
        </w:rPr>
        <w:t xml:space="preserve"> </w:t>
      </w:r>
      <w:r>
        <w:t>delivery, to provide value for the taxpayer and</w:t>
      </w:r>
      <w:r>
        <w:rPr>
          <w:spacing w:val="-11"/>
        </w:rPr>
        <w:t xml:space="preserve"> </w:t>
      </w:r>
      <w:r>
        <w:t>to ensure</w:t>
      </w:r>
      <w:r>
        <w:rPr>
          <w:spacing w:val="-14"/>
        </w:rPr>
        <w:t xml:space="preserve"> </w:t>
      </w:r>
      <w:r>
        <w:t>departmental expertise can be factored</w:t>
      </w:r>
      <w:r>
        <w:rPr>
          <w:spacing w:val="-9"/>
        </w:rPr>
        <w:t xml:space="preserve"> </w:t>
      </w:r>
      <w:r>
        <w:t>into all stages of the resettlement journey across government.</w:t>
      </w:r>
      <w:r>
        <w:rPr>
          <w:spacing w:val="-5"/>
        </w:rPr>
        <w:t xml:space="preserve"> </w:t>
      </w:r>
      <w:r>
        <w:t>A</w:t>
      </w:r>
      <w:r>
        <w:rPr>
          <w:spacing w:val="-2"/>
        </w:rPr>
        <w:t xml:space="preserve"> </w:t>
      </w:r>
      <w:r>
        <w:t>programme</w:t>
      </w:r>
      <w:r>
        <w:rPr>
          <w:spacing w:val="-2"/>
        </w:rPr>
        <w:t xml:space="preserve"> </w:t>
      </w:r>
      <w:r>
        <w:t>Senior</w:t>
      </w:r>
      <w:r>
        <w:rPr>
          <w:spacing w:val="-4"/>
        </w:rPr>
        <w:t xml:space="preserve"> </w:t>
      </w:r>
      <w:r>
        <w:t>Responsible</w:t>
      </w:r>
      <w:r>
        <w:rPr>
          <w:spacing w:val="-2"/>
        </w:rPr>
        <w:t xml:space="preserve"> </w:t>
      </w:r>
      <w:r>
        <w:t>Owner</w:t>
      </w:r>
      <w:r>
        <w:rPr>
          <w:spacing w:val="-4"/>
        </w:rPr>
        <w:t xml:space="preserve"> </w:t>
      </w:r>
      <w:r>
        <w:t>(SRO)</w:t>
      </w:r>
      <w:r>
        <w:rPr>
          <w:spacing w:val="-4"/>
        </w:rPr>
        <w:t xml:space="preserve"> </w:t>
      </w:r>
      <w:r>
        <w:t>had</w:t>
      </w:r>
      <w:r>
        <w:rPr>
          <w:spacing w:val="-7"/>
        </w:rPr>
        <w:t xml:space="preserve"> </w:t>
      </w:r>
      <w:r>
        <w:t>been</w:t>
      </w:r>
      <w:r>
        <w:rPr>
          <w:spacing w:val="-2"/>
        </w:rPr>
        <w:t xml:space="preserve"> </w:t>
      </w:r>
      <w:r>
        <w:t>appointed</w:t>
      </w:r>
      <w:r>
        <w:rPr>
          <w:spacing w:val="-5"/>
        </w:rPr>
        <w:t xml:space="preserve"> </w:t>
      </w:r>
      <w:r>
        <w:t>in May 2024 to oversee this activity.</w:t>
      </w:r>
    </w:p>
    <w:p>
      <w:pPr>
        <w:pStyle w:val="BodyText"/>
      </w:pPr>
    </w:p>
    <w:p>
      <w:pPr>
        <w:pStyle w:val="BodyText"/>
        <w:ind w:right="361"/>
      </w:pPr>
      <w:r>
        <w:t>All Ministry of Defence operational delivery areas (Eligibility, Relocations and Resettlement</w:t>
      </w:r>
      <w:r>
        <w:rPr>
          <w:spacing w:val="-3"/>
        </w:rPr>
        <w:t xml:space="preserve"> </w:t>
      </w:r>
      <w:r>
        <w:t>pillars)</w:t>
      </w:r>
      <w:r>
        <w:rPr>
          <w:spacing w:val="-5"/>
        </w:rPr>
        <w:t xml:space="preserve"> </w:t>
      </w:r>
      <w:r>
        <w:t>report</w:t>
      </w:r>
      <w:r>
        <w:rPr>
          <w:spacing w:val="-3"/>
        </w:rPr>
        <w:t xml:space="preserve"> </w:t>
      </w:r>
      <w:r>
        <w:t>into</w:t>
      </w:r>
      <w:r>
        <w:rPr>
          <w:spacing w:val="-5"/>
        </w:rPr>
        <w:t xml:space="preserve"> </w:t>
      </w:r>
      <w:r>
        <w:t>a</w:t>
      </w:r>
      <w:r>
        <w:rPr>
          <w:spacing w:val="-3"/>
        </w:rPr>
        <w:t xml:space="preserve"> </w:t>
      </w:r>
      <w:r>
        <w:t>central</w:t>
      </w:r>
      <w:r>
        <w:rPr>
          <w:spacing w:val="-4"/>
        </w:rPr>
        <w:t xml:space="preserve"> </w:t>
      </w:r>
      <w:r>
        <w:t>Programme</w:t>
      </w:r>
      <w:r>
        <w:rPr>
          <w:spacing w:val="-3"/>
        </w:rPr>
        <w:t xml:space="preserve"> </w:t>
      </w:r>
      <w:r>
        <w:t>Management</w:t>
      </w:r>
      <w:r>
        <w:rPr>
          <w:spacing w:val="-5"/>
        </w:rPr>
        <w:t xml:space="preserve"> </w:t>
      </w:r>
      <w:r>
        <w:t>team,</w:t>
      </w:r>
      <w:r>
        <w:rPr>
          <w:spacing w:val="-3"/>
        </w:rPr>
        <w:t xml:space="preserve"> </w:t>
      </w:r>
      <w:r>
        <w:t>providing</w:t>
      </w:r>
      <w:r>
        <w:rPr>
          <w:spacing w:val="-5"/>
        </w:rPr>
        <w:t xml:space="preserve"> </w:t>
      </w:r>
      <w:r>
        <w:t>a strong centre to develop strategy and plans, and to assess risks, with cross-Government input. Core elements of this approach include a quarterly Programme Board and the introduction of a monthly Executive Committee (ExCo). This provides clarity</w:t>
      </w:r>
      <w:r>
        <w:rPr>
          <w:spacing w:val="-3"/>
        </w:rPr>
        <w:t xml:space="preserve"> </w:t>
      </w:r>
      <w:r>
        <w:t>on</w:t>
      </w:r>
      <w:r>
        <w:rPr>
          <w:spacing w:val="-3"/>
        </w:rPr>
        <w:t xml:space="preserve"> </w:t>
      </w:r>
      <w:r>
        <w:t>operational</w:t>
      </w:r>
      <w:r>
        <w:rPr>
          <w:spacing w:val="-6"/>
        </w:rPr>
        <w:t xml:space="preserve"> </w:t>
      </w:r>
      <w:r>
        <w:t>performance,</w:t>
      </w:r>
      <w:r>
        <w:rPr>
          <w:spacing w:val="-5"/>
        </w:rPr>
        <w:t xml:space="preserve"> </w:t>
      </w:r>
      <w:r>
        <w:t>whilst</w:t>
      </w:r>
      <w:r>
        <w:rPr>
          <w:spacing w:val="-3"/>
        </w:rPr>
        <w:t xml:space="preserve"> </w:t>
      </w:r>
      <w:r>
        <w:t>supporting</w:t>
      </w:r>
      <w:r>
        <w:rPr>
          <w:spacing w:val="-3"/>
        </w:rPr>
        <w:t xml:space="preserve"> </w:t>
      </w:r>
      <w:r>
        <w:t>strategic</w:t>
      </w:r>
      <w:r>
        <w:rPr>
          <w:spacing w:val="-3"/>
        </w:rPr>
        <w:t xml:space="preserve"> </w:t>
      </w:r>
      <w:r>
        <w:t>planning,</w:t>
      </w:r>
      <w:r>
        <w:rPr>
          <w:spacing w:val="-5"/>
        </w:rPr>
        <w:t xml:space="preserve"> </w:t>
      </w:r>
      <w:r>
        <w:t>and</w:t>
      </w:r>
      <w:r>
        <w:rPr>
          <w:spacing w:val="-4"/>
        </w:rPr>
        <w:t xml:space="preserve"> </w:t>
      </w:r>
      <w:r>
        <w:t>ensuring decision makers have the information they require at the right time.</w:t>
      </w:r>
    </w:p>
    <w:p>
      <w:pPr>
        <w:pStyle w:val="BodyText"/>
      </w:pPr>
    </w:p>
    <w:p>
      <w:pPr>
        <w:pStyle w:val="BodyText"/>
        <w:ind w:left="-1" w:right="420"/>
      </w:pPr>
      <w:r>
        <w:t>The</w:t>
      </w:r>
      <w:r>
        <w:rPr>
          <w:spacing w:val="-2"/>
        </w:rPr>
        <w:t xml:space="preserve"> </w:t>
      </w:r>
      <w:r>
        <w:t>programme</w:t>
      </w:r>
      <w:r>
        <w:rPr>
          <w:spacing w:val="-2"/>
        </w:rPr>
        <w:t xml:space="preserve"> </w:t>
      </w:r>
      <w:r>
        <w:t>has</w:t>
      </w:r>
      <w:r>
        <w:rPr>
          <w:spacing w:val="-2"/>
        </w:rPr>
        <w:t xml:space="preserve"> </w:t>
      </w:r>
      <w:r>
        <w:t>a</w:t>
      </w:r>
      <w:r>
        <w:rPr>
          <w:spacing w:val="-3"/>
        </w:rPr>
        <w:t xml:space="preserve"> </w:t>
      </w:r>
      <w:r>
        <w:t>clear</w:t>
      </w:r>
      <w:r>
        <w:rPr>
          <w:spacing w:val="-3"/>
        </w:rPr>
        <w:t xml:space="preserve"> </w:t>
      </w:r>
      <w:r>
        <w:t>set</w:t>
      </w:r>
      <w:r>
        <w:rPr>
          <w:spacing w:val="-4"/>
        </w:rPr>
        <w:t xml:space="preserve"> </w:t>
      </w:r>
      <w:r>
        <w:t>of</w:t>
      </w:r>
      <w:r>
        <w:rPr>
          <w:spacing w:val="-2"/>
        </w:rPr>
        <w:t xml:space="preserve"> </w:t>
      </w:r>
      <w:r>
        <w:t>strategic</w:t>
      </w:r>
      <w:r>
        <w:rPr>
          <w:spacing w:val="-4"/>
        </w:rPr>
        <w:t xml:space="preserve"> </w:t>
      </w:r>
      <w:r>
        <w:t>objectives</w:t>
      </w:r>
      <w:r>
        <w:rPr>
          <w:spacing w:val="-2"/>
        </w:rPr>
        <w:t xml:space="preserve"> </w:t>
      </w:r>
      <w:r>
        <w:t>(supported</w:t>
      </w:r>
      <w:r>
        <w:rPr>
          <w:spacing w:val="-3"/>
        </w:rPr>
        <w:t xml:space="preserve"> </w:t>
      </w:r>
      <w:r>
        <w:t>by</w:t>
      </w:r>
      <w:r>
        <w:rPr>
          <w:spacing w:val="-2"/>
        </w:rPr>
        <w:t xml:space="preserve"> </w:t>
      </w:r>
      <w:r>
        <w:t>a</w:t>
      </w:r>
      <w:r>
        <w:rPr>
          <w:spacing w:val="-2"/>
        </w:rPr>
        <w:t xml:space="preserve"> </w:t>
      </w:r>
      <w:r>
        <w:t>more</w:t>
      </w:r>
      <w:r>
        <w:rPr>
          <w:spacing w:val="-3"/>
        </w:rPr>
        <w:t xml:space="preserve"> </w:t>
      </w:r>
      <w:r>
        <w:t>detailed set of sub-objectives) that set out how it will reach defined programme end state by the end of this Parliament. Milestone plans are now in place allowing progress to be reported and understood, in line with the National Audit Office’s (NAO) recommendation to finish establishing the key elements of effective programme management. As noted at the House of Commons Defence Committee hearing, the Programme SRO stated the programme is currently assessed as “Amber” as delivery confidence remains contingent on a range of factors, including unreliability of the pipeline, availability of accommodation, and geopolitical factors.</w:t>
      </w:r>
    </w:p>
    <w:p>
      <w:pPr>
        <w:pStyle w:val="BodyText"/>
      </w:pPr>
    </w:p>
    <w:p>
      <w:pPr>
        <w:pStyle w:val="Heading1"/>
        <w:spacing w:before="1"/>
        <w:rPr>
          <w:u w:val="none"/>
        </w:rPr>
      </w:pPr>
      <w:r>
        <w:rPr>
          <w:u w:val="single"/>
        </w:rPr>
        <w:t>Key</w:t>
      </w:r>
      <w:r>
        <w:rPr>
          <w:spacing w:val="-4"/>
          <w:u w:val="single"/>
        </w:rPr>
        <w:t xml:space="preserve"> </w:t>
      </w:r>
      <w:r>
        <w:rPr>
          <w:u w:val="single"/>
        </w:rPr>
        <w:t>Performance</w:t>
      </w:r>
      <w:r>
        <w:rPr>
          <w:spacing w:val="-4"/>
          <w:u w:val="single"/>
        </w:rPr>
        <w:t xml:space="preserve"> </w:t>
      </w:r>
      <w:r>
        <w:rPr>
          <w:u w:val="single"/>
        </w:rPr>
        <w:t>Indicators</w:t>
      </w:r>
      <w:r>
        <w:rPr>
          <w:spacing w:val="-3"/>
          <w:u w:val="single"/>
        </w:rPr>
        <w:t xml:space="preserve"> </w:t>
      </w:r>
      <w:r>
        <w:rPr>
          <w:spacing w:val="-2"/>
          <w:u w:val="single"/>
        </w:rPr>
        <w:t>(KPIs)</w:t>
      </w:r>
    </w:p>
    <w:p>
      <w:pPr>
        <w:pStyle w:val="BodyText"/>
        <w:spacing w:before="276"/>
        <w:ind w:right="406"/>
      </w:pPr>
      <w:r>
        <w:t>The programme has now identified a comprehensive suite of KPIs across the majority of its critical delivery areas. These KPIs are aligned to the programme plan and its overarching strategic objectives, ensuring a clear line of sight between operational</w:t>
      </w:r>
      <w:r>
        <w:rPr>
          <w:spacing w:val="-6"/>
        </w:rPr>
        <w:t xml:space="preserve"> </w:t>
      </w:r>
      <w:r>
        <w:t>activity</w:t>
      </w:r>
      <w:r>
        <w:rPr>
          <w:spacing w:val="-3"/>
        </w:rPr>
        <w:t xml:space="preserve"> </w:t>
      </w:r>
      <w:r>
        <w:t>and</w:t>
      </w:r>
      <w:r>
        <w:rPr>
          <w:spacing w:val="-4"/>
        </w:rPr>
        <w:t xml:space="preserve"> </w:t>
      </w:r>
      <w:r>
        <w:t>intended</w:t>
      </w:r>
      <w:r>
        <w:rPr>
          <w:spacing w:val="-4"/>
        </w:rPr>
        <w:t xml:space="preserve"> </w:t>
      </w:r>
      <w:r>
        <w:t>outcomes.</w:t>
      </w:r>
      <w:r>
        <w:rPr>
          <w:spacing w:val="-5"/>
        </w:rPr>
        <w:t xml:space="preserve"> </w:t>
      </w:r>
      <w:r>
        <w:t>The</w:t>
      </w:r>
      <w:r>
        <w:rPr>
          <w:spacing w:val="-2"/>
        </w:rPr>
        <w:t xml:space="preserve"> </w:t>
      </w:r>
      <w:r>
        <w:t>newly</w:t>
      </w:r>
      <w:r>
        <w:rPr>
          <w:spacing w:val="-3"/>
        </w:rPr>
        <w:t xml:space="preserve"> </w:t>
      </w:r>
      <w:r>
        <w:t>developed</w:t>
      </w:r>
      <w:r>
        <w:rPr>
          <w:spacing w:val="-2"/>
        </w:rPr>
        <w:t xml:space="preserve"> </w:t>
      </w:r>
      <w:r>
        <w:t>KPIs</w:t>
      </w:r>
      <w:r>
        <w:rPr>
          <w:spacing w:val="-3"/>
        </w:rPr>
        <w:t xml:space="preserve"> </w:t>
      </w:r>
      <w:r>
        <w:t>are</w:t>
      </w:r>
      <w:r>
        <w:rPr>
          <w:spacing w:val="-4"/>
        </w:rPr>
        <w:t xml:space="preserve"> </w:t>
      </w:r>
      <w:r>
        <w:t>enabling improved tracking of progress against the Government’s timetable to complete the ARP by the end of this Parliament.</w:t>
      </w:r>
    </w:p>
    <w:p>
      <w:pPr>
        <w:pStyle w:val="BodyText"/>
      </w:pPr>
    </w:p>
    <w:p>
      <w:pPr>
        <w:pStyle w:val="BodyText"/>
        <w:ind w:right="361"/>
      </w:pPr>
      <w:r>
        <w:t>Furthermore,</w:t>
      </w:r>
      <w:r>
        <w:rPr>
          <w:spacing w:val="-2"/>
        </w:rPr>
        <w:t xml:space="preserve"> </w:t>
      </w:r>
      <w:r>
        <w:t>the</w:t>
      </w:r>
      <w:r>
        <w:rPr>
          <w:spacing w:val="-4"/>
        </w:rPr>
        <w:t xml:space="preserve"> </w:t>
      </w:r>
      <w:r>
        <w:t>KPIs</w:t>
      </w:r>
      <w:r>
        <w:rPr>
          <w:spacing w:val="-5"/>
        </w:rPr>
        <w:t xml:space="preserve"> </w:t>
      </w:r>
      <w:r>
        <w:t>are</w:t>
      </w:r>
      <w:r>
        <w:rPr>
          <w:spacing w:val="-2"/>
        </w:rPr>
        <w:t xml:space="preserve"> </w:t>
      </w:r>
      <w:r>
        <w:t>supporting</w:t>
      </w:r>
      <w:r>
        <w:rPr>
          <w:spacing w:val="-2"/>
        </w:rPr>
        <w:t xml:space="preserve"> </w:t>
      </w:r>
      <w:r>
        <w:t>enhanced</w:t>
      </w:r>
      <w:r>
        <w:rPr>
          <w:spacing w:val="-2"/>
        </w:rPr>
        <w:t xml:space="preserve"> </w:t>
      </w:r>
      <w:r>
        <w:t>oversight</w:t>
      </w:r>
      <w:r>
        <w:rPr>
          <w:spacing w:val="-5"/>
        </w:rPr>
        <w:t xml:space="preserve"> </w:t>
      </w:r>
      <w:r>
        <w:t>of</w:t>
      </w:r>
      <w:r>
        <w:rPr>
          <w:spacing w:val="-2"/>
        </w:rPr>
        <w:t xml:space="preserve"> </w:t>
      </w:r>
      <w:r>
        <w:t>risk</w:t>
      </w:r>
      <w:r>
        <w:rPr>
          <w:spacing w:val="-5"/>
        </w:rPr>
        <w:t xml:space="preserve"> </w:t>
      </w:r>
      <w:r>
        <w:t>mitigation</w:t>
      </w:r>
      <w:r>
        <w:rPr>
          <w:spacing w:val="-2"/>
        </w:rPr>
        <w:t xml:space="preserve"> </w:t>
      </w:r>
      <w:r>
        <w:t>activities, while contributing to the development of a more coherent, single source of management information. Together, these measures strengthen programme governance and provide a more robust basis for decision-making and performance management going forward.</w:t>
      </w:r>
    </w:p>
    <w:p>
      <w:pPr>
        <w:pStyle w:val="BodyText"/>
      </w:pPr>
    </w:p>
    <w:p>
      <w:pPr>
        <w:pStyle w:val="BodyText"/>
        <w:ind w:right="525"/>
      </w:pPr>
      <w:r>
        <w:t>The</w:t>
      </w:r>
      <w:r>
        <w:rPr>
          <w:spacing w:val="-3"/>
        </w:rPr>
        <w:t xml:space="preserve"> </w:t>
      </w:r>
      <w:r>
        <w:t>area</w:t>
      </w:r>
      <w:r>
        <w:rPr>
          <w:spacing w:val="-3"/>
        </w:rPr>
        <w:t xml:space="preserve"> </w:t>
      </w:r>
      <w:r>
        <w:t>with</w:t>
      </w:r>
      <w:r>
        <w:rPr>
          <w:spacing w:val="-5"/>
        </w:rPr>
        <w:t xml:space="preserve"> </w:t>
      </w:r>
      <w:r>
        <w:t>highest</w:t>
      </w:r>
      <w:r>
        <w:rPr>
          <w:spacing w:val="-6"/>
        </w:rPr>
        <w:t xml:space="preserve"> </w:t>
      </w:r>
      <w:r>
        <w:t>maturity</w:t>
      </w:r>
      <w:r>
        <w:rPr>
          <w:spacing w:val="-4"/>
        </w:rPr>
        <w:t xml:space="preserve"> </w:t>
      </w:r>
      <w:r>
        <w:t>(Eligibility</w:t>
      </w:r>
      <w:r>
        <w:rPr>
          <w:spacing w:val="-4"/>
        </w:rPr>
        <w:t xml:space="preserve"> </w:t>
      </w:r>
      <w:r>
        <w:t>Casework)</w:t>
      </w:r>
      <w:r>
        <w:rPr>
          <w:spacing w:val="-5"/>
        </w:rPr>
        <w:t xml:space="preserve"> </w:t>
      </w:r>
      <w:r>
        <w:t>publishes</w:t>
      </w:r>
      <w:r>
        <w:rPr>
          <w:spacing w:val="-4"/>
        </w:rPr>
        <w:t xml:space="preserve"> </w:t>
      </w:r>
      <w:r>
        <w:t>ARAP</w:t>
      </w:r>
      <w:r>
        <w:rPr>
          <w:spacing w:val="-3"/>
        </w:rPr>
        <w:t xml:space="preserve"> </w:t>
      </w:r>
      <w:r>
        <w:t>eligibility</w:t>
      </w:r>
      <w:r>
        <w:rPr>
          <w:spacing w:val="-4"/>
        </w:rPr>
        <w:t xml:space="preserve"> </w:t>
      </w:r>
      <w:r>
        <w:t xml:space="preserve">KPIs quarterly on GOV.UK to ensure transparency and demonstrate progress. These updates are available here: </w:t>
      </w:r>
      <w:r>
        <w:fldChar w:fldCharType="begin"/>
      </w:r>
      <w:r>
        <w:instrText xml:space="preserve"> HYPERLINK "https://www.gov.uk/government/publications/afghan-relocations-and-assistance-policy" </w:instrText>
      </w:r>
      <w:r>
        <w:fldChar w:fldCharType="separate"/>
      </w:r>
      <w:r>
        <w:rPr>
          <w:color w:val="467885"/>
          <w:u w:val="single" w:color="467885"/>
        </w:rPr>
        <w:t>https://www.gov.uk/government/publications/afghan-</w:t>
      </w:r>
      <w:r>
        <w:fldChar w:fldCharType="end"/>
      </w:r>
      <w:r>
        <w:fldChar w:fldCharType="begin"/>
      </w:r>
      <w:r>
        <w:instrText xml:space="preserve"> HYPERLINK "https://www.gov.uk/government/publications/afghan-relocations-and-assistance-policy" </w:instrText>
      </w:r>
      <w:r>
        <w:fldChar w:fldCharType="separate"/>
      </w:r>
      <w:r>
        <w:rPr>
          <w:color w:val="467885"/>
          <w:u w:val="single" w:color="467885"/>
        </w:rPr>
        <w:t>relocations-and-assistance-policy</w:t>
      </w:r>
      <w:r>
        <w:fldChar w:fldCharType="end"/>
      </w:r>
      <w:r>
        <w:rPr>
          <w:u w:val="none"/>
        </w:rPr>
        <w:t>. These KPIs are intended to improve case handling times, provide transparency around indicative timescales and provide progress updates for both applicants and those supporting applicants. There is a</w:t>
      </w:r>
    </w:p>
    <w:p>
      <w:pPr>
        <w:pStyle w:val="BodyText"/>
        <w:spacing w:after="0"/>
        <w:sectPr>
          <w:pgSz w:w="11910" w:h="16840"/>
          <w:pgMar w:top="1340" w:right="1080" w:bottom="280" w:left="1440" w:header="276" w:footer="0"/>
          <w:cols w:space="720"/>
        </w:sectPr>
      </w:pPr>
    </w:p>
    <w:p>
      <w:pPr>
        <w:pStyle w:val="BodyText"/>
        <w:spacing w:before="82"/>
        <w:ind w:left="-1" w:right="433"/>
      </w:pPr>
      <w:r>
        <w:t>positive</w:t>
      </w:r>
      <w:r>
        <w:rPr>
          <w:spacing w:val="-2"/>
        </w:rPr>
        <w:t xml:space="preserve"> </w:t>
      </w:r>
      <w:r>
        <w:t>trend</w:t>
      </w:r>
      <w:r>
        <w:rPr>
          <w:spacing w:val="-2"/>
        </w:rPr>
        <w:t xml:space="preserve"> </w:t>
      </w:r>
      <w:r>
        <w:t>in</w:t>
      </w:r>
      <w:r>
        <w:rPr>
          <w:spacing w:val="-2"/>
        </w:rPr>
        <w:t xml:space="preserve"> </w:t>
      </w:r>
      <w:r>
        <w:t>KPI</w:t>
      </w:r>
      <w:r>
        <w:rPr>
          <w:spacing w:val="-2"/>
        </w:rPr>
        <w:t xml:space="preserve"> </w:t>
      </w:r>
      <w:r>
        <w:t>compliance,</w:t>
      </w:r>
      <w:r>
        <w:rPr>
          <w:spacing w:val="-2"/>
        </w:rPr>
        <w:t xml:space="preserve"> </w:t>
      </w:r>
      <w:r>
        <w:t>with</w:t>
      </w:r>
      <w:r>
        <w:rPr>
          <w:spacing w:val="-4"/>
        </w:rPr>
        <w:t xml:space="preserve"> </w:t>
      </w:r>
      <w:r>
        <w:t>month-on-month</w:t>
      </w:r>
      <w:r>
        <w:rPr>
          <w:spacing w:val="-2"/>
        </w:rPr>
        <w:t xml:space="preserve"> </w:t>
      </w:r>
      <w:r>
        <w:t>improvements</w:t>
      </w:r>
      <w:r>
        <w:rPr>
          <w:spacing w:val="-3"/>
        </w:rPr>
        <w:t xml:space="preserve"> </w:t>
      </w:r>
      <w:r>
        <w:t>to</w:t>
      </w:r>
      <w:r>
        <w:rPr>
          <w:spacing w:val="-4"/>
        </w:rPr>
        <w:t xml:space="preserve"> </w:t>
      </w:r>
      <w:r>
        <w:t>numbers</w:t>
      </w:r>
      <w:r>
        <w:rPr>
          <w:spacing w:val="-5"/>
        </w:rPr>
        <w:t xml:space="preserve"> </w:t>
      </w:r>
      <w:r>
        <w:t>of decisions made. The focus is now on delivering all initial eligibility decision-making by August 2026 and all ARAP casework by March 2027.</w:t>
      </w:r>
    </w:p>
    <w:p>
      <w:pPr>
        <w:pStyle w:val="BodyText"/>
      </w:pPr>
    </w:p>
    <w:p>
      <w:pPr>
        <w:pStyle w:val="BodyText"/>
        <w:ind w:left="-1" w:right="406"/>
      </w:pPr>
      <w:r>
        <w:t>Performance of the ‘timeliness’ KPI remains below published standards despite marginal improvement, which is due to sustained backlog pressures. There are challenges with full KPI compliance, which is in part explained by application surge periods. These surges are a challenge as the KPIs measure how many decisions have</w:t>
      </w:r>
      <w:r>
        <w:rPr>
          <w:spacing w:val="-4"/>
        </w:rPr>
        <w:t xml:space="preserve"> </w:t>
      </w:r>
      <w:r>
        <w:t>been</w:t>
      </w:r>
      <w:r>
        <w:rPr>
          <w:spacing w:val="-2"/>
        </w:rPr>
        <w:t xml:space="preserve"> </w:t>
      </w:r>
      <w:r>
        <w:t>completed</w:t>
      </w:r>
      <w:r>
        <w:rPr>
          <w:spacing w:val="-2"/>
        </w:rPr>
        <w:t xml:space="preserve"> </w:t>
      </w:r>
      <w:r>
        <w:t>for</w:t>
      </w:r>
      <w:r>
        <w:rPr>
          <w:spacing w:val="-4"/>
        </w:rPr>
        <w:t xml:space="preserve"> </w:t>
      </w:r>
      <w:r>
        <w:t>a</w:t>
      </w:r>
      <w:r>
        <w:rPr>
          <w:spacing w:val="-2"/>
        </w:rPr>
        <w:t xml:space="preserve"> </w:t>
      </w:r>
      <w:r>
        <w:t>given</w:t>
      </w:r>
      <w:r>
        <w:rPr>
          <w:spacing w:val="-2"/>
        </w:rPr>
        <w:t xml:space="preserve"> </w:t>
      </w:r>
      <w:r>
        <w:t>historic</w:t>
      </w:r>
      <w:r>
        <w:rPr>
          <w:spacing w:val="-3"/>
        </w:rPr>
        <w:t xml:space="preserve"> </w:t>
      </w:r>
      <w:r>
        <w:t>month.</w:t>
      </w:r>
      <w:r>
        <w:rPr>
          <w:spacing w:val="-2"/>
        </w:rPr>
        <w:t xml:space="preserve"> </w:t>
      </w:r>
      <w:r>
        <w:t>For</w:t>
      </w:r>
      <w:r>
        <w:rPr>
          <w:spacing w:val="-6"/>
        </w:rPr>
        <w:t xml:space="preserve"> </w:t>
      </w:r>
      <w:r>
        <w:t>months</w:t>
      </w:r>
      <w:r>
        <w:rPr>
          <w:spacing w:val="-3"/>
        </w:rPr>
        <w:t xml:space="preserve"> </w:t>
      </w:r>
      <w:r>
        <w:t>where</w:t>
      </w:r>
      <w:r>
        <w:rPr>
          <w:spacing w:val="-4"/>
        </w:rPr>
        <w:t xml:space="preserve"> </w:t>
      </w:r>
      <w:r>
        <w:t>there</w:t>
      </w:r>
      <w:r>
        <w:rPr>
          <w:spacing w:val="-2"/>
        </w:rPr>
        <w:t xml:space="preserve"> </w:t>
      </w:r>
      <w:r>
        <w:t>were</w:t>
      </w:r>
      <w:r>
        <w:rPr>
          <w:spacing w:val="-4"/>
        </w:rPr>
        <w:t xml:space="preserve"> </w:t>
      </w:r>
      <w:r>
        <w:t>large volumes of first-time applicants, the KPIs will lag behind months where applications were lower. However, a positive trend in KPI compliance, with month-on-month improvements to numbers of decisions made is expected as recently recruited caseworkers become more efficient.</w:t>
      </w:r>
    </w:p>
    <w:p>
      <w:pPr>
        <w:pStyle w:val="BodyText"/>
      </w:pPr>
    </w:p>
    <w:p>
      <w:pPr>
        <w:pStyle w:val="Heading1"/>
        <w:rPr>
          <w:u w:val="none"/>
        </w:rPr>
      </w:pPr>
      <w:r>
        <w:rPr>
          <w:u w:val="single"/>
        </w:rPr>
        <w:t>Eligibility</w:t>
      </w:r>
      <w:r>
        <w:rPr>
          <w:spacing w:val="-4"/>
          <w:u w:val="single"/>
        </w:rPr>
        <w:t xml:space="preserve"> </w:t>
      </w:r>
      <w:r>
        <w:rPr>
          <w:u w:val="single"/>
        </w:rPr>
        <w:t>Casework</w:t>
      </w:r>
      <w:r>
        <w:rPr>
          <w:spacing w:val="-4"/>
          <w:u w:val="single"/>
        </w:rPr>
        <w:t xml:space="preserve"> </w:t>
      </w:r>
      <w:r>
        <w:rPr>
          <w:spacing w:val="-2"/>
          <w:u w:val="single"/>
        </w:rPr>
        <w:t>Progress</w:t>
      </w:r>
    </w:p>
    <w:p>
      <w:pPr>
        <w:pStyle w:val="BodyText"/>
        <w:rPr>
          <w:b/>
        </w:rPr>
      </w:pPr>
    </w:p>
    <w:p>
      <w:pPr>
        <w:pStyle w:val="BodyText"/>
        <w:ind w:right="406"/>
      </w:pPr>
      <w:r>
        <w:t>Case consideration is progressing in line with the delivery plan. To equip the Department</w:t>
      </w:r>
      <w:r>
        <w:rPr>
          <w:spacing w:val="-4"/>
        </w:rPr>
        <w:t xml:space="preserve"> </w:t>
      </w:r>
      <w:r>
        <w:t>to</w:t>
      </w:r>
      <w:r>
        <w:rPr>
          <w:spacing w:val="-4"/>
        </w:rPr>
        <w:t xml:space="preserve"> </w:t>
      </w:r>
      <w:r>
        <w:t>achieve</w:t>
      </w:r>
      <w:r>
        <w:rPr>
          <w:spacing w:val="-4"/>
        </w:rPr>
        <w:t xml:space="preserve"> </w:t>
      </w:r>
      <w:r>
        <w:t>this,</w:t>
      </w:r>
      <w:r>
        <w:rPr>
          <w:spacing w:val="-2"/>
        </w:rPr>
        <w:t xml:space="preserve"> </w:t>
      </w:r>
      <w:r>
        <w:t>additional</w:t>
      </w:r>
      <w:r>
        <w:rPr>
          <w:spacing w:val="-3"/>
        </w:rPr>
        <w:t xml:space="preserve"> </w:t>
      </w:r>
      <w:r>
        <w:t>recruitment</w:t>
      </w:r>
      <w:r>
        <w:rPr>
          <w:spacing w:val="-2"/>
        </w:rPr>
        <w:t xml:space="preserve"> </w:t>
      </w:r>
      <w:r>
        <w:t>has</w:t>
      </w:r>
      <w:r>
        <w:rPr>
          <w:spacing w:val="-3"/>
        </w:rPr>
        <w:t xml:space="preserve"> </w:t>
      </w:r>
      <w:r>
        <w:t>taken</w:t>
      </w:r>
      <w:r>
        <w:rPr>
          <w:spacing w:val="-4"/>
        </w:rPr>
        <w:t xml:space="preserve"> </w:t>
      </w:r>
      <w:r>
        <w:t>place</w:t>
      </w:r>
      <w:r>
        <w:rPr>
          <w:spacing w:val="-6"/>
        </w:rPr>
        <w:t xml:space="preserve"> </w:t>
      </w:r>
      <w:r>
        <w:t>with</w:t>
      </w:r>
      <w:r>
        <w:rPr>
          <w:spacing w:val="-2"/>
        </w:rPr>
        <w:t xml:space="preserve"> </w:t>
      </w:r>
      <w:r>
        <w:t>around</w:t>
      </w:r>
      <w:r>
        <w:rPr>
          <w:spacing w:val="-4"/>
        </w:rPr>
        <w:t xml:space="preserve"> </w:t>
      </w:r>
      <w:r>
        <w:t xml:space="preserve">150 people now involved in casework, of which around 120 are caseworkers. All processes have been reviewed to ensure operational efficacy and to maximise </w:t>
      </w:r>
      <w:r>
        <w:rPr>
          <w:spacing w:val="-2"/>
        </w:rPr>
        <w:t>productivity.</w:t>
      </w:r>
    </w:p>
    <w:p>
      <w:pPr>
        <w:pStyle w:val="BodyText"/>
      </w:pPr>
    </w:p>
    <w:p>
      <w:pPr>
        <w:pStyle w:val="BodyText"/>
        <w:ind w:right="404"/>
      </w:pPr>
      <w:r>
        <w:t>As of 1 June 2026, the caseload is around 14,000. Overall decision making has improved month on month in 2026 with 1,288 made in February, 1,656 in March, 1,735 in April and 2,000 in May 2026. Initial decision making has also increased month</w:t>
      </w:r>
      <w:r>
        <w:rPr>
          <w:spacing w:val="-4"/>
        </w:rPr>
        <w:t xml:space="preserve"> </w:t>
      </w:r>
      <w:r>
        <w:t>on</w:t>
      </w:r>
      <w:r>
        <w:rPr>
          <w:spacing w:val="-4"/>
        </w:rPr>
        <w:t xml:space="preserve"> </w:t>
      </w:r>
      <w:r>
        <w:t>month</w:t>
      </w:r>
      <w:r>
        <w:rPr>
          <w:spacing w:val="-4"/>
        </w:rPr>
        <w:t xml:space="preserve"> </w:t>
      </w:r>
      <w:r>
        <w:t>in</w:t>
      </w:r>
      <w:r>
        <w:rPr>
          <w:spacing w:val="-2"/>
        </w:rPr>
        <w:t xml:space="preserve"> </w:t>
      </w:r>
      <w:r>
        <w:t>2026</w:t>
      </w:r>
      <w:r>
        <w:rPr>
          <w:spacing w:val="-2"/>
        </w:rPr>
        <w:t xml:space="preserve"> </w:t>
      </w:r>
      <w:r>
        <w:t>from</w:t>
      </w:r>
      <w:r>
        <w:rPr>
          <w:spacing w:val="-1"/>
        </w:rPr>
        <w:t xml:space="preserve"> </w:t>
      </w:r>
      <w:r>
        <w:t>around</w:t>
      </w:r>
      <w:r>
        <w:rPr>
          <w:spacing w:val="-4"/>
        </w:rPr>
        <w:t xml:space="preserve"> </w:t>
      </w:r>
      <w:r>
        <w:t>900</w:t>
      </w:r>
      <w:r>
        <w:rPr>
          <w:spacing w:val="-2"/>
        </w:rPr>
        <w:t xml:space="preserve"> </w:t>
      </w:r>
      <w:r>
        <w:t>in</w:t>
      </w:r>
      <w:r>
        <w:rPr>
          <w:spacing w:val="-2"/>
        </w:rPr>
        <w:t xml:space="preserve"> </w:t>
      </w:r>
      <w:r>
        <w:t>January</w:t>
      </w:r>
      <w:r>
        <w:rPr>
          <w:spacing w:val="-3"/>
        </w:rPr>
        <w:t xml:space="preserve"> </w:t>
      </w:r>
      <w:r>
        <w:t>to</w:t>
      </w:r>
      <w:r>
        <w:rPr>
          <w:spacing w:val="-4"/>
        </w:rPr>
        <w:t xml:space="preserve"> </w:t>
      </w:r>
      <w:r>
        <w:t>1,900</w:t>
      </w:r>
      <w:r>
        <w:rPr>
          <w:spacing w:val="-2"/>
        </w:rPr>
        <w:t xml:space="preserve"> </w:t>
      </w:r>
      <w:r>
        <w:t>in</w:t>
      </w:r>
      <w:r>
        <w:rPr>
          <w:spacing w:val="-4"/>
        </w:rPr>
        <w:t xml:space="preserve"> </w:t>
      </w:r>
      <w:r>
        <w:t>May</w:t>
      </w:r>
      <w:r>
        <w:rPr>
          <w:spacing w:val="-5"/>
        </w:rPr>
        <w:t xml:space="preserve"> </w:t>
      </w:r>
      <w:r>
        <w:t>2026.</w:t>
      </w:r>
      <w:r>
        <w:rPr>
          <w:spacing w:val="-2"/>
        </w:rPr>
        <w:t xml:space="preserve"> </w:t>
      </w:r>
      <w:r>
        <w:t>Overall delivery confidence is high, and the Department keeps this under review.</w:t>
      </w:r>
    </w:p>
    <w:p>
      <w:pPr>
        <w:pStyle w:val="BodyText"/>
      </w:pPr>
    </w:p>
    <w:p>
      <w:pPr>
        <w:pStyle w:val="Heading1"/>
        <w:spacing w:before="1"/>
        <w:rPr>
          <w:u w:val="none"/>
        </w:rPr>
      </w:pPr>
      <w:r>
        <w:rPr>
          <w:u w:val="single"/>
        </w:rPr>
        <w:t>Numbers</w:t>
      </w:r>
      <w:r>
        <w:rPr>
          <w:spacing w:val="-4"/>
          <w:u w:val="single"/>
        </w:rPr>
        <w:t xml:space="preserve"> </w:t>
      </w:r>
      <w:r>
        <w:rPr>
          <w:u w:val="single"/>
        </w:rPr>
        <w:t>of</w:t>
      </w:r>
      <w:r>
        <w:rPr>
          <w:spacing w:val="-2"/>
          <w:u w:val="single"/>
        </w:rPr>
        <w:t xml:space="preserve"> </w:t>
      </w:r>
      <w:r>
        <w:rPr>
          <w:spacing w:val="-5"/>
          <w:u w:val="single"/>
        </w:rPr>
        <w:t>EPs</w:t>
      </w:r>
    </w:p>
    <w:p>
      <w:pPr>
        <w:spacing w:before="276"/>
        <w:ind w:left="0" w:right="361" w:firstLine="0"/>
        <w:jc w:val="left"/>
        <w:rPr>
          <w:b/>
          <w:sz w:val="24"/>
        </w:rPr>
      </w:pPr>
      <w:r>
        <w:rPr>
          <w:b/>
          <w:sz w:val="24"/>
        </w:rPr>
        <w:t>Number</w:t>
      </w:r>
      <w:r>
        <w:rPr>
          <w:b/>
          <w:spacing w:val="-2"/>
          <w:sz w:val="24"/>
        </w:rPr>
        <w:t xml:space="preserve"> </w:t>
      </w:r>
      <w:r>
        <w:rPr>
          <w:b/>
          <w:sz w:val="24"/>
        </w:rPr>
        <w:t>of</w:t>
      </w:r>
      <w:r>
        <w:rPr>
          <w:b/>
          <w:spacing w:val="-3"/>
          <w:sz w:val="24"/>
        </w:rPr>
        <w:t xml:space="preserve"> </w:t>
      </w:r>
      <w:r>
        <w:rPr>
          <w:b/>
          <w:sz w:val="24"/>
        </w:rPr>
        <w:t>EPs</w:t>
      </w:r>
      <w:r>
        <w:rPr>
          <w:b/>
          <w:spacing w:val="-3"/>
          <w:sz w:val="24"/>
        </w:rPr>
        <w:t xml:space="preserve"> </w:t>
      </w:r>
      <w:r>
        <w:rPr>
          <w:b/>
          <w:sz w:val="24"/>
        </w:rPr>
        <w:t>in</w:t>
      </w:r>
      <w:r>
        <w:rPr>
          <w:b/>
          <w:spacing w:val="-2"/>
          <w:sz w:val="24"/>
        </w:rPr>
        <w:t xml:space="preserve"> </w:t>
      </w:r>
      <w:r>
        <w:rPr>
          <w:b/>
          <w:sz w:val="24"/>
        </w:rPr>
        <w:t>the</w:t>
      </w:r>
      <w:r>
        <w:rPr>
          <w:b/>
          <w:spacing w:val="-3"/>
          <w:sz w:val="24"/>
        </w:rPr>
        <w:t xml:space="preserve"> </w:t>
      </w:r>
      <w:r>
        <w:rPr>
          <w:b/>
          <w:sz w:val="24"/>
        </w:rPr>
        <w:t>UK,</w:t>
      </w:r>
      <w:r>
        <w:rPr>
          <w:b/>
          <w:spacing w:val="-1"/>
          <w:sz w:val="24"/>
        </w:rPr>
        <w:t xml:space="preserve"> </w:t>
      </w:r>
      <w:r>
        <w:rPr>
          <w:b/>
          <w:sz w:val="24"/>
        </w:rPr>
        <w:t>EPs</w:t>
      </w:r>
      <w:r>
        <w:rPr>
          <w:b/>
          <w:spacing w:val="-4"/>
          <w:sz w:val="24"/>
        </w:rPr>
        <w:t xml:space="preserve"> </w:t>
      </w:r>
      <w:r>
        <w:rPr>
          <w:b/>
          <w:sz w:val="24"/>
        </w:rPr>
        <w:t>left</w:t>
      </w:r>
      <w:r>
        <w:rPr>
          <w:b/>
          <w:spacing w:val="-3"/>
          <w:sz w:val="24"/>
        </w:rPr>
        <w:t xml:space="preserve"> </w:t>
      </w:r>
      <w:r>
        <w:rPr>
          <w:b/>
          <w:sz w:val="24"/>
        </w:rPr>
        <w:t>to</w:t>
      </w:r>
      <w:r>
        <w:rPr>
          <w:b/>
          <w:spacing w:val="-2"/>
          <w:sz w:val="24"/>
        </w:rPr>
        <w:t xml:space="preserve"> </w:t>
      </w:r>
      <w:r>
        <w:rPr>
          <w:b/>
          <w:sz w:val="24"/>
        </w:rPr>
        <w:t>relocate</w:t>
      </w:r>
      <w:r>
        <w:rPr>
          <w:b/>
          <w:spacing w:val="-1"/>
          <w:sz w:val="24"/>
        </w:rPr>
        <w:t xml:space="preserve"> </w:t>
      </w:r>
      <w:r>
        <w:rPr>
          <w:b/>
          <w:sz w:val="24"/>
        </w:rPr>
        <w:t>and</w:t>
      </w:r>
      <w:r>
        <w:rPr>
          <w:b/>
          <w:spacing w:val="-2"/>
          <w:sz w:val="24"/>
        </w:rPr>
        <w:t xml:space="preserve"> </w:t>
      </w:r>
      <w:r>
        <w:rPr>
          <w:b/>
          <w:sz w:val="24"/>
        </w:rPr>
        <w:t>numbers</w:t>
      </w:r>
      <w:r>
        <w:rPr>
          <w:b/>
          <w:spacing w:val="-1"/>
          <w:sz w:val="24"/>
        </w:rPr>
        <w:t xml:space="preserve"> </w:t>
      </w:r>
      <w:r>
        <w:rPr>
          <w:b/>
          <w:sz w:val="24"/>
        </w:rPr>
        <w:t>of</w:t>
      </w:r>
      <w:r>
        <w:rPr>
          <w:b/>
          <w:spacing w:val="-3"/>
          <w:sz w:val="24"/>
        </w:rPr>
        <w:t xml:space="preserve"> </w:t>
      </w:r>
      <w:r>
        <w:rPr>
          <w:b/>
          <w:sz w:val="24"/>
        </w:rPr>
        <w:t>EPs</w:t>
      </w:r>
      <w:r>
        <w:rPr>
          <w:b/>
          <w:spacing w:val="-1"/>
          <w:sz w:val="24"/>
        </w:rPr>
        <w:t xml:space="preserve"> </w:t>
      </w:r>
      <w:r>
        <w:rPr>
          <w:b/>
          <w:sz w:val="24"/>
        </w:rPr>
        <w:t>estimated</w:t>
      </w:r>
      <w:r>
        <w:rPr>
          <w:b/>
          <w:spacing w:val="-2"/>
          <w:sz w:val="24"/>
        </w:rPr>
        <w:t xml:space="preserve"> </w:t>
      </w:r>
      <w:r>
        <w:rPr>
          <w:b/>
          <w:sz w:val="24"/>
        </w:rPr>
        <w:t>to be in Afghanistan</w:t>
      </w:r>
    </w:p>
    <w:p>
      <w:pPr>
        <w:pStyle w:val="BodyText"/>
        <w:spacing w:before="45"/>
        <w:rPr>
          <w:b/>
          <w:sz w:val="20"/>
        </w:rPr>
      </w:pPr>
    </w:p>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90"/>
        <w:gridCol w:w="3117"/>
        <w:gridCol w:w="3400"/>
      </w:tblGrid>
      <w:tr>
        <w:tblPrEx>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1379"/>
          <w:jc w:val="left"/>
        </w:trPr>
        <w:tc>
          <w:tcPr>
            <w:tcW w:w="2690" w:type="dxa"/>
          </w:tcPr>
          <w:p>
            <w:pPr>
              <w:pStyle w:val="TableParagraph"/>
              <w:spacing w:line="270" w:lineRule="atLeast"/>
              <w:ind w:left="107" w:right="138"/>
              <w:rPr>
                <w:b/>
                <w:sz w:val="24"/>
              </w:rPr>
            </w:pPr>
            <w:r>
              <w:rPr>
                <w:b/>
                <w:sz w:val="24"/>
              </w:rPr>
              <w:t>Arrived</w:t>
            </w:r>
            <w:r>
              <w:rPr>
                <w:b/>
                <w:spacing w:val="-9"/>
                <w:sz w:val="24"/>
              </w:rPr>
              <w:t xml:space="preserve"> </w:t>
            </w:r>
            <w:r>
              <w:rPr>
                <w:b/>
                <w:sz w:val="24"/>
              </w:rPr>
              <w:t>in</w:t>
            </w:r>
            <w:r>
              <w:rPr>
                <w:b/>
                <w:spacing w:val="-9"/>
                <w:sz w:val="24"/>
              </w:rPr>
              <w:t xml:space="preserve"> </w:t>
            </w:r>
            <w:r>
              <w:rPr>
                <w:b/>
                <w:sz w:val="24"/>
              </w:rPr>
              <w:t>UK</w:t>
            </w:r>
            <w:r>
              <w:rPr>
                <w:b/>
                <w:spacing w:val="-9"/>
                <w:sz w:val="24"/>
              </w:rPr>
              <w:t xml:space="preserve"> </w:t>
            </w:r>
            <w:r>
              <w:rPr>
                <w:b/>
                <w:sz w:val="24"/>
              </w:rPr>
              <w:t>(as</w:t>
            </w:r>
            <w:r>
              <w:rPr>
                <w:b/>
                <w:spacing w:val="-8"/>
                <w:sz w:val="24"/>
              </w:rPr>
              <w:t xml:space="preserve"> </w:t>
            </w:r>
            <w:r>
              <w:rPr>
                <w:b/>
                <w:sz w:val="24"/>
              </w:rPr>
              <w:t>of the end of March 2026 – based on published Home Office statistics)</w:t>
            </w:r>
          </w:p>
        </w:tc>
        <w:tc>
          <w:tcPr>
            <w:tcW w:w="3117" w:type="dxa"/>
          </w:tcPr>
          <w:p>
            <w:pPr>
              <w:pStyle w:val="TableParagraph"/>
              <w:ind w:left="105"/>
              <w:rPr>
                <w:b/>
                <w:sz w:val="24"/>
              </w:rPr>
            </w:pPr>
            <w:r>
              <w:rPr>
                <w:b/>
                <w:sz w:val="24"/>
              </w:rPr>
              <w:t>Left</w:t>
            </w:r>
            <w:r>
              <w:rPr>
                <w:b/>
                <w:spacing w:val="-8"/>
                <w:sz w:val="24"/>
              </w:rPr>
              <w:t xml:space="preserve"> </w:t>
            </w:r>
            <w:r>
              <w:rPr>
                <w:b/>
                <w:sz w:val="24"/>
              </w:rPr>
              <w:t>to</w:t>
            </w:r>
            <w:r>
              <w:rPr>
                <w:b/>
                <w:spacing w:val="-7"/>
                <w:sz w:val="24"/>
              </w:rPr>
              <w:t xml:space="preserve"> </w:t>
            </w:r>
            <w:r>
              <w:rPr>
                <w:b/>
                <w:sz w:val="24"/>
              </w:rPr>
              <w:t>relocate</w:t>
            </w:r>
            <w:r>
              <w:rPr>
                <w:b/>
                <w:spacing w:val="-7"/>
                <w:sz w:val="24"/>
              </w:rPr>
              <w:t xml:space="preserve"> </w:t>
            </w:r>
            <w:r>
              <w:rPr>
                <w:b/>
                <w:sz w:val="24"/>
              </w:rPr>
              <w:t>to</w:t>
            </w:r>
            <w:r>
              <w:rPr>
                <w:b/>
                <w:spacing w:val="-7"/>
                <w:sz w:val="24"/>
              </w:rPr>
              <w:t xml:space="preserve"> </w:t>
            </w:r>
            <w:r>
              <w:rPr>
                <w:b/>
                <w:sz w:val="24"/>
              </w:rPr>
              <w:t>the</w:t>
            </w:r>
            <w:r>
              <w:rPr>
                <w:b/>
                <w:spacing w:val="-8"/>
                <w:sz w:val="24"/>
              </w:rPr>
              <w:t xml:space="preserve"> </w:t>
            </w:r>
            <w:r>
              <w:rPr>
                <w:b/>
                <w:sz w:val="24"/>
              </w:rPr>
              <w:t>UK (as of 9 June 2026)</w:t>
            </w:r>
          </w:p>
        </w:tc>
        <w:tc>
          <w:tcPr>
            <w:tcW w:w="3400" w:type="dxa"/>
          </w:tcPr>
          <w:p>
            <w:pPr>
              <w:pStyle w:val="TableParagraph"/>
              <w:rPr>
                <w:b/>
                <w:sz w:val="24"/>
              </w:rPr>
            </w:pPr>
            <w:r>
              <w:rPr>
                <w:b/>
                <w:sz w:val="24"/>
              </w:rPr>
              <w:t>Left</w:t>
            </w:r>
            <w:r>
              <w:rPr>
                <w:b/>
                <w:spacing w:val="-9"/>
                <w:sz w:val="24"/>
              </w:rPr>
              <w:t xml:space="preserve"> </w:t>
            </w:r>
            <w:r>
              <w:rPr>
                <w:b/>
                <w:sz w:val="24"/>
              </w:rPr>
              <w:t>to</w:t>
            </w:r>
            <w:r>
              <w:rPr>
                <w:b/>
                <w:spacing w:val="-8"/>
                <w:sz w:val="24"/>
              </w:rPr>
              <w:t xml:space="preserve"> </w:t>
            </w:r>
            <w:r>
              <w:rPr>
                <w:b/>
                <w:sz w:val="24"/>
              </w:rPr>
              <w:t>travel</w:t>
            </w:r>
            <w:r>
              <w:rPr>
                <w:b/>
                <w:spacing w:val="-7"/>
                <w:sz w:val="24"/>
              </w:rPr>
              <w:t xml:space="preserve"> </w:t>
            </w:r>
            <w:r>
              <w:rPr>
                <w:b/>
                <w:sz w:val="24"/>
              </w:rPr>
              <w:t>and</w:t>
            </w:r>
            <w:r>
              <w:rPr>
                <w:b/>
                <w:spacing w:val="-10"/>
                <w:sz w:val="24"/>
              </w:rPr>
              <w:t xml:space="preserve"> </w:t>
            </w:r>
            <w:r>
              <w:rPr>
                <w:b/>
                <w:sz w:val="24"/>
              </w:rPr>
              <w:t>in</w:t>
            </w:r>
            <w:r>
              <w:rPr>
                <w:b/>
                <w:spacing w:val="-8"/>
                <w:sz w:val="24"/>
              </w:rPr>
              <w:t xml:space="preserve"> </w:t>
            </w:r>
            <w:r>
              <w:rPr>
                <w:b/>
                <w:sz w:val="24"/>
              </w:rPr>
              <w:t>the pipeline for relocation</w:t>
            </w:r>
          </w:p>
        </w:tc>
      </w:tr>
      <w:tr>
        <w:tblPrEx>
          <w:tblW w:w="0" w:type="auto"/>
          <w:jc w:val="left"/>
          <w:tblInd w:w="5" w:type="dxa"/>
          <w:tblLayout w:type="fixed"/>
          <w:tblCellMar>
            <w:top w:w="0" w:type="dxa"/>
            <w:left w:w="0" w:type="dxa"/>
            <w:bottom w:w="0" w:type="dxa"/>
            <w:right w:w="0" w:type="dxa"/>
          </w:tblCellMar>
          <w:tblLook w:val="01E0"/>
        </w:tblPrEx>
        <w:trPr>
          <w:trHeight w:val="1931"/>
          <w:jc w:val="left"/>
        </w:trPr>
        <w:tc>
          <w:tcPr>
            <w:tcW w:w="2690" w:type="dxa"/>
          </w:tcPr>
          <w:p>
            <w:pPr>
              <w:pStyle w:val="TableParagraph"/>
              <w:ind w:left="107"/>
              <w:rPr>
                <w:sz w:val="24"/>
              </w:rPr>
            </w:pPr>
            <w:r>
              <w:rPr>
                <w:spacing w:val="-2"/>
                <w:sz w:val="24"/>
              </w:rPr>
              <w:t>38,617</w:t>
            </w:r>
          </w:p>
        </w:tc>
        <w:tc>
          <w:tcPr>
            <w:tcW w:w="3117" w:type="dxa"/>
          </w:tcPr>
          <w:p>
            <w:pPr>
              <w:pStyle w:val="TableParagraph"/>
              <w:ind w:left="105"/>
              <w:rPr>
                <w:sz w:val="24"/>
              </w:rPr>
            </w:pPr>
            <w:r>
              <w:rPr>
                <w:spacing w:val="-2"/>
                <w:sz w:val="24"/>
              </w:rPr>
              <w:t>~7,000</w:t>
            </w:r>
          </w:p>
        </w:tc>
        <w:tc>
          <w:tcPr>
            <w:tcW w:w="3400" w:type="dxa"/>
          </w:tcPr>
          <w:p>
            <w:pPr>
              <w:pStyle w:val="TableParagraph"/>
              <w:rPr>
                <w:sz w:val="24"/>
              </w:rPr>
            </w:pPr>
            <w:r>
              <w:rPr>
                <w:spacing w:val="-2"/>
                <w:sz w:val="24"/>
              </w:rPr>
              <w:t>~4,800</w:t>
            </w:r>
          </w:p>
          <w:p>
            <w:pPr>
              <w:pStyle w:val="TableParagraph"/>
              <w:ind w:left="0"/>
              <w:rPr>
                <w:b/>
                <w:sz w:val="24"/>
              </w:rPr>
            </w:pPr>
          </w:p>
          <w:p>
            <w:pPr>
              <w:pStyle w:val="TableParagraph"/>
              <w:ind w:right="101"/>
              <w:rPr>
                <w:b/>
                <w:i/>
                <w:sz w:val="24"/>
              </w:rPr>
            </w:pPr>
            <w:r>
              <w:rPr>
                <w:b/>
                <w:i/>
                <w:sz w:val="24"/>
              </w:rPr>
              <w:t>Of which are estimated to</w:t>
            </w:r>
            <w:r>
              <w:rPr>
                <w:b/>
                <w:i/>
                <w:sz w:val="24"/>
              </w:rPr>
              <w:t xml:space="preserve"> be</w:t>
            </w:r>
            <w:r>
              <w:rPr>
                <w:b/>
                <w:i/>
                <w:spacing w:val="-9"/>
                <w:sz w:val="24"/>
              </w:rPr>
              <w:t xml:space="preserve"> </w:t>
            </w:r>
            <w:r>
              <w:rPr>
                <w:b/>
                <w:i/>
                <w:sz w:val="24"/>
              </w:rPr>
              <w:t>in</w:t>
            </w:r>
            <w:r>
              <w:rPr>
                <w:b/>
                <w:i/>
                <w:spacing w:val="-10"/>
                <w:sz w:val="24"/>
              </w:rPr>
              <w:t xml:space="preserve"> </w:t>
            </w:r>
            <w:r>
              <w:rPr>
                <w:b/>
                <w:i/>
                <w:sz w:val="24"/>
              </w:rPr>
              <w:t>Afghanistan</w:t>
            </w:r>
            <w:r>
              <w:rPr>
                <w:b/>
                <w:i/>
                <w:spacing w:val="-10"/>
                <w:sz w:val="24"/>
              </w:rPr>
              <w:t xml:space="preserve"> </w:t>
            </w:r>
            <w:r>
              <w:rPr>
                <w:b/>
                <w:i/>
                <w:sz w:val="24"/>
              </w:rPr>
              <w:t>based</w:t>
            </w:r>
            <w:r>
              <w:rPr>
                <w:b/>
                <w:i/>
                <w:spacing w:val="-10"/>
                <w:sz w:val="24"/>
              </w:rPr>
              <w:t xml:space="preserve"> </w:t>
            </w:r>
            <w:r>
              <w:rPr>
                <w:b/>
                <w:i/>
                <w:sz w:val="24"/>
              </w:rPr>
              <w:t>on their last known location:</w:t>
            </w:r>
          </w:p>
          <w:p>
            <w:pPr>
              <w:pStyle w:val="TableParagraph"/>
              <w:ind w:left="0"/>
              <w:rPr>
                <w:b/>
                <w:sz w:val="24"/>
              </w:rPr>
            </w:pPr>
          </w:p>
          <w:p>
            <w:pPr>
              <w:pStyle w:val="TableParagraph"/>
              <w:spacing w:line="255" w:lineRule="exact"/>
              <w:rPr>
                <w:sz w:val="24"/>
              </w:rPr>
            </w:pPr>
            <w:r>
              <w:rPr>
                <w:spacing w:val="-2"/>
                <w:sz w:val="24"/>
              </w:rPr>
              <w:t>~3,700</w:t>
            </w:r>
          </w:p>
        </w:tc>
      </w:tr>
    </w:tbl>
    <w:p>
      <w:pPr>
        <w:pStyle w:val="BodyText"/>
        <w:spacing w:before="1"/>
        <w:rPr>
          <w:b/>
        </w:rPr>
      </w:pPr>
    </w:p>
    <w:p>
      <w:pPr>
        <w:pStyle w:val="BodyText"/>
        <w:ind w:right="406"/>
      </w:pPr>
      <w:r>
        <w:t>As</w:t>
      </w:r>
      <w:r>
        <w:rPr>
          <w:spacing w:val="-3"/>
        </w:rPr>
        <w:t xml:space="preserve"> </w:t>
      </w:r>
      <w:r>
        <w:t>we</w:t>
      </w:r>
      <w:r>
        <w:rPr>
          <w:spacing w:val="-2"/>
        </w:rPr>
        <w:t xml:space="preserve"> </w:t>
      </w:r>
      <w:r>
        <w:t>take</w:t>
      </w:r>
      <w:r>
        <w:rPr>
          <w:spacing w:val="-2"/>
        </w:rPr>
        <w:t xml:space="preserve"> </w:t>
      </w:r>
      <w:r>
        <w:t>eligibility</w:t>
      </w:r>
      <w:r>
        <w:rPr>
          <w:spacing w:val="-3"/>
        </w:rPr>
        <w:t xml:space="preserve"> </w:t>
      </w:r>
      <w:r>
        <w:t>decisions</w:t>
      </w:r>
      <w:r>
        <w:rPr>
          <w:spacing w:val="-3"/>
        </w:rPr>
        <w:t xml:space="preserve"> </w:t>
      </w:r>
      <w:r>
        <w:t>on</w:t>
      </w:r>
      <w:r>
        <w:rPr>
          <w:spacing w:val="-2"/>
        </w:rPr>
        <w:t xml:space="preserve"> </w:t>
      </w:r>
      <w:r>
        <w:t>the</w:t>
      </w:r>
      <w:r>
        <w:rPr>
          <w:spacing w:val="-2"/>
        </w:rPr>
        <w:t xml:space="preserve"> </w:t>
      </w:r>
      <w:r>
        <w:t>applications</w:t>
      </w:r>
      <w:r>
        <w:rPr>
          <w:spacing w:val="-3"/>
        </w:rPr>
        <w:t xml:space="preserve"> </w:t>
      </w:r>
      <w:r>
        <w:t>remaining</w:t>
      </w:r>
      <w:r>
        <w:rPr>
          <w:spacing w:val="-2"/>
        </w:rPr>
        <w:t xml:space="preserve"> </w:t>
      </w:r>
      <w:r>
        <w:t>and</w:t>
      </w:r>
      <w:r>
        <w:rPr>
          <w:spacing w:val="-4"/>
        </w:rPr>
        <w:t xml:space="preserve"> </w:t>
      </w:r>
      <w:r>
        <w:t>as</w:t>
      </w:r>
      <w:r>
        <w:rPr>
          <w:spacing w:val="-5"/>
        </w:rPr>
        <w:t xml:space="preserve"> </w:t>
      </w:r>
      <w:r>
        <w:t>eligible</w:t>
      </w:r>
      <w:r>
        <w:rPr>
          <w:spacing w:val="-2"/>
        </w:rPr>
        <w:t xml:space="preserve"> </w:t>
      </w:r>
      <w:r>
        <w:t>Afghans move to the UK, we continually refine our estimates of those remaining to relocate. This will continue to be kept under review. It remains the Government’s ambition for eligible Afghans to have relocated to the UK by the end of 2028.</w:t>
      </w:r>
    </w:p>
    <w:p>
      <w:pPr>
        <w:pStyle w:val="BodyText"/>
        <w:spacing w:after="0"/>
        <w:sectPr>
          <w:pgSz w:w="11910" w:h="16840"/>
          <w:pgMar w:top="1340" w:right="1080" w:bottom="280" w:left="1440" w:header="276" w:footer="0"/>
          <w:cols w:space="720"/>
        </w:sectPr>
      </w:pPr>
    </w:p>
    <w:p>
      <w:pPr>
        <w:pStyle w:val="Heading1"/>
        <w:spacing w:before="82"/>
        <w:rPr>
          <w:u w:val="none"/>
        </w:rPr>
      </w:pPr>
      <w:r>
        <w:rPr>
          <w:u w:val="single"/>
        </w:rPr>
        <w:t>Programme</w:t>
      </w:r>
      <w:r>
        <w:rPr>
          <w:spacing w:val="-3"/>
          <w:u w:val="single"/>
        </w:rPr>
        <w:t xml:space="preserve"> </w:t>
      </w:r>
      <w:r>
        <w:rPr>
          <w:spacing w:val="-4"/>
          <w:u w:val="single"/>
        </w:rPr>
        <w:t>Costs</w:t>
      </w:r>
    </w:p>
    <w:p>
      <w:pPr>
        <w:pStyle w:val="BodyText"/>
        <w:rPr>
          <w:b/>
        </w:rPr>
      </w:pPr>
    </w:p>
    <w:p>
      <w:pPr>
        <w:pStyle w:val="BodyText"/>
      </w:pPr>
      <w:r>
        <w:t>We</w:t>
      </w:r>
      <w:r>
        <w:rPr>
          <w:spacing w:val="-4"/>
        </w:rPr>
        <w:t xml:space="preserve"> </w:t>
      </w:r>
      <w:r>
        <w:t>are</w:t>
      </w:r>
      <w:r>
        <w:rPr>
          <w:spacing w:val="-2"/>
        </w:rPr>
        <w:t xml:space="preserve"> </w:t>
      </w:r>
      <w:r>
        <w:t>currently</w:t>
      </w:r>
      <w:r>
        <w:rPr>
          <w:spacing w:val="-3"/>
        </w:rPr>
        <w:t xml:space="preserve"> </w:t>
      </w:r>
      <w:r>
        <w:t>re-baselining</w:t>
      </w:r>
      <w:r>
        <w:rPr>
          <w:spacing w:val="-2"/>
        </w:rPr>
        <w:t xml:space="preserve"> </w:t>
      </w:r>
      <w:r>
        <w:t>the</w:t>
      </w:r>
      <w:r>
        <w:rPr>
          <w:spacing w:val="-4"/>
        </w:rPr>
        <w:t xml:space="preserve"> </w:t>
      </w:r>
      <w:r>
        <w:t>programme</w:t>
      </w:r>
      <w:r>
        <w:rPr>
          <w:spacing w:val="-2"/>
        </w:rPr>
        <w:t xml:space="preserve"> </w:t>
      </w:r>
      <w:r>
        <w:t>and</w:t>
      </w:r>
      <w:r>
        <w:rPr>
          <w:spacing w:val="-2"/>
        </w:rPr>
        <w:t xml:space="preserve"> </w:t>
      </w:r>
      <w:r>
        <w:t>will</w:t>
      </w:r>
      <w:r>
        <w:rPr>
          <w:spacing w:val="-3"/>
        </w:rPr>
        <w:t xml:space="preserve"> </w:t>
      </w:r>
      <w:r>
        <w:t>provide</w:t>
      </w:r>
      <w:r>
        <w:rPr>
          <w:spacing w:val="-5"/>
        </w:rPr>
        <w:t xml:space="preserve"> </w:t>
      </w:r>
      <w:r>
        <w:t>the</w:t>
      </w:r>
      <w:r>
        <w:rPr>
          <w:spacing w:val="-7"/>
        </w:rPr>
        <w:t xml:space="preserve"> </w:t>
      </w:r>
      <w:r>
        <w:t>Public</w:t>
      </w:r>
      <w:r>
        <w:rPr>
          <w:spacing w:val="-3"/>
        </w:rPr>
        <w:t xml:space="preserve"> </w:t>
      </w:r>
      <w:r>
        <w:t>Accounts Committee with updated figures on the estimated costs in due course.</w:t>
      </w:r>
    </w:p>
    <w:p>
      <w:pPr>
        <w:pStyle w:val="BodyText"/>
      </w:pPr>
    </w:p>
    <w:p>
      <w:pPr>
        <w:pStyle w:val="Heading1"/>
        <w:rPr>
          <w:u w:val="none"/>
        </w:rPr>
      </w:pPr>
      <w:r>
        <w:rPr>
          <w:u w:val="single"/>
        </w:rPr>
        <w:t>Forward</w:t>
      </w:r>
      <w:r>
        <w:rPr>
          <w:spacing w:val="-2"/>
          <w:u w:val="single"/>
        </w:rPr>
        <w:t xml:space="preserve"> </w:t>
      </w:r>
      <w:r>
        <w:rPr>
          <w:spacing w:val="-4"/>
          <w:u w:val="single"/>
        </w:rPr>
        <w:t>Look</w:t>
      </w:r>
    </w:p>
    <w:p>
      <w:pPr>
        <w:pStyle w:val="BodyText"/>
        <w:rPr>
          <w:b/>
        </w:rPr>
      </w:pPr>
    </w:p>
    <w:p>
      <w:pPr>
        <w:pStyle w:val="BodyText"/>
        <w:ind w:right="404"/>
      </w:pPr>
      <w:r>
        <w:t>As</w:t>
      </w:r>
      <w:r>
        <w:rPr>
          <w:spacing w:val="-2"/>
        </w:rPr>
        <w:t xml:space="preserve"> </w:t>
      </w:r>
      <w:r>
        <w:t>the</w:t>
      </w:r>
      <w:r>
        <w:rPr>
          <w:spacing w:val="-3"/>
        </w:rPr>
        <w:t xml:space="preserve"> </w:t>
      </w:r>
      <w:r>
        <w:t>programmatic</w:t>
      </w:r>
      <w:r>
        <w:rPr>
          <w:spacing w:val="-4"/>
        </w:rPr>
        <w:t xml:space="preserve"> </w:t>
      </w:r>
      <w:r>
        <w:t>maturity</w:t>
      </w:r>
      <w:r>
        <w:rPr>
          <w:spacing w:val="-2"/>
        </w:rPr>
        <w:t xml:space="preserve"> </w:t>
      </w:r>
      <w:r>
        <w:t>of</w:t>
      </w:r>
      <w:r>
        <w:rPr>
          <w:spacing w:val="-4"/>
        </w:rPr>
        <w:t xml:space="preserve"> </w:t>
      </w:r>
      <w:r>
        <w:t>the</w:t>
      </w:r>
      <w:r>
        <w:rPr>
          <w:spacing w:val="-3"/>
        </w:rPr>
        <w:t xml:space="preserve"> </w:t>
      </w:r>
      <w:r>
        <w:t>ARP</w:t>
      </w:r>
      <w:r>
        <w:rPr>
          <w:spacing w:val="-1"/>
        </w:rPr>
        <w:t xml:space="preserve"> </w:t>
      </w:r>
      <w:r>
        <w:t>continues</w:t>
      </w:r>
      <w:r>
        <w:rPr>
          <w:spacing w:val="-2"/>
        </w:rPr>
        <w:t xml:space="preserve"> </w:t>
      </w:r>
      <w:r>
        <w:t>to</w:t>
      </w:r>
      <w:r>
        <w:rPr>
          <w:spacing w:val="-3"/>
        </w:rPr>
        <w:t xml:space="preserve"> </w:t>
      </w:r>
      <w:r>
        <w:t>grow,</w:t>
      </w:r>
      <w:r>
        <w:rPr>
          <w:spacing w:val="-1"/>
        </w:rPr>
        <w:t xml:space="preserve"> </w:t>
      </w:r>
      <w:r>
        <w:t>work</w:t>
      </w:r>
      <w:r>
        <w:rPr>
          <w:spacing w:val="-4"/>
        </w:rPr>
        <w:t xml:space="preserve"> </w:t>
      </w:r>
      <w:r>
        <w:t>over</w:t>
      </w:r>
      <w:r>
        <w:rPr>
          <w:spacing w:val="-3"/>
        </w:rPr>
        <w:t xml:space="preserve"> </w:t>
      </w:r>
      <w:r>
        <w:t>the</w:t>
      </w:r>
      <w:r>
        <w:rPr>
          <w:spacing w:val="-1"/>
        </w:rPr>
        <w:t xml:space="preserve"> </w:t>
      </w:r>
      <w:r>
        <w:t>next</w:t>
      </w:r>
      <w:r>
        <w:rPr>
          <w:spacing w:val="-1"/>
        </w:rPr>
        <w:t xml:space="preserve"> </w:t>
      </w:r>
      <w:r>
        <w:t xml:space="preserve">few months will focus on implementing the KPIs for all workstreams. As set out in the letter, measures of integration are also being developed and led predominantly by the Home Office. Management information for integration outcomes and other relevant data sources will be reported to the Programme Board and Executive </w:t>
      </w:r>
      <w:r>
        <w:rPr>
          <w:spacing w:val="-2"/>
        </w:rPr>
        <w:t>Committee.</w:t>
      </w:r>
    </w:p>
    <w:p>
      <w:pPr>
        <w:pStyle w:val="BodyText"/>
      </w:pPr>
    </w:p>
    <w:p>
      <w:pPr>
        <w:pStyle w:val="BodyText"/>
        <w:ind w:right="406"/>
      </w:pPr>
      <w:r>
        <w:t>Updates on programme management work will be provided to the NAO as the Government implements their recommendations, including with updated financial information</w:t>
      </w:r>
      <w:r>
        <w:rPr>
          <w:spacing w:val="-2"/>
        </w:rPr>
        <w:t xml:space="preserve"> </w:t>
      </w:r>
      <w:r>
        <w:t>in</w:t>
      </w:r>
      <w:r>
        <w:rPr>
          <w:spacing w:val="-2"/>
        </w:rPr>
        <w:t xml:space="preserve"> </w:t>
      </w:r>
      <w:r>
        <w:t>Autumn</w:t>
      </w:r>
      <w:r>
        <w:rPr>
          <w:spacing w:val="-4"/>
        </w:rPr>
        <w:t xml:space="preserve"> </w:t>
      </w:r>
      <w:r>
        <w:t>2026.</w:t>
      </w:r>
      <w:r>
        <w:rPr>
          <w:spacing w:val="-2"/>
        </w:rPr>
        <w:t xml:space="preserve"> </w:t>
      </w:r>
      <w:r>
        <w:t>This</w:t>
      </w:r>
      <w:r>
        <w:rPr>
          <w:spacing w:val="-5"/>
        </w:rPr>
        <w:t xml:space="preserve"> </w:t>
      </w:r>
      <w:r>
        <w:t>also</w:t>
      </w:r>
      <w:r>
        <w:rPr>
          <w:spacing w:val="-2"/>
        </w:rPr>
        <w:t xml:space="preserve"> </w:t>
      </w:r>
      <w:r>
        <w:t>provides</w:t>
      </w:r>
      <w:r>
        <w:rPr>
          <w:spacing w:val="-3"/>
        </w:rPr>
        <w:t xml:space="preserve"> </w:t>
      </w:r>
      <w:r>
        <w:t>a</w:t>
      </w:r>
      <w:r>
        <w:rPr>
          <w:spacing w:val="-2"/>
        </w:rPr>
        <w:t xml:space="preserve"> </w:t>
      </w:r>
      <w:r>
        <w:t>form</w:t>
      </w:r>
      <w:r>
        <w:rPr>
          <w:spacing w:val="-4"/>
        </w:rPr>
        <w:t xml:space="preserve"> </w:t>
      </w:r>
      <w:r>
        <w:t>of</w:t>
      </w:r>
      <w:r>
        <w:rPr>
          <w:spacing w:val="-5"/>
        </w:rPr>
        <w:t xml:space="preserve"> </w:t>
      </w:r>
      <w:r>
        <w:t>external</w:t>
      </w:r>
      <w:r>
        <w:rPr>
          <w:spacing w:val="-3"/>
        </w:rPr>
        <w:t xml:space="preserve"> </w:t>
      </w:r>
      <w:r>
        <w:t>assessment</w:t>
      </w:r>
      <w:r>
        <w:rPr>
          <w:spacing w:val="-2"/>
        </w:rPr>
        <w:t xml:space="preserve"> </w:t>
      </w:r>
      <w:r>
        <w:t>which will cover delivery of the programme and could consider benefits realisation as we look towards completion by the end of this Parliament.</w:t>
      </w:r>
    </w:p>
    <w:sectPr>
      <w:pgSz w:w="11910" w:h="16840"/>
      <w:pgMar w:top="1340" w:right="1080" w:bottom="280" w:left="1440" w:header="276" w:foo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charset w:val="00"/>
    <w:family w:val="roman"/>
    <w:pitch w:val="variable"/>
  </w:font>
  <w:font w:name="Arial">
    <w:altName w:val="Arial"/>
    <w:charset w:val="00"/>
    <w:family w:val="swiss"/>
    <w:pitch w:val="variable"/>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rPr>
        <w:sz w:val="20"/>
      </w:rPr>
      <w:pict>
        <v:shapetype id="_x0000_t202" coordsize="21600,21600" o:spt="202" path="m,l,21600r21600,l21600,xe">
          <v:stroke joinstyle="miter"/>
          <v:path gradientshapeok="t" o:connecttype="rect"/>
        </v:shapetype>
        <v:shape id="_x0000_i2049" type="#_x0000_t202" style="height:13.15pt;mso-position-horizontal-relative:page;mso-position-vertical-relative:page;width:59.65pt">
          <v:textbox inset="0,0,0,0">
            <w:txbxContent>
              <w:p>
                <w:pPr>
                  <w:spacing w:before="12"/>
                  <w:ind w:left="20" w:right="0" w:firstLine="0"/>
                  <w:jc w:val="left"/>
                  <w:rPr>
                    <w:b/>
                    <w:sz w:val="20"/>
                  </w:rPr>
                </w:pPr>
                <w:r>
                  <w:rPr>
                    <w:b/>
                    <w:spacing w:val="-2"/>
                    <w:sz w:val="20"/>
                  </w:rPr>
                  <w:t>ADBRS0039</w:t>
                </w:r>
              </w:p>
            </w:txbxContent>
          </v:textbox>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rPr>
        <w:sz w:val="20"/>
      </w:rPr>
      <w:pict>
        <v:shapetype id="_x0000_t202" coordsize="21600,21600" o:spt="202" path="m,l,21600r21600,l21600,xe">
          <v:stroke joinstyle="miter"/>
          <v:path gradientshapeok="t" o:connecttype="rect"/>
        </v:shapetype>
        <v:shape id="_x0000_i2050" type="#_x0000_t202" style="height:13.15pt;mso-position-horizontal-relative:page;mso-position-vertical-relative:page;width:59.65pt">
          <v:textbox inset="0,0,0,0">
            <w:txbxContent>
              <w:p>
                <w:pPr>
                  <w:spacing w:before="12"/>
                  <w:ind w:left="20" w:right="0" w:firstLine="0"/>
                  <w:jc w:val="left"/>
                  <w:rPr>
                    <w:b/>
                    <w:sz w:val="20"/>
                  </w:rPr>
                </w:pPr>
                <w:r>
                  <w:rPr>
                    <w:b/>
                    <w:spacing w:val="-2"/>
                    <w:sz w:val="20"/>
                  </w:rPr>
                  <w:t>ADBRS0039</w:t>
                </w:r>
              </w:p>
            </w:txbxContent>
          </v:textbox>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TrackMoves/>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lang w:val="en-US" w:eastAsia="en-US" w:bidi="ar-SA"/>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Arial" w:eastAsia="Arial" w:hAnsi="Arial" w:cs="Arial"/>
      <w:sz w:val="24"/>
      <w:szCs w:val="24"/>
      <w:lang w:val="en-US" w:eastAsia="en-US" w:bidi="ar-SA"/>
    </w:rPr>
  </w:style>
  <w:style w:type="paragraph" w:customStyle="1" w:styleId="Heading1">
    <w:name w:val="Heading 1"/>
    <w:basedOn w:val="Normal"/>
    <w:uiPriority w:val="1"/>
    <w:qFormat/>
    <w:pPr>
      <w:outlineLvl w:val="1"/>
    </w:pPr>
    <w:rPr>
      <w:rFonts w:ascii="Arial" w:eastAsia="Arial" w:hAnsi="Arial" w:cs="Arial"/>
      <w:b/>
      <w:bCs/>
      <w:sz w:val="24"/>
      <w:szCs w:val="24"/>
      <w:u w:val="single" w:color="000000"/>
      <w:lang w:val="en-US" w:eastAsia="en-US" w:bidi="ar-SA"/>
    </w:rPr>
  </w:style>
  <w:style w:type="paragraph" w:styleId="ListParagraph">
    <w:name w:val="List Paragraph"/>
    <w:basedOn w:val="Normal"/>
    <w:uiPriority w:val="1"/>
    <w:qFormat/>
    <w:rPr>
      <w:lang w:val="en-US" w:eastAsia="en-US" w:bidi="ar-SA"/>
    </w:rPr>
  </w:style>
  <w:style w:type="paragraph" w:customStyle="1" w:styleId="TableParagraph">
    <w:name w:val="Table Paragraph"/>
    <w:basedOn w:val="Normal"/>
    <w:uiPriority w:val="1"/>
    <w:qFormat/>
    <w:pPr>
      <w:ind w:left="108"/>
    </w:pPr>
    <w:rPr>
      <w:rFonts w:ascii="Arial" w:eastAsia="Arial" w:hAnsi="Arial" w:cs="Arial"/>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header" Target="header1.xml" /><Relationship Id="rId6" Type="http://schemas.openxmlformats.org/officeDocument/2006/relationships/image" Target="media/image2.png" /><Relationship Id="rId7" Type="http://schemas.openxmlformats.org/officeDocument/2006/relationships/header" Target="header2.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ADBRS0039</dc:title>
  <cp:revision>0</cp:revision>
</cp:coreProperties>
</file>