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72D7B" w:rsidP="00672D7B">
      <w:pPr>
        <w:jc w:val="center"/>
        <w:rPr>
          <w:b/>
          <w:bCs/>
        </w:rPr>
      </w:pPr>
      <w:r>
        <w:rPr>
          <w:b/>
          <w:bCs/>
        </w:rPr>
        <w:t>Written evidence submitted by Simon Gurney (LUN0032)</w:t>
      </w:r>
    </w:p>
    <w:p w:rsidR="00000000">
      <w:pPr>
        <w:rPr>
          <w:b/>
          <w:bCs/>
        </w:rPr>
      </w:pPr>
      <w:r w:rsidRPr="00A81BBF">
        <w:rPr>
          <w:b/>
          <w:bCs/>
        </w:rPr>
        <w:t xml:space="preserve">EFRA Select Committee Inquiry- Uplands Call </w:t>
      </w:r>
      <w:r w:rsidRPr="00A81BBF">
        <w:rPr>
          <w:b/>
          <w:bCs/>
        </w:rPr>
        <w:t>For</w:t>
      </w:r>
      <w:r w:rsidRPr="00A81BBF">
        <w:rPr>
          <w:b/>
          <w:bCs/>
        </w:rPr>
        <w:t xml:space="preserve"> Evidence- For 26</w:t>
      </w:r>
      <w:r w:rsidRPr="00A81BBF">
        <w:rPr>
          <w:b/>
          <w:bCs/>
          <w:vertAlign w:val="superscript"/>
        </w:rPr>
        <w:t>th</w:t>
      </w:r>
      <w:r w:rsidRPr="00A81BBF">
        <w:rPr>
          <w:b/>
          <w:bCs/>
        </w:rPr>
        <w:t xml:space="preserve"> June 2026</w:t>
      </w:r>
    </w:p>
    <w:p w:rsidR="00000000">
      <w:pPr>
        <w:rPr>
          <w:b/>
          <w:bCs/>
          <w:sz w:val="20"/>
          <w:szCs w:val="20"/>
        </w:rPr>
      </w:pPr>
      <w:r w:rsidRPr="00A81BBF">
        <w:rPr>
          <w:b/>
          <w:bCs/>
          <w:sz w:val="20"/>
          <w:szCs w:val="20"/>
        </w:rPr>
        <w:t xml:space="preserve">Why I have chosen to submit evidence </w:t>
      </w:r>
    </w:p>
    <w:p w:rsidR="00000000">
      <w:pPr>
        <w:rPr>
          <w:sz w:val="20"/>
          <w:szCs w:val="20"/>
        </w:rPr>
      </w:pPr>
      <w:r>
        <w:rPr>
          <w:sz w:val="20"/>
          <w:szCs w:val="20"/>
        </w:rPr>
        <w:t>I am a land manager working in the uplands of Yorkshire and Derbyshire much of which is moorland and</w:t>
      </w:r>
      <w:r>
        <w:rPr>
          <w:sz w:val="20"/>
          <w:szCs w:val="20"/>
        </w:rPr>
        <w:t xml:space="preserve"> severely disadvantaged</w:t>
      </w:r>
      <w:r>
        <w:rPr>
          <w:sz w:val="20"/>
          <w:szCs w:val="20"/>
        </w:rPr>
        <w:t xml:space="preserve"> and usually with SSSI, SPA, SAC and National Park designations.</w:t>
      </w:r>
    </w:p>
    <w:p w:rsidR="00000000">
      <w:pPr>
        <w:rPr>
          <w:sz w:val="20"/>
          <w:szCs w:val="20"/>
        </w:rPr>
      </w:pPr>
      <w:r>
        <w:rPr>
          <w:sz w:val="20"/>
          <w:szCs w:val="20"/>
        </w:rPr>
        <w:t xml:space="preserve">Over 40 years I have seen the Farmers, Gamekeepers and often remote rural communities gradually diminished, disrespected and ultimately ignored in favour of policies dreamed up by governments </w:t>
      </w:r>
      <w:r>
        <w:rPr>
          <w:sz w:val="20"/>
          <w:szCs w:val="20"/>
        </w:rPr>
        <w:t xml:space="preserve">unashamedly playing to a largely urban electorate and </w:t>
      </w:r>
      <w:r>
        <w:rPr>
          <w:sz w:val="20"/>
          <w:szCs w:val="20"/>
        </w:rPr>
        <w:t>demonstrating a callousness towards the rural economy</w:t>
      </w:r>
      <w:r>
        <w:rPr>
          <w:sz w:val="20"/>
          <w:szCs w:val="20"/>
        </w:rPr>
        <w:t xml:space="preserve"> </w:t>
      </w:r>
      <w:r>
        <w:rPr>
          <w:sz w:val="20"/>
          <w:szCs w:val="20"/>
        </w:rPr>
        <w:t>(</w:t>
      </w:r>
      <w:r>
        <w:rPr>
          <w:sz w:val="20"/>
          <w:szCs w:val="20"/>
        </w:rPr>
        <w:t>and I’m not referring in this submission to Capital Taxation</w:t>
      </w:r>
      <w:r>
        <w:rPr>
          <w:sz w:val="20"/>
          <w:szCs w:val="20"/>
        </w:rPr>
        <w:t>)</w:t>
      </w:r>
      <w:r>
        <w:rPr>
          <w:sz w:val="20"/>
          <w:szCs w:val="20"/>
        </w:rPr>
        <w:t>.</w:t>
      </w:r>
    </w:p>
    <w:p w:rsidR="00000000">
      <w:pPr>
        <w:rPr>
          <w:sz w:val="20"/>
          <w:szCs w:val="20"/>
        </w:rPr>
      </w:pPr>
      <w:r>
        <w:rPr>
          <w:sz w:val="20"/>
          <w:szCs w:val="20"/>
        </w:rPr>
        <w:t xml:space="preserve">I should like to take this welcome opportunity to put to the committee just a few of my own views, referencing practical difficulties caused by ill </w:t>
      </w:r>
      <w:r>
        <w:rPr>
          <w:sz w:val="20"/>
          <w:szCs w:val="20"/>
        </w:rPr>
        <w:t>thought-out policies made by those lacking practical knowledge or experience. Some policies have wide ranging consequences often overlooked by those who draft and enforce them</w:t>
      </w:r>
      <w:r>
        <w:rPr>
          <w:sz w:val="20"/>
          <w:szCs w:val="20"/>
        </w:rPr>
        <w:t xml:space="preserve">. I will try to avoid political comment (there is cross party </w:t>
      </w:r>
      <w:r>
        <w:rPr>
          <w:sz w:val="20"/>
          <w:szCs w:val="20"/>
        </w:rPr>
        <w:t xml:space="preserve">and successive government negligence here) </w:t>
      </w:r>
      <w:r>
        <w:rPr>
          <w:sz w:val="20"/>
          <w:szCs w:val="20"/>
        </w:rPr>
        <w:t xml:space="preserve">my conclusion </w:t>
      </w:r>
      <w:r>
        <w:rPr>
          <w:sz w:val="20"/>
          <w:szCs w:val="20"/>
        </w:rPr>
        <w:t>is that much upland policy is ideologically driven</w:t>
      </w:r>
      <w:r>
        <w:rPr>
          <w:sz w:val="20"/>
          <w:szCs w:val="20"/>
        </w:rPr>
        <w:t xml:space="preserve"> by desktop conservationists who</w:t>
      </w:r>
      <w:r>
        <w:rPr>
          <w:sz w:val="20"/>
          <w:szCs w:val="20"/>
        </w:rPr>
        <w:t xml:space="preserve"> even if it proves to be misguided</w:t>
      </w:r>
      <w:r>
        <w:rPr>
          <w:sz w:val="20"/>
          <w:szCs w:val="20"/>
        </w:rPr>
        <w:t xml:space="preserve"> will not change course or risk losing face.</w:t>
      </w:r>
      <w:r>
        <w:rPr>
          <w:sz w:val="20"/>
          <w:szCs w:val="20"/>
        </w:rPr>
        <w:t xml:space="preserve">   </w:t>
      </w:r>
      <w:r>
        <w:rPr>
          <w:sz w:val="20"/>
          <w:szCs w:val="20"/>
        </w:rPr>
        <w:t>W</w:t>
      </w:r>
      <w:r>
        <w:rPr>
          <w:sz w:val="20"/>
          <w:szCs w:val="20"/>
        </w:rPr>
        <w:t>here high quality research is available it is often dismissed or “peer reviewed “ by those with their own agenda in favour of flawed research which might better suit the</w:t>
      </w:r>
      <w:r>
        <w:rPr>
          <w:sz w:val="20"/>
          <w:szCs w:val="20"/>
        </w:rPr>
        <w:t>ir agenda</w:t>
      </w:r>
      <w:r>
        <w:rPr>
          <w:sz w:val="20"/>
          <w:szCs w:val="20"/>
        </w:rPr>
        <w:t>.</w:t>
      </w:r>
      <w:r>
        <w:rPr>
          <w:sz w:val="20"/>
          <w:szCs w:val="20"/>
        </w:rPr>
        <w:t xml:space="preserve"> DEFRA, Natural England and The RPA, clear</w:t>
      </w:r>
      <w:r>
        <w:rPr>
          <w:sz w:val="20"/>
          <w:szCs w:val="20"/>
        </w:rPr>
        <w:t>ly</w:t>
      </w:r>
      <w:r>
        <w:rPr>
          <w:sz w:val="20"/>
          <w:szCs w:val="20"/>
        </w:rPr>
        <w:t xml:space="preserve"> favour  “</w:t>
      </w:r>
      <w:r>
        <w:rPr>
          <w:sz w:val="20"/>
          <w:szCs w:val="20"/>
        </w:rPr>
        <w:t>c</w:t>
      </w:r>
      <w:r>
        <w:rPr>
          <w:sz w:val="20"/>
          <w:szCs w:val="20"/>
        </w:rPr>
        <w:t>onservation “ bodies</w:t>
      </w:r>
      <w:r>
        <w:rPr>
          <w:sz w:val="20"/>
          <w:szCs w:val="20"/>
        </w:rPr>
        <w:t xml:space="preserve"> such as The</w:t>
      </w:r>
      <w:r>
        <w:rPr>
          <w:sz w:val="20"/>
          <w:szCs w:val="20"/>
        </w:rPr>
        <w:t xml:space="preserve"> National Trust, RSPB, </w:t>
      </w:r>
      <w:r>
        <w:rPr>
          <w:sz w:val="20"/>
          <w:szCs w:val="20"/>
        </w:rPr>
        <w:t xml:space="preserve">and </w:t>
      </w:r>
      <w:r>
        <w:rPr>
          <w:sz w:val="20"/>
          <w:szCs w:val="20"/>
        </w:rPr>
        <w:t>Wildlife Trusts who are treated as trusted partners whilst</w:t>
      </w:r>
      <w:r>
        <w:rPr>
          <w:sz w:val="20"/>
          <w:szCs w:val="20"/>
        </w:rPr>
        <w:t xml:space="preserve"> the farming community and Shooting interests are treated with contempt</w:t>
      </w:r>
      <w:r>
        <w:rPr>
          <w:sz w:val="20"/>
          <w:szCs w:val="20"/>
        </w:rPr>
        <w:t>.</w:t>
      </w:r>
      <w:r>
        <w:rPr>
          <w:sz w:val="20"/>
          <w:szCs w:val="20"/>
        </w:rPr>
        <w:t xml:space="preserve"> </w:t>
      </w:r>
      <w:r>
        <w:rPr>
          <w:sz w:val="20"/>
          <w:szCs w:val="20"/>
        </w:rPr>
        <w:t>T</w:t>
      </w:r>
      <w:r>
        <w:rPr>
          <w:sz w:val="20"/>
          <w:szCs w:val="20"/>
        </w:rPr>
        <w:t xml:space="preserve">he essential farm support last seen as BPS is firstly cut short </w:t>
      </w:r>
      <w:r>
        <w:rPr>
          <w:sz w:val="20"/>
          <w:szCs w:val="20"/>
        </w:rPr>
        <w:t xml:space="preserve">and </w:t>
      </w:r>
      <w:r>
        <w:rPr>
          <w:sz w:val="20"/>
          <w:szCs w:val="20"/>
        </w:rPr>
        <w:t>abruptly</w:t>
      </w:r>
      <w:r>
        <w:rPr>
          <w:sz w:val="20"/>
          <w:szCs w:val="20"/>
        </w:rPr>
        <w:t xml:space="preserve"> terminated early</w:t>
      </w:r>
      <w:r>
        <w:rPr>
          <w:sz w:val="20"/>
          <w:szCs w:val="20"/>
        </w:rPr>
        <w:t xml:space="preserve">, and the funds apparently diverted to expensive, </w:t>
      </w:r>
      <w:r>
        <w:rPr>
          <w:sz w:val="20"/>
          <w:szCs w:val="20"/>
        </w:rPr>
        <w:t>poor value for money</w:t>
      </w:r>
      <w:r>
        <w:rPr>
          <w:sz w:val="20"/>
          <w:szCs w:val="20"/>
        </w:rPr>
        <w:t xml:space="preserve"> </w:t>
      </w:r>
      <w:r>
        <w:rPr>
          <w:sz w:val="20"/>
          <w:szCs w:val="20"/>
        </w:rPr>
        <w:t>c</w:t>
      </w:r>
      <w:r>
        <w:rPr>
          <w:sz w:val="20"/>
          <w:szCs w:val="20"/>
        </w:rPr>
        <w:t>onservation measures which fail to achieve and absorb vast amounts in administration and consultancy</w:t>
      </w:r>
      <w:r>
        <w:rPr>
          <w:sz w:val="20"/>
          <w:szCs w:val="20"/>
        </w:rPr>
        <w:t xml:space="preserve"> fees.</w:t>
      </w:r>
      <w:r>
        <w:rPr>
          <w:sz w:val="20"/>
          <w:szCs w:val="20"/>
        </w:rPr>
        <w:t xml:space="preserve"> This leaves farmers very vulnerable, with no confidence to invest in the future</w:t>
      </w:r>
      <w:r>
        <w:rPr>
          <w:sz w:val="20"/>
          <w:szCs w:val="20"/>
        </w:rPr>
        <w:t xml:space="preserve"> if indeed they see themselves as having one.</w:t>
      </w:r>
    </w:p>
    <w:p w:rsidR="00000000">
      <w:pPr>
        <w:rPr>
          <w:b/>
          <w:bCs/>
          <w:sz w:val="20"/>
          <w:szCs w:val="20"/>
        </w:rPr>
      </w:pPr>
      <w:r w:rsidRPr="00761D81">
        <w:rPr>
          <w:b/>
          <w:bCs/>
          <w:sz w:val="20"/>
          <w:szCs w:val="20"/>
        </w:rPr>
        <w:t>Wildfire</w:t>
      </w:r>
    </w:p>
    <w:p w:rsidR="00000000">
      <w:pPr>
        <w:rPr>
          <w:sz w:val="20"/>
          <w:szCs w:val="20"/>
        </w:rPr>
      </w:pPr>
      <w:r>
        <w:rPr>
          <w:sz w:val="20"/>
          <w:szCs w:val="20"/>
        </w:rPr>
        <w:t>This is the main issue that I would like to refer to</w:t>
      </w:r>
      <w:r>
        <w:rPr>
          <w:sz w:val="20"/>
          <w:szCs w:val="20"/>
        </w:rPr>
        <w:t xml:space="preserve"> and use as a case study, mainly through my experience in The Dark Peak, but also with the Langdales (Fylingdales) moor last summer in</w:t>
      </w:r>
      <w:r>
        <w:rPr>
          <w:sz w:val="20"/>
          <w:szCs w:val="20"/>
        </w:rPr>
        <w:t xml:space="preserve"> mind. The two are </w:t>
      </w:r>
      <w:r>
        <w:rPr>
          <w:sz w:val="20"/>
          <w:szCs w:val="20"/>
        </w:rPr>
        <w:t>very different in terms of geology, hydrology, and critically peat depth.</w:t>
      </w:r>
    </w:p>
    <w:p w:rsidR="00000000">
      <w:pPr>
        <w:rPr>
          <w:sz w:val="20"/>
          <w:szCs w:val="20"/>
        </w:rPr>
      </w:pPr>
      <w:r>
        <w:rPr>
          <w:sz w:val="20"/>
          <w:szCs w:val="20"/>
        </w:rPr>
        <w:t>Traditional moorland burning as been a management tool throughout the uplands for centuries, creating the landscape qualifying for national Park designation, and the SSSI, SPA and SAC designations recognising the habitat and it’s management for rare fauna and flora and in particular ground nesting bird species</w:t>
      </w:r>
      <w:r>
        <w:rPr>
          <w:sz w:val="20"/>
          <w:szCs w:val="20"/>
        </w:rPr>
        <w:t xml:space="preserve"> the Eurasian Curlew being iconic.</w:t>
      </w:r>
    </w:p>
    <w:p w:rsidR="00000000">
      <w:pPr>
        <w:rPr>
          <w:sz w:val="20"/>
          <w:szCs w:val="20"/>
        </w:rPr>
      </w:pPr>
      <w:r>
        <w:rPr>
          <w:sz w:val="20"/>
          <w:szCs w:val="20"/>
        </w:rPr>
        <w:t>During the 1990’s Environmentaly Sensitive Areas were designated and offered management schemes to support upland farmers and encourage best practise. Reducing excessive sheep numbers at the time was sensible given the amount of localised overgrazing. A requirement to burn 10% of heather each year acknowledged it’s value though in practise was largely unachievable.</w:t>
      </w:r>
    </w:p>
    <w:p w:rsidR="00000000">
      <w:pPr>
        <w:rPr>
          <w:sz w:val="20"/>
          <w:szCs w:val="20"/>
        </w:rPr>
      </w:pPr>
      <w:r>
        <w:rPr>
          <w:sz w:val="20"/>
          <w:szCs w:val="20"/>
        </w:rPr>
        <w:t xml:space="preserve">There after successive </w:t>
      </w:r>
      <w:r>
        <w:rPr>
          <w:sz w:val="20"/>
          <w:szCs w:val="20"/>
        </w:rPr>
        <w:t>Environmental schemes have sought to reduce rotational burning and at every opportunity reduce or remove sheep, to the extent that sheep numbers are far too low and often forcibly removed during winter months. Burning is almost finished with the advent of the 2021 Heather and Grass Burning Regulations and their even tighter 2025 successor.</w:t>
      </w:r>
    </w:p>
    <w:p w:rsidR="00000000">
      <w:pPr>
        <w:rPr>
          <w:sz w:val="20"/>
          <w:szCs w:val="20"/>
        </w:rPr>
      </w:pPr>
      <w:r w:rsidRPr="00236BB3">
        <w:rPr>
          <w:b/>
          <w:bCs/>
          <w:sz w:val="20"/>
          <w:szCs w:val="20"/>
        </w:rPr>
        <w:t>The consequences</w:t>
      </w:r>
      <w:r>
        <w:rPr>
          <w:b/>
          <w:bCs/>
          <w:sz w:val="20"/>
          <w:szCs w:val="20"/>
        </w:rPr>
        <w:t xml:space="preserve"> (</w:t>
      </w:r>
      <w:r w:rsidRPr="00236BB3">
        <w:rPr>
          <w:sz w:val="20"/>
          <w:szCs w:val="20"/>
        </w:rPr>
        <w:t>Either unintended or</w:t>
      </w:r>
      <w:r>
        <w:rPr>
          <w:sz w:val="20"/>
          <w:szCs w:val="20"/>
        </w:rPr>
        <w:t xml:space="preserve"> an ill conceived back door to re-wilding). </w:t>
      </w:r>
    </w:p>
    <w:p w:rsidR="00000000" w:rsidRPr="009D068C" w:rsidP="009D068C">
      <w:pPr>
        <w:pStyle w:val="ListParagraph"/>
        <w:numPr>
          <w:ilvl w:val="0"/>
          <w:numId w:val="1"/>
        </w:numPr>
        <w:rPr>
          <w:sz w:val="20"/>
          <w:szCs w:val="20"/>
        </w:rPr>
      </w:pPr>
      <w:r w:rsidRPr="009D068C">
        <w:rPr>
          <w:sz w:val="20"/>
          <w:szCs w:val="20"/>
        </w:rPr>
        <w:t xml:space="preserve"> </w:t>
      </w:r>
      <w:r>
        <w:rPr>
          <w:sz w:val="20"/>
          <w:szCs w:val="20"/>
        </w:rPr>
        <w:t>I</w:t>
      </w:r>
      <w:r w:rsidRPr="009D068C">
        <w:rPr>
          <w:sz w:val="20"/>
          <w:szCs w:val="20"/>
        </w:rPr>
        <w:t xml:space="preserve">ncreasing fuel load </w:t>
      </w:r>
      <w:r>
        <w:rPr>
          <w:sz w:val="20"/>
          <w:szCs w:val="20"/>
        </w:rPr>
        <w:t>is such</w:t>
      </w:r>
      <w:r w:rsidRPr="009D068C">
        <w:rPr>
          <w:sz w:val="20"/>
          <w:szCs w:val="20"/>
        </w:rPr>
        <w:t xml:space="preserve"> that the FRS can barely </w:t>
      </w:r>
      <w:r>
        <w:rPr>
          <w:sz w:val="20"/>
          <w:szCs w:val="20"/>
        </w:rPr>
        <w:t xml:space="preserve">often </w:t>
      </w:r>
      <w:r w:rsidRPr="009D068C">
        <w:rPr>
          <w:sz w:val="20"/>
          <w:szCs w:val="20"/>
        </w:rPr>
        <w:t>attempt to fight wildfire.</w:t>
      </w:r>
    </w:p>
    <w:p w:rsidR="00000000" w:rsidP="00236BB3">
      <w:pPr>
        <w:pStyle w:val="ListParagraph"/>
        <w:numPr>
          <w:ilvl w:val="0"/>
          <w:numId w:val="1"/>
        </w:numPr>
        <w:rPr>
          <w:sz w:val="20"/>
          <w:szCs w:val="20"/>
        </w:rPr>
      </w:pPr>
      <w:r>
        <w:rPr>
          <w:sz w:val="20"/>
          <w:szCs w:val="20"/>
        </w:rPr>
        <w:t>Fuel load reduction is achieved by grazing, cutting or expertly controlled small, cool burns carried out during the winter months</w:t>
      </w:r>
      <w:r>
        <w:rPr>
          <w:sz w:val="20"/>
          <w:szCs w:val="20"/>
        </w:rPr>
        <w:t xml:space="preserve">. DEFRA / Natural England are effectively removing </w:t>
      </w:r>
      <w:r>
        <w:rPr>
          <w:sz w:val="20"/>
          <w:szCs w:val="20"/>
        </w:rPr>
        <w:t xml:space="preserve">the furst </w:t>
      </w:r>
      <w:r>
        <w:rPr>
          <w:sz w:val="20"/>
          <w:szCs w:val="20"/>
        </w:rPr>
        <w:t>two of these tools and cutting needs consent at the whim of NE advisors</w:t>
      </w:r>
      <w:r>
        <w:rPr>
          <w:sz w:val="20"/>
          <w:szCs w:val="20"/>
        </w:rPr>
        <w:t>,</w:t>
      </w:r>
      <w:r>
        <w:rPr>
          <w:sz w:val="20"/>
          <w:szCs w:val="20"/>
        </w:rPr>
        <w:t xml:space="preserve"> is expensive</w:t>
      </w:r>
      <w:r>
        <w:rPr>
          <w:sz w:val="20"/>
          <w:szCs w:val="20"/>
        </w:rPr>
        <w:t xml:space="preserve"> and</w:t>
      </w:r>
      <w:r>
        <w:rPr>
          <w:sz w:val="20"/>
          <w:szCs w:val="20"/>
        </w:rPr>
        <w:t xml:space="preserve"> potentially peat damaging, leaves a fuel load behind, releases methane during rotting, and harbours heather beetle and sheep ticks.</w:t>
      </w:r>
    </w:p>
    <w:p w:rsidR="00000000" w:rsidP="00236BB3">
      <w:pPr>
        <w:pStyle w:val="ListParagraph"/>
        <w:numPr>
          <w:ilvl w:val="0"/>
          <w:numId w:val="1"/>
        </w:numPr>
        <w:rPr>
          <w:sz w:val="20"/>
          <w:szCs w:val="20"/>
        </w:rPr>
      </w:pPr>
      <w:r>
        <w:rPr>
          <w:sz w:val="20"/>
          <w:szCs w:val="20"/>
        </w:rPr>
        <w:t>Winter sheep removal breaks the acclimatisation of these traditional flocks which are hardy breeds and survive on the dead and dried out vegetation – the very vegetation which is so flammable in the spring and early summer. These breeds are at risk of dying out as are the hill farmers and custodians of the countryside who maintain these heavily designated landscapes so love</w:t>
      </w:r>
      <w:r>
        <w:rPr>
          <w:sz w:val="20"/>
          <w:szCs w:val="20"/>
        </w:rPr>
        <w:t>d by the general public, retain the skills of husbandry, dry stone walling cool burning and additionally, involuntary rescue services, snow ploughers and maintainers of village services, life and tradition.</w:t>
      </w:r>
    </w:p>
    <w:p w:rsidR="00000000" w:rsidP="00236BB3">
      <w:pPr>
        <w:pStyle w:val="ListParagraph"/>
        <w:numPr>
          <w:ilvl w:val="0"/>
          <w:numId w:val="1"/>
        </w:numPr>
        <w:rPr>
          <w:sz w:val="20"/>
          <w:szCs w:val="20"/>
        </w:rPr>
      </w:pPr>
      <w:r>
        <w:rPr>
          <w:sz w:val="20"/>
          <w:szCs w:val="20"/>
        </w:rPr>
        <w:t>Banning the use of the herbicide Asulox is leaving bracken to spread uncontrolled, harbouring sheep tick, having carcinogenic properties putting water supplies at risk and itself being highly flammable whilst at the same time exposing livestock, wildlife, farmers gamekeepers, firefighters and the visiting general public at risk of Lymes disease and exposure to carcinogens.</w:t>
      </w:r>
    </w:p>
    <w:p w:rsidR="00000000" w:rsidP="00236BB3">
      <w:pPr>
        <w:pStyle w:val="ListParagraph"/>
        <w:numPr>
          <w:ilvl w:val="0"/>
          <w:numId w:val="1"/>
        </w:numPr>
        <w:rPr>
          <w:sz w:val="20"/>
          <w:szCs w:val="20"/>
        </w:rPr>
      </w:pPr>
      <w:r>
        <w:rPr>
          <w:sz w:val="20"/>
          <w:szCs w:val="20"/>
        </w:rPr>
        <w:t xml:space="preserve">What of Habitat Regulations ?- surely the interventions and controls being imposed on farmers put these habitats at risk. How do they get away with </w:t>
      </w:r>
      <w:r>
        <w:rPr>
          <w:sz w:val="20"/>
          <w:szCs w:val="20"/>
        </w:rPr>
        <w:t>breaches of their own regulations?</w:t>
      </w:r>
    </w:p>
    <w:p w:rsidR="00000000" w:rsidP="001E3AA7">
      <w:pPr>
        <w:rPr>
          <w:b/>
          <w:bCs/>
          <w:sz w:val="20"/>
          <w:szCs w:val="20"/>
        </w:rPr>
      </w:pPr>
      <w:r w:rsidRPr="001E3AA7">
        <w:rPr>
          <w:b/>
          <w:bCs/>
          <w:sz w:val="20"/>
          <w:szCs w:val="20"/>
        </w:rPr>
        <w:t>Case Study</w:t>
      </w:r>
    </w:p>
    <w:p w:rsidR="00000000" w:rsidP="001E3AA7">
      <w:pPr>
        <w:rPr>
          <w:sz w:val="20"/>
          <w:szCs w:val="20"/>
        </w:rPr>
      </w:pPr>
      <w:r>
        <w:rPr>
          <w:sz w:val="20"/>
          <w:szCs w:val="20"/>
        </w:rPr>
        <w:t xml:space="preserve">Following the introduction of the Heather and Grass Burning Regulations 2021 I attended a DEFRA / NE workshop on how to apply. There was contrary advice given even at this early stage. </w:t>
      </w:r>
    </w:p>
    <w:p w:rsidR="00000000" w:rsidP="001E3AA7">
      <w:pPr>
        <w:rPr>
          <w:sz w:val="20"/>
          <w:szCs w:val="20"/>
        </w:rPr>
      </w:pPr>
      <w:r>
        <w:rPr>
          <w:sz w:val="20"/>
          <w:szCs w:val="20"/>
        </w:rPr>
        <w:t xml:space="preserve">Hurst and Chunal Moor, which had been subject a series of </w:t>
      </w:r>
      <w:r>
        <w:rPr>
          <w:sz w:val="20"/>
          <w:szCs w:val="20"/>
        </w:rPr>
        <w:t xml:space="preserve">increasingly, prescriptive Environmental </w:t>
      </w:r>
      <w:r>
        <w:rPr>
          <w:sz w:val="20"/>
          <w:szCs w:val="20"/>
        </w:rPr>
        <w:t>Schemes</w:t>
      </w:r>
      <w:r>
        <w:rPr>
          <w:sz w:val="20"/>
          <w:szCs w:val="20"/>
        </w:rPr>
        <w:t xml:space="preserve"> since 1988 decided to apply straight away given the large proportion of over mature heather dominated vegetation with no understorey vegetation and it’s vulnerability to Wildfire due to public pressures and it;’s location between Glossop Town to the west and and unmanaged Snake Moors owned by The National Trust to the East. Our worst fears have only just been avoided twice during the last two years and notably by the huge Snake Fire earlier in the Spring which was only put out on our boundary by loca</w:t>
      </w:r>
      <w:r>
        <w:rPr>
          <w:sz w:val="20"/>
          <w:szCs w:val="20"/>
        </w:rPr>
        <w:t>l farmers and keepers working so well with the FRS. It has been pointed out many times that this fire could easily have lead to the evacuation of Glossop and the closure of Manchester Airport.</w:t>
      </w:r>
    </w:p>
    <w:p w:rsidR="00000000" w:rsidP="00BD3EC1">
      <w:pPr>
        <w:pStyle w:val="ListParagraph"/>
        <w:numPr>
          <w:ilvl w:val="0"/>
          <w:numId w:val="2"/>
        </w:numPr>
        <w:rPr>
          <w:sz w:val="20"/>
          <w:szCs w:val="20"/>
        </w:rPr>
      </w:pPr>
      <w:r>
        <w:rPr>
          <w:sz w:val="20"/>
          <w:szCs w:val="20"/>
        </w:rPr>
        <w:t>August 2021 I attended a NE/ DEFRA workshop with the aim of adopting best practise towards a successful burning license application. The advice was contrary and confusing.</w:t>
      </w:r>
    </w:p>
    <w:p w:rsidR="00000000" w:rsidP="00BD3EC1">
      <w:pPr>
        <w:pStyle w:val="ListParagraph"/>
        <w:numPr>
          <w:ilvl w:val="0"/>
          <w:numId w:val="2"/>
        </w:numPr>
        <w:rPr>
          <w:sz w:val="20"/>
          <w:szCs w:val="20"/>
        </w:rPr>
      </w:pPr>
      <w:r>
        <w:rPr>
          <w:sz w:val="20"/>
          <w:szCs w:val="20"/>
        </w:rPr>
        <w:t>2022</w:t>
      </w:r>
      <w:r>
        <w:rPr>
          <w:sz w:val="20"/>
          <w:szCs w:val="20"/>
        </w:rPr>
        <w:t xml:space="preserve"> T</w:t>
      </w:r>
      <w:r w:rsidRPr="00BD3EC1">
        <w:rPr>
          <w:sz w:val="20"/>
          <w:szCs w:val="20"/>
        </w:rPr>
        <w:t>he keeper and I began the process of applying for a burning license with and as recommended attend</w:t>
      </w:r>
      <w:r>
        <w:rPr>
          <w:sz w:val="20"/>
          <w:szCs w:val="20"/>
        </w:rPr>
        <w:t>ed</w:t>
      </w:r>
      <w:r w:rsidRPr="00BD3EC1">
        <w:rPr>
          <w:sz w:val="20"/>
          <w:szCs w:val="20"/>
        </w:rPr>
        <w:t xml:space="preserve"> early LANTRA</w:t>
      </w:r>
      <w:r>
        <w:rPr>
          <w:sz w:val="20"/>
          <w:szCs w:val="20"/>
        </w:rPr>
        <w:t>/Forestry Commission</w:t>
      </w:r>
      <w:r>
        <w:rPr>
          <w:sz w:val="20"/>
          <w:szCs w:val="20"/>
        </w:rPr>
        <w:t xml:space="preserve"> Training Courses, the keeper being on the first one as it was being trialled.</w:t>
      </w:r>
    </w:p>
    <w:p w:rsidR="00000000" w:rsidP="00BD3EC1">
      <w:pPr>
        <w:pStyle w:val="ListParagraph"/>
        <w:numPr>
          <w:ilvl w:val="0"/>
          <w:numId w:val="2"/>
        </w:numPr>
        <w:rPr>
          <w:sz w:val="20"/>
          <w:szCs w:val="20"/>
        </w:rPr>
      </w:pPr>
      <w:r>
        <w:rPr>
          <w:sz w:val="20"/>
          <w:szCs w:val="20"/>
        </w:rPr>
        <w:t>We prepared our incredibly</w:t>
      </w:r>
      <w:r>
        <w:rPr>
          <w:sz w:val="20"/>
          <w:szCs w:val="20"/>
        </w:rPr>
        <w:t xml:space="preserve"> complicated submission in accordance with the guidance which extended to seventy pages and took several weeks. </w:t>
      </w:r>
    </w:p>
    <w:p w:rsidR="00000000" w:rsidP="00BD3EC1">
      <w:pPr>
        <w:pStyle w:val="ListParagraph"/>
        <w:numPr>
          <w:ilvl w:val="0"/>
          <w:numId w:val="2"/>
        </w:numPr>
        <w:rPr>
          <w:sz w:val="20"/>
          <w:szCs w:val="20"/>
        </w:rPr>
      </w:pPr>
      <w:r>
        <w:rPr>
          <w:sz w:val="20"/>
          <w:szCs w:val="20"/>
        </w:rPr>
        <w:t>Our application</w:t>
      </w:r>
      <w:r>
        <w:rPr>
          <w:sz w:val="20"/>
          <w:szCs w:val="20"/>
        </w:rPr>
        <w:t xml:space="preserve"> (and I believe still the first of it’s kind was approved by DEFRA in July 2023, albeit with (under the 2021) Regulations a non - statutory condition to agree a restoration plan as a condition of the implementation of the Burning License.</w:t>
      </w:r>
    </w:p>
    <w:p w:rsidR="00000000" w:rsidP="00BD3EC1">
      <w:pPr>
        <w:pStyle w:val="ListParagraph"/>
        <w:numPr>
          <w:ilvl w:val="0"/>
          <w:numId w:val="2"/>
        </w:numPr>
        <w:rPr>
          <w:sz w:val="20"/>
          <w:szCs w:val="20"/>
        </w:rPr>
      </w:pPr>
      <w:r>
        <w:rPr>
          <w:sz w:val="20"/>
          <w:szCs w:val="20"/>
        </w:rPr>
        <w:t xml:space="preserve">And this is where we remain three years later. Natural England have failed to </w:t>
      </w:r>
      <w:r>
        <w:rPr>
          <w:sz w:val="20"/>
          <w:szCs w:val="20"/>
        </w:rPr>
        <w:t>have approve</w:t>
      </w:r>
      <w:r>
        <w:rPr>
          <w:sz w:val="20"/>
          <w:szCs w:val="20"/>
        </w:rPr>
        <w:t>d four increasingly detailed and costly to both produce and implement Restoration Plans, rendering our License inoperable.</w:t>
      </w:r>
    </w:p>
    <w:p w:rsidR="00000000" w:rsidP="00BD3EC1">
      <w:pPr>
        <w:pStyle w:val="ListParagraph"/>
        <w:numPr>
          <w:ilvl w:val="0"/>
          <w:numId w:val="2"/>
        </w:numPr>
        <w:rPr>
          <w:sz w:val="20"/>
          <w:szCs w:val="20"/>
        </w:rPr>
      </w:pPr>
      <w:r>
        <w:rPr>
          <w:sz w:val="20"/>
          <w:szCs w:val="20"/>
        </w:rPr>
        <w:t>To add insult when a request for an extension of our License,</w:t>
      </w:r>
      <w:r>
        <w:rPr>
          <w:sz w:val="20"/>
          <w:szCs w:val="20"/>
        </w:rPr>
        <w:t xml:space="preserve"> was made the response was that as we had failed to use it an extension was not appropriate. Unbelievable</w:t>
      </w:r>
      <w:r>
        <w:rPr>
          <w:sz w:val="20"/>
          <w:szCs w:val="20"/>
        </w:rPr>
        <w:t>, given that it was NE’s intransigence and I would suggest Ideological opposition to licensing burning that prevented it’s use!</w:t>
      </w:r>
    </w:p>
    <w:p w:rsidR="00000000" w:rsidP="00BD3EC1">
      <w:pPr>
        <w:pStyle w:val="ListParagraph"/>
        <w:numPr>
          <w:ilvl w:val="0"/>
          <w:numId w:val="2"/>
        </w:numPr>
        <w:rPr>
          <w:sz w:val="20"/>
          <w:szCs w:val="20"/>
        </w:rPr>
      </w:pPr>
      <w:r>
        <w:rPr>
          <w:sz w:val="20"/>
          <w:szCs w:val="20"/>
        </w:rPr>
        <w:t>Since the License was granted by DEFRA, NE have also turned down a cutting application.</w:t>
      </w:r>
    </w:p>
    <w:p w:rsidR="00000000" w:rsidP="00BD3EC1">
      <w:pPr>
        <w:pStyle w:val="ListParagraph"/>
        <w:numPr>
          <w:ilvl w:val="0"/>
          <w:numId w:val="2"/>
        </w:numPr>
        <w:rPr>
          <w:sz w:val="20"/>
          <w:szCs w:val="20"/>
        </w:rPr>
      </w:pPr>
      <w:r>
        <w:rPr>
          <w:sz w:val="20"/>
          <w:szCs w:val="20"/>
        </w:rPr>
        <w:t xml:space="preserve">In the meantime the fuel load increases year on year and the regularity of wildfire in The Peak District and on our own doorstep demonstrates the dangers and the need for </w:t>
      </w:r>
      <w:r>
        <w:rPr>
          <w:sz w:val="20"/>
          <w:szCs w:val="20"/>
        </w:rPr>
        <w:t>reform of the licensing system.</w:t>
      </w:r>
    </w:p>
    <w:p w:rsidR="00000000" w:rsidP="00074751">
      <w:pPr>
        <w:rPr>
          <w:b/>
          <w:bCs/>
          <w:sz w:val="20"/>
          <w:szCs w:val="20"/>
        </w:rPr>
      </w:pPr>
      <w:r w:rsidRPr="00074751">
        <w:rPr>
          <w:b/>
          <w:bCs/>
          <w:sz w:val="20"/>
          <w:szCs w:val="20"/>
        </w:rPr>
        <w:t>Conclusion</w:t>
      </w:r>
      <w:r>
        <w:rPr>
          <w:b/>
          <w:bCs/>
          <w:sz w:val="20"/>
          <w:szCs w:val="20"/>
        </w:rPr>
        <w:t>s</w:t>
      </w:r>
    </w:p>
    <w:p w:rsidR="00000000" w:rsidP="00074751">
      <w:pPr>
        <w:pStyle w:val="ListParagraph"/>
        <w:numPr>
          <w:ilvl w:val="0"/>
          <w:numId w:val="3"/>
        </w:numPr>
        <w:rPr>
          <w:sz w:val="20"/>
          <w:szCs w:val="20"/>
        </w:rPr>
      </w:pPr>
      <w:r>
        <w:rPr>
          <w:sz w:val="20"/>
          <w:szCs w:val="20"/>
        </w:rPr>
        <w:t>Natural England are unfit for purpose.</w:t>
      </w:r>
    </w:p>
    <w:p w:rsidR="00000000" w:rsidP="00074751">
      <w:pPr>
        <w:pStyle w:val="ListParagraph"/>
        <w:numPr>
          <w:ilvl w:val="0"/>
          <w:numId w:val="3"/>
        </w:numPr>
        <w:rPr>
          <w:sz w:val="20"/>
          <w:szCs w:val="20"/>
        </w:rPr>
      </w:pPr>
      <w:r>
        <w:rPr>
          <w:sz w:val="20"/>
          <w:szCs w:val="20"/>
        </w:rPr>
        <w:t>DEFRA are unable to control the departments under them or differentiate between spending their budgets on maintaining the structure, diversity and viability of upland farming, and on the other hand diverting funding to conservation bodies and their advisors to spend on largely unproven at best</w:t>
      </w:r>
      <w:r>
        <w:rPr>
          <w:sz w:val="20"/>
          <w:szCs w:val="20"/>
        </w:rPr>
        <w:t xml:space="preserve">, vanity projects of “re-wetting “, alleged “ carbon protection”, alleged “water quality improvement”, alleged “flood alleviation” and alleged “air quality improvement” to name just a few scientifically disproved or unproven </w:t>
      </w:r>
      <w:r>
        <w:rPr>
          <w:sz w:val="20"/>
          <w:szCs w:val="20"/>
        </w:rPr>
        <w:t>claims.</w:t>
      </w:r>
    </w:p>
    <w:p w:rsidR="00000000" w:rsidP="00960E1B">
      <w:pPr>
        <w:rPr>
          <w:b/>
          <w:bCs/>
          <w:sz w:val="20"/>
          <w:szCs w:val="20"/>
        </w:rPr>
      </w:pPr>
      <w:r w:rsidRPr="00960E1B">
        <w:rPr>
          <w:b/>
          <w:bCs/>
          <w:sz w:val="20"/>
          <w:szCs w:val="20"/>
        </w:rPr>
        <w:t>Recommendations</w:t>
      </w:r>
    </w:p>
    <w:p w:rsidR="00000000" w:rsidP="00960E1B">
      <w:pPr>
        <w:pStyle w:val="ListParagraph"/>
        <w:numPr>
          <w:ilvl w:val="0"/>
          <w:numId w:val="4"/>
        </w:numPr>
        <w:rPr>
          <w:sz w:val="20"/>
          <w:szCs w:val="20"/>
        </w:rPr>
      </w:pPr>
      <w:r>
        <w:rPr>
          <w:sz w:val="20"/>
          <w:szCs w:val="20"/>
        </w:rPr>
        <w:t xml:space="preserve">DEFRA should be re-born to something resembling the former Ministry of Agriculture Fisheries and Food. Even it’s </w:t>
      </w:r>
      <w:r>
        <w:rPr>
          <w:sz w:val="20"/>
          <w:szCs w:val="20"/>
        </w:rPr>
        <w:t>current title refuses to acknowledge agriculture or farming</w:t>
      </w:r>
      <w:r>
        <w:rPr>
          <w:sz w:val="20"/>
          <w:szCs w:val="20"/>
        </w:rPr>
        <w:t>!</w:t>
      </w:r>
    </w:p>
    <w:p w:rsidR="00000000" w:rsidP="00960E1B">
      <w:pPr>
        <w:pStyle w:val="ListParagraph"/>
        <w:numPr>
          <w:ilvl w:val="0"/>
          <w:numId w:val="4"/>
        </w:numPr>
        <w:rPr>
          <w:sz w:val="20"/>
          <w:szCs w:val="20"/>
        </w:rPr>
      </w:pPr>
      <w:r>
        <w:rPr>
          <w:sz w:val="20"/>
          <w:szCs w:val="20"/>
        </w:rPr>
        <w:t xml:space="preserve"> Food production subsidies / BPS should be re-instated particularly in the disadvantaged areas to aid high quality largely grass fed meat and wool production and food security. This would help enable the next generation to farm the uplands and maintain the skills, habitat, landscape and social fabric of the countryside</w:t>
      </w:r>
      <w:r>
        <w:rPr>
          <w:sz w:val="20"/>
          <w:szCs w:val="20"/>
        </w:rPr>
        <w:t xml:space="preserve"> whist recognising realistic and practical environmental outcomes.</w:t>
      </w:r>
    </w:p>
    <w:p w:rsidR="00000000" w:rsidP="00960E1B">
      <w:pPr>
        <w:pStyle w:val="ListParagraph"/>
        <w:numPr>
          <w:ilvl w:val="0"/>
          <w:numId w:val="4"/>
        </w:numPr>
        <w:rPr>
          <w:sz w:val="20"/>
          <w:szCs w:val="20"/>
        </w:rPr>
      </w:pPr>
      <w:r>
        <w:rPr>
          <w:sz w:val="20"/>
          <w:szCs w:val="20"/>
        </w:rPr>
        <w:t xml:space="preserve">Environmental payments should be targeted from the bottom up, where they are most efficiently spent and away from the large and wealthy conservation bodies whose track record in conservation is </w:t>
      </w:r>
      <w:r>
        <w:rPr>
          <w:sz w:val="20"/>
          <w:szCs w:val="20"/>
        </w:rPr>
        <w:t>notable only for it’s costly failures.</w:t>
      </w:r>
    </w:p>
    <w:p w:rsidR="00000000" w:rsidP="00E45ADD">
      <w:pPr>
        <w:pStyle w:val="ListParagraph"/>
        <w:numPr>
          <w:ilvl w:val="0"/>
          <w:numId w:val="4"/>
        </w:numPr>
        <w:rPr>
          <w:sz w:val="20"/>
          <w:szCs w:val="20"/>
        </w:rPr>
      </w:pPr>
      <w:r>
        <w:rPr>
          <w:sz w:val="20"/>
          <w:szCs w:val="20"/>
        </w:rPr>
        <w:t>Natural England must go. It’s reliance on self</w:t>
      </w:r>
      <w:r>
        <w:rPr>
          <w:sz w:val="20"/>
          <w:szCs w:val="20"/>
        </w:rPr>
        <w:t xml:space="preserve">-selected research, selective reference to “ The Precautionary Principle” </w:t>
      </w:r>
      <w:r>
        <w:rPr>
          <w:sz w:val="20"/>
          <w:szCs w:val="20"/>
        </w:rPr>
        <w:t>a belief that it is always right despite evidence to the contrary</w:t>
      </w:r>
      <w:r>
        <w:rPr>
          <w:sz w:val="20"/>
          <w:szCs w:val="20"/>
        </w:rPr>
        <w:t xml:space="preserve"> and an overriding ideology from top to bottom in re-wilding despite the risks to the many designations, habitat and species loss, wildfire risk etc.</w:t>
      </w:r>
      <w:r>
        <w:rPr>
          <w:sz w:val="20"/>
          <w:szCs w:val="20"/>
        </w:rPr>
        <w:t xml:space="preserve">  </w:t>
      </w:r>
      <w:r>
        <w:rPr>
          <w:sz w:val="20"/>
          <w:szCs w:val="20"/>
        </w:rPr>
        <w:t>It has lost the trust of those on the ground to the extent that in it’s current form and with it’s current remit</w:t>
      </w:r>
      <w:r>
        <w:rPr>
          <w:sz w:val="20"/>
          <w:szCs w:val="20"/>
        </w:rPr>
        <w:t xml:space="preserve"> and management</w:t>
      </w:r>
      <w:r>
        <w:rPr>
          <w:sz w:val="20"/>
          <w:szCs w:val="20"/>
        </w:rPr>
        <w:t xml:space="preserve"> it is lost.</w:t>
      </w:r>
    </w:p>
    <w:p w:rsidR="00000000" w:rsidP="00E45ADD">
      <w:pPr>
        <w:pStyle w:val="ListParagraph"/>
        <w:numPr>
          <w:ilvl w:val="0"/>
          <w:numId w:val="4"/>
        </w:numPr>
        <w:rPr>
          <w:sz w:val="20"/>
          <w:szCs w:val="20"/>
        </w:rPr>
      </w:pPr>
      <w:r w:rsidRPr="00E45ADD">
        <w:rPr>
          <w:sz w:val="20"/>
          <w:szCs w:val="20"/>
        </w:rPr>
        <w:t>I do not know quite what structure should replace it but it must be localised, honest and efficient with it’s budgets efficiently reaching those on the ground with the farming and custodianship skills.</w:t>
      </w:r>
    </w:p>
    <w:p w:rsidR="00000000" w:rsidRPr="00E45ADD" w:rsidP="00E45ADD">
      <w:pPr>
        <w:pStyle w:val="ListParagraph"/>
        <w:numPr>
          <w:ilvl w:val="0"/>
          <w:numId w:val="4"/>
        </w:numPr>
        <w:rPr>
          <w:sz w:val="20"/>
          <w:szCs w:val="20"/>
        </w:rPr>
      </w:pPr>
      <w:r w:rsidRPr="00E45ADD">
        <w:rPr>
          <w:sz w:val="20"/>
          <w:szCs w:val="20"/>
        </w:rPr>
        <w:t xml:space="preserve"> I have heard the Drainage Boards held up as an example of go</w:t>
      </w:r>
      <w:r>
        <w:rPr>
          <w:sz w:val="20"/>
          <w:szCs w:val="20"/>
        </w:rPr>
        <w:t>o</w:t>
      </w:r>
      <w:r w:rsidRPr="00E45ADD">
        <w:rPr>
          <w:sz w:val="20"/>
          <w:szCs w:val="20"/>
        </w:rPr>
        <w:t>d and efficient practise which might be a credible basis for environmental oversight in the uplands.</w:t>
      </w:r>
    </w:p>
    <w:p w:rsidR="00000000" w:rsidP="001E3AA7">
      <w:pPr>
        <w:rPr>
          <w:sz w:val="20"/>
          <w:szCs w:val="20"/>
        </w:rPr>
      </w:pPr>
      <w:r>
        <w:rPr>
          <w:b/>
          <w:bCs/>
          <w:sz w:val="20"/>
          <w:szCs w:val="20"/>
        </w:rPr>
        <w:t>Finally</w:t>
      </w:r>
    </w:p>
    <w:p w:rsidR="00000000" w:rsidP="001E3AA7">
      <w:pPr>
        <w:rPr>
          <w:sz w:val="20"/>
          <w:szCs w:val="20"/>
        </w:rPr>
      </w:pPr>
      <w:r>
        <w:rPr>
          <w:sz w:val="20"/>
          <w:szCs w:val="20"/>
        </w:rPr>
        <w:t>According to a Senior Natural England Uplands Advisor, h</w:t>
      </w:r>
      <w:r>
        <w:rPr>
          <w:sz w:val="20"/>
          <w:szCs w:val="20"/>
        </w:rPr>
        <w:t xml:space="preserve">eather and sheep are </w:t>
      </w:r>
      <w:r>
        <w:rPr>
          <w:sz w:val="20"/>
          <w:szCs w:val="20"/>
        </w:rPr>
        <w:t>the enemy</w:t>
      </w:r>
      <w:r>
        <w:rPr>
          <w:sz w:val="20"/>
          <w:szCs w:val="20"/>
        </w:rPr>
        <w:t>!</w:t>
      </w:r>
    </w:p>
    <w:p w:rsidR="00000000" w:rsidP="001E3AA7">
      <w:pPr>
        <w:rPr>
          <w:sz w:val="20"/>
          <w:szCs w:val="20"/>
        </w:rPr>
      </w:pPr>
      <w:r>
        <w:rPr>
          <w:sz w:val="20"/>
          <w:szCs w:val="20"/>
        </w:rPr>
        <w:t xml:space="preserve">According to a National Park leader hill </w:t>
      </w:r>
      <w:r>
        <w:rPr>
          <w:sz w:val="20"/>
          <w:szCs w:val="20"/>
        </w:rPr>
        <w:t>farming is an irrelevance</w:t>
      </w:r>
      <w:r>
        <w:rPr>
          <w:sz w:val="20"/>
          <w:szCs w:val="20"/>
        </w:rPr>
        <w:t>!</w:t>
      </w:r>
    </w:p>
    <w:p w:rsidR="00000000" w:rsidP="001E3AA7">
      <w:pPr>
        <w:rPr>
          <w:sz w:val="20"/>
          <w:szCs w:val="20"/>
        </w:rPr>
      </w:pPr>
      <w:r>
        <w:rPr>
          <w:sz w:val="20"/>
          <w:szCs w:val="20"/>
        </w:rPr>
        <w:t>And, with respect to those sitting on this committee, why is it dominated by MP’s with no upland</w:t>
      </w:r>
      <w:r>
        <w:rPr>
          <w:sz w:val="20"/>
          <w:szCs w:val="20"/>
        </w:rPr>
        <w:t xml:space="preserve"> in their constituencies?</w:t>
      </w:r>
    </w:p>
    <w:p w:rsidR="00000000" w:rsidP="001E3AA7">
      <w:pPr>
        <w:rPr>
          <w:sz w:val="20"/>
          <w:szCs w:val="20"/>
        </w:rPr>
      </w:pPr>
      <w:r>
        <w:rPr>
          <w:sz w:val="20"/>
          <w:szCs w:val="20"/>
        </w:rPr>
        <w:t>I hope that you’ve got this far, and thankyou for reading and hopefully taking note.</w:t>
      </w:r>
    </w:p>
    <w:p w:rsidR="00000000" w:rsidP="001E3AA7">
      <w:pPr>
        <w:rPr>
          <w:sz w:val="20"/>
          <w:szCs w:val="20"/>
        </w:rPr>
      </w:pPr>
      <w:r>
        <w:rPr>
          <w:sz w:val="20"/>
          <w:szCs w:val="20"/>
        </w:rPr>
        <w:t>Simon Gurney</w:t>
      </w:r>
    </w:p>
    <w:p w:rsidR="00000000" w:rsidP="001E3AA7">
      <w:pPr>
        <w:rPr>
          <w:sz w:val="20"/>
          <w:szCs w:val="20"/>
        </w:rPr>
      </w:pPr>
      <w:r>
        <w:rPr>
          <w:sz w:val="20"/>
          <w:szCs w:val="20"/>
        </w:rPr>
        <w:t>25</w:t>
      </w:r>
      <w:r w:rsidRPr="00F119DA">
        <w:rPr>
          <w:sz w:val="20"/>
          <w:szCs w:val="20"/>
          <w:vertAlign w:val="superscript"/>
        </w:rPr>
        <w:t>th</w:t>
      </w:r>
      <w:r>
        <w:rPr>
          <w:sz w:val="20"/>
          <w:szCs w:val="20"/>
        </w:rPr>
        <w:t xml:space="preserve"> June 2026</w:t>
      </w:r>
    </w:p>
    <w:p w:rsidR="00000000" w:rsidRPr="00BD3EC1" w:rsidP="001E3AA7">
      <w:pPr>
        <w:rPr>
          <w:sz w:val="20"/>
          <w:szCs w:val="20"/>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E8F0D6E"/>
    <w:multiLevelType w:val="hybridMultilevel"/>
    <w:tmpl w:val="B0C4E3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
    <w:nsid w:val="559F01F3"/>
    <w:multiLevelType w:val="hybridMultilevel"/>
    <w:tmpl w:val="014AE1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
    <w:nsid w:val="67CE065A"/>
    <w:multiLevelType w:val="hybridMultilevel"/>
    <w:tmpl w:val="94E21F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
    <w:nsid w:val="6A877C72"/>
    <w:multiLevelType w:val="hybridMultilevel"/>
    <w:tmpl w:val="B310F0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A81B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1B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1B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1B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1B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1B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1B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1B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1B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B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1B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1B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1B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1B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1B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1B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1B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1BBF"/>
    <w:rPr>
      <w:rFonts w:eastAsiaTheme="majorEastAsia" w:cstheme="majorBidi"/>
      <w:color w:val="272727" w:themeColor="text1" w:themeTint="D8"/>
    </w:rPr>
  </w:style>
  <w:style w:type="paragraph" w:styleId="Title">
    <w:name w:val="Title"/>
    <w:basedOn w:val="Normal"/>
    <w:next w:val="Normal"/>
    <w:link w:val="TitleChar"/>
    <w:uiPriority w:val="10"/>
    <w:qFormat/>
    <w:rsid w:val="00A81B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B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1B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1B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1BBF"/>
    <w:pPr>
      <w:spacing w:before="160"/>
      <w:jc w:val="center"/>
    </w:pPr>
    <w:rPr>
      <w:i/>
      <w:iCs/>
      <w:color w:val="404040" w:themeColor="text1" w:themeTint="BF"/>
    </w:rPr>
  </w:style>
  <w:style w:type="character" w:customStyle="1" w:styleId="QuoteChar">
    <w:name w:val="Quote Char"/>
    <w:basedOn w:val="DefaultParagraphFont"/>
    <w:link w:val="Quote"/>
    <w:uiPriority w:val="29"/>
    <w:rsid w:val="00A81BBF"/>
    <w:rPr>
      <w:i/>
      <w:iCs/>
      <w:color w:val="404040" w:themeColor="text1" w:themeTint="BF"/>
    </w:rPr>
  </w:style>
  <w:style w:type="paragraph" w:styleId="ListParagraph">
    <w:name w:val="List Paragraph"/>
    <w:basedOn w:val="Normal"/>
    <w:uiPriority w:val="34"/>
    <w:qFormat/>
    <w:rsid w:val="00A81BBF"/>
    <w:pPr>
      <w:ind w:left="720"/>
      <w:contextualSpacing/>
    </w:pPr>
  </w:style>
  <w:style w:type="character" w:styleId="IntenseEmphasis">
    <w:name w:val="Intense Emphasis"/>
    <w:basedOn w:val="DefaultParagraphFont"/>
    <w:uiPriority w:val="21"/>
    <w:qFormat/>
    <w:rsid w:val="00A81BBF"/>
    <w:rPr>
      <w:i/>
      <w:iCs/>
      <w:color w:val="0F4761" w:themeColor="accent1" w:themeShade="BF"/>
    </w:rPr>
  </w:style>
  <w:style w:type="paragraph" w:styleId="IntenseQuote">
    <w:name w:val="Intense Quote"/>
    <w:basedOn w:val="Normal"/>
    <w:next w:val="Normal"/>
    <w:link w:val="IntenseQuoteChar"/>
    <w:uiPriority w:val="30"/>
    <w:qFormat/>
    <w:rsid w:val="00A81B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1BBF"/>
    <w:rPr>
      <w:i/>
      <w:iCs/>
      <w:color w:val="0F4761" w:themeColor="accent1" w:themeShade="BF"/>
    </w:rPr>
  </w:style>
  <w:style w:type="character" w:styleId="IntenseReference">
    <w:name w:val="Intense Reference"/>
    <w:basedOn w:val="DefaultParagraphFont"/>
    <w:uiPriority w:val="32"/>
    <w:qFormat/>
    <w:rsid w:val="00A81B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LUN0032</dc:title>
  <cp:revision>0</cp:revision>
</cp:coreProperties>
</file>