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P="009C2586">
      <w:pPr>
        <w:jc w:val="center"/>
        <w:rPr>
          <w:b/>
          <w:bCs/>
        </w:rPr>
      </w:pPr>
      <w:r w:rsidRPr="00AA012F">
        <w:rPr>
          <w:b/>
          <w:bCs/>
        </w:rPr>
        <w:t xml:space="preserve">Written </w:t>
      </w:r>
      <w:r w:rsidR="00FF4459">
        <w:rPr>
          <w:b/>
          <w:bCs/>
        </w:rPr>
        <w:t>evidence submitted by</w:t>
      </w:r>
      <w:r w:rsidRPr="00AA012F">
        <w:rPr>
          <w:b/>
          <w:bCs/>
        </w:rPr>
        <w:t xml:space="preserve"> the Tenant Farmers Association</w:t>
      </w:r>
      <w:r w:rsidR="00FF4459">
        <w:rPr>
          <w:b/>
          <w:bCs/>
        </w:rPr>
        <w:t xml:space="preserve"> (LUN0029)</w:t>
      </w:r>
    </w:p>
    <w:p w:rsidR="00000000" w:rsidP="008E0F1F">
      <w:pPr>
        <w:jc w:val="both"/>
        <w:rPr>
          <w:b/>
          <w:bCs/>
        </w:rPr>
      </w:pPr>
    </w:p>
    <w:p w:rsidR="00000000" w:rsidRPr="00941B35" w:rsidP="0037683B">
      <w:pPr>
        <w:jc w:val="both"/>
        <w:rPr>
          <w:b/>
          <w:bCs/>
          <w:lang w:eastAsia="en-GB"/>
        </w:rPr>
      </w:pPr>
      <w:r>
        <w:rPr>
          <w:b/>
          <w:bCs/>
          <w:lang w:eastAsia="en-GB"/>
        </w:rPr>
        <w:t>1.0</w:t>
      </w:r>
      <w:r>
        <w:rPr>
          <w:b/>
          <w:bCs/>
          <w:lang w:eastAsia="en-GB"/>
        </w:rPr>
        <w:tab/>
      </w:r>
      <w:r w:rsidRPr="00941B35">
        <w:rPr>
          <w:b/>
          <w:bCs/>
          <w:lang w:eastAsia="en-GB"/>
        </w:rPr>
        <w:t>Introduction</w:t>
      </w:r>
    </w:p>
    <w:p w:rsidR="00000000" w:rsidRPr="00941B35" w:rsidP="0037683B">
      <w:pPr>
        <w:ind w:left="720" w:hanging="720"/>
        <w:jc w:val="both"/>
        <w:rPr>
          <w:lang w:eastAsia="en-GB"/>
        </w:rPr>
      </w:pPr>
      <w:r w:rsidRPr="00941B35">
        <w:rPr>
          <w:lang w:eastAsia="en-GB"/>
        </w:rPr>
        <w:t xml:space="preserve">1.1 </w:t>
      </w:r>
      <w:r>
        <w:rPr>
          <w:lang w:eastAsia="en-GB"/>
        </w:rPr>
        <w:tab/>
      </w:r>
      <w:r w:rsidRPr="00941B35">
        <w:rPr>
          <w:lang w:eastAsia="en-GB"/>
        </w:rPr>
        <w:t>The Tenant Farmers Association (TFA) is the only organisation dedicated to</w:t>
      </w:r>
      <w:r>
        <w:rPr>
          <w:lang w:eastAsia="en-GB"/>
        </w:rPr>
        <w:t xml:space="preserve"> </w:t>
      </w:r>
      <w:r w:rsidRPr="00941B35">
        <w:rPr>
          <w:lang w:eastAsia="en-GB"/>
        </w:rPr>
        <w:t>representing the interests of farmers and farm businesses who do not own the land</w:t>
      </w:r>
      <w:r>
        <w:rPr>
          <w:lang w:eastAsia="en-GB"/>
        </w:rPr>
        <w:t xml:space="preserve"> </w:t>
      </w:r>
      <w:r w:rsidRPr="00941B35">
        <w:rPr>
          <w:lang w:eastAsia="en-GB"/>
        </w:rPr>
        <w:t xml:space="preserve">they </w:t>
      </w:r>
      <w:r>
        <w:rPr>
          <w:lang w:eastAsia="en-GB"/>
        </w:rPr>
        <w:t xml:space="preserve">farm </w:t>
      </w:r>
      <w:r w:rsidRPr="00941B35">
        <w:rPr>
          <w:lang w:eastAsia="en-GB"/>
        </w:rPr>
        <w:t>in England and Wales. TFA membership comprises farms of</w:t>
      </w:r>
      <w:r>
        <w:rPr>
          <w:lang w:eastAsia="en-GB"/>
        </w:rPr>
        <w:t xml:space="preserve"> </w:t>
      </w:r>
      <w:r w:rsidRPr="00941B35">
        <w:rPr>
          <w:lang w:eastAsia="en-GB"/>
        </w:rPr>
        <w:t>all types and sizes but active, family farms predominate. The core membership of the</w:t>
      </w:r>
      <w:r>
        <w:rPr>
          <w:lang w:eastAsia="en-GB"/>
        </w:rPr>
        <w:t xml:space="preserve"> </w:t>
      </w:r>
      <w:r w:rsidRPr="00941B35">
        <w:rPr>
          <w:lang w:eastAsia="en-GB"/>
        </w:rPr>
        <w:t>TFA are farmers occupying land under tenancies regulated by both the Agricultural</w:t>
      </w:r>
      <w:r>
        <w:rPr>
          <w:lang w:eastAsia="en-GB"/>
        </w:rPr>
        <w:t xml:space="preserve"> </w:t>
      </w:r>
      <w:r w:rsidRPr="00941B35">
        <w:rPr>
          <w:lang w:eastAsia="en-GB"/>
        </w:rPr>
        <w:t xml:space="preserve">Holdings Act 1986 (AHA) and Agricultural Tenancies Act 1995 (ATA). </w:t>
      </w:r>
      <w:r>
        <w:rPr>
          <w:lang w:eastAsia="en-GB"/>
        </w:rPr>
        <w:t>A large proportion of farmers in the uplands are tenant</w:t>
      </w:r>
      <w:r>
        <w:rPr>
          <w:lang w:eastAsia="en-GB"/>
        </w:rPr>
        <w:t xml:space="preserve">s </w:t>
      </w:r>
      <w:r>
        <w:rPr>
          <w:lang w:eastAsia="en-GB"/>
        </w:rPr>
        <w:t xml:space="preserve">under these acts or have rights on common land. </w:t>
      </w:r>
    </w:p>
    <w:p w:rsidR="00000000" w:rsidP="0037683B">
      <w:pPr>
        <w:ind w:left="720" w:hanging="720"/>
        <w:jc w:val="both"/>
      </w:pPr>
      <w:r>
        <w:t>1.2</w:t>
      </w:r>
      <w:r>
        <w:tab/>
      </w:r>
      <w:r>
        <w:t>The TFA’s view is that upland farming cannot be treated as a single uniform category. Policy must reflect the practical realities of farming, tenancy structures, commons, local knowledge, food production and long-term stewardship of the land.</w:t>
      </w:r>
    </w:p>
    <w:p w:rsidR="00000000" w:rsidRPr="006A1BAF" w:rsidP="0037683B">
      <w:pPr>
        <w:jc w:val="both"/>
        <w:rPr>
          <w:lang w:eastAsia="en-GB"/>
        </w:rPr>
      </w:pPr>
      <w:r>
        <w:rPr>
          <w:b/>
          <w:bCs/>
          <w:lang w:eastAsia="en-GB"/>
        </w:rPr>
        <w:t>2.0</w:t>
      </w:r>
      <w:r>
        <w:rPr>
          <w:b/>
          <w:bCs/>
          <w:lang w:eastAsia="en-GB"/>
        </w:rPr>
        <w:tab/>
      </w:r>
      <w:r w:rsidRPr="006A1BAF">
        <w:rPr>
          <w:b/>
          <w:bCs/>
        </w:rPr>
        <w:t>Balancing competing demands in the uplands</w:t>
      </w:r>
    </w:p>
    <w:p w:rsidR="00000000" w:rsidRPr="005F536E" w:rsidP="0037683B">
      <w:pPr>
        <w:ind w:left="720" w:hanging="720"/>
        <w:jc w:val="both"/>
      </w:pPr>
      <w:r>
        <w:t>2.1</w:t>
      </w:r>
      <w:r>
        <w:tab/>
      </w:r>
      <w:r w:rsidRPr="005F536E">
        <w:t>The TFA does not believe that current policy achieves an appropriate balance between food production, nature recovery, climate mitigation, water management, public access and other competing land-use objectives. Upland areas are fundamentally distinct from lowland landscapes and require policies and management approaches that reflect their unique characteristics.</w:t>
      </w:r>
    </w:p>
    <w:p w:rsidR="00000000" w:rsidRPr="005F536E" w:rsidP="0037683B">
      <w:pPr>
        <w:ind w:left="720"/>
        <w:jc w:val="both"/>
      </w:pPr>
      <w:r w:rsidRPr="005F536E">
        <w:t>Many of the challenges currently facing upland communities are longstanding and stem from a history of top-down policymaking</w:t>
      </w:r>
      <w:r>
        <w:t>,</w:t>
      </w:r>
      <w:r w:rsidRPr="005F536E">
        <w:t xml:space="preserve"> that has too often failed to recognise the economic realities of upland farming businesses and the way these systems have evolved over generations. Decisions regarding the future management of upland</w:t>
      </w:r>
      <w:r>
        <w:t>s</w:t>
      </w:r>
      <w:r w:rsidRPr="005F536E">
        <w:t xml:space="preserve"> should be shaped by those who live and work in these environments, rather than imposed through broad national policies that do not adequately reflect local circumstances.</w:t>
      </w:r>
    </w:p>
    <w:p w:rsidR="00000000" w:rsidRPr="00BA32F6" w:rsidP="0037683B">
      <w:pPr>
        <w:ind w:left="720" w:hanging="720"/>
        <w:jc w:val="both"/>
      </w:pPr>
      <w:r>
        <w:t>2.2</w:t>
      </w:r>
      <w:r>
        <w:tab/>
      </w:r>
      <w:r w:rsidRPr="00BA32F6">
        <w:t xml:space="preserve">A significant omission from the current policy </w:t>
      </w:r>
      <w:r>
        <w:t>decision</w:t>
      </w:r>
      <w:r w:rsidRPr="00BA32F6">
        <w:t xml:space="preserve"> is the impact on people. Policy not only shap</w:t>
      </w:r>
      <w:r>
        <w:t xml:space="preserve">es </w:t>
      </w:r>
      <w:r w:rsidRPr="00BA32F6">
        <w:t xml:space="preserve">land use but also </w:t>
      </w:r>
      <w:r>
        <w:t>affect</w:t>
      </w:r>
      <w:r w:rsidRPr="00BA32F6">
        <w:t xml:space="preserve"> farming families, succession planning, business confidence and the resilience of rural communities.</w:t>
      </w:r>
    </w:p>
    <w:p w:rsidR="00000000" w:rsidRPr="00BA32F6" w:rsidP="0037683B">
      <w:pPr>
        <w:ind w:left="720"/>
        <w:jc w:val="both"/>
      </w:pPr>
      <w:r w:rsidRPr="00BA32F6">
        <w:t>The TFA is concerned that the balance has shifted too far towards environmental objectives without sufficient consideration of farm business viability and long-term sustainability. Uncertainty surrounding schemes such as Landscape Recovery and other land-use initiatives is creating hesitation among farmers, with investment decisions frequently being delayed or abandoned altogether.</w:t>
      </w:r>
    </w:p>
    <w:p w:rsidR="00000000" w:rsidP="0037683B">
      <w:pPr>
        <w:ind w:left="720"/>
        <w:jc w:val="both"/>
      </w:pPr>
      <w:r w:rsidRPr="00BA32F6">
        <w:t>This lack of clarity has practical consequences at farm level</w:t>
      </w:r>
      <w:r>
        <w:t xml:space="preserve"> too</w:t>
      </w:r>
      <w:r w:rsidRPr="00BA32F6">
        <w:t xml:space="preserve">. Decisions on essential investments, such as the construction of winter housing for livestock, cannot be made with confidence when there is uncertainty about future policy direction and support mechanisms. A stable and predictable policy framework is essential if farmers are to invest in their businesses, plan for the future and </w:t>
      </w:r>
      <w:r>
        <w:t>remain at the hea</w:t>
      </w:r>
      <w:r>
        <w:t>rt of the upland rural communities</w:t>
      </w:r>
      <w:r w:rsidRPr="00BA32F6">
        <w:t>.</w:t>
      </w:r>
    </w:p>
    <w:p w:rsidR="00000000" w:rsidP="00E4398A">
      <w:pPr>
        <w:ind w:left="720" w:hanging="720"/>
        <w:jc w:val="both"/>
      </w:pPr>
      <w:r>
        <w:t>2.3</w:t>
      </w:r>
      <w:r>
        <w:tab/>
      </w:r>
      <w:r w:rsidRPr="00F73060">
        <w:t xml:space="preserve">The TFA also </w:t>
      </w:r>
      <w:r>
        <w:t>notes</w:t>
      </w:r>
      <w:r w:rsidRPr="00F73060">
        <w:t xml:space="preserve"> that continued destocking of the uplands is undermining long-established stratified breeding systems that are fundamental to the UK's livestock sector. Generations of selective breeding have produced sheep and cattle uniquely adapted to challenging upland environments, with traits such as hardiness, resilience, maternal ability, efficient forag</w:t>
      </w:r>
      <w:r>
        <w:t>ing</w:t>
      </w:r>
      <w:r w:rsidRPr="00F73060">
        <w:t xml:space="preserve"> and the capacity to thrive i</w:t>
      </w:r>
      <w:r>
        <w:t xml:space="preserve">n uplands unique </w:t>
      </w:r>
      <w:r w:rsidRPr="00F73060">
        <w:t xml:space="preserve">terrain. </w:t>
      </w:r>
      <w:r>
        <w:t>H</w:t>
      </w:r>
      <w:r w:rsidRPr="00F73060">
        <w:t xml:space="preserve">ill </w:t>
      </w:r>
      <w:r>
        <w:t>s</w:t>
      </w:r>
      <w:r>
        <w:t>tock</w:t>
      </w:r>
      <w:r w:rsidRPr="00F73060">
        <w:t xml:space="preserve"> form the foundation of breeding systems throughout the country, supplying sto</w:t>
      </w:r>
      <w:r w:rsidRPr="00F73060">
        <w:t>ck that contributes to livestock production far beyond the uplands. If livestock numbers are reduced too far or breeding animals are permanently displaced from their traditional environments, these valuable genetic traits and breeding structures risk being lost. Such losses would be difficult, if not impossible, to reverse.</w:t>
      </w:r>
    </w:p>
    <w:p w:rsidR="00000000" w:rsidP="0037683B">
      <w:pPr>
        <w:ind w:left="720" w:hanging="720"/>
        <w:jc w:val="both"/>
      </w:pPr>
      <w:r>
        <w:t>2.4</w:t>
      </w:r>
      <w:r>
        <w:tab/>
        <w:t>Food security must remain central</w:t>
      </w:r>
      <w:r>
        <w:t xml:space="preserve"> to policy decisions. </w:t>
      </w:r>
      <w:r>
        <w:t xml:space="preserve">Carbon captures scheme </w:t>
      </w:r>
      <w:r>
        <w:t>or peatland restoration projects</w:t>
      </w:r>
      <w:r>
        <w:t xml:space="preserve"> on poorer ground may be appropriate in some places, but removing good productive land from food production requires great caution. The TFA </w:t>
      </w:r>
      <w:r>
        <w:t xml:space="preserve">once again sees current policy as too one-sided </w:t>
      </w:r>
      <w:r>
        <w:t xml:space="preserve">towards </w:t>
      </w:r>
      <w:r>
        <w:t>environmental</w:t>
      </w:r>
      <w:r>
        <w:t xml:space="preserve"> ambitions </w:t>
      </w:r>
      <w:r>
        <w:t xml:space="preserve">in this sphere </w:t>
      </w:r>
      <w:r>
        <w:t>and the consequences of those decision</w:t>
      </w:r>
      <w:r>
        <w:t>s</w:t>
      </w:r>
      <w:r>
        <w:t xml:space="preserve"> will lead to catastrophic </w:t>
      </w:r>
      <w:r>
        <w:t xml:space="preserve">outcomes in the future. </w:t>
      </w:r>
    </w:p>
    <w:p w:rsidR="00000000" w:rsidP="0037683B">
      <w:pPr>
        <w:ind w:left="720"/>
        <w:jc w:val="both"/>
      </w:pPr>
      <w:r w:rsidRPr="00580929">
        <w:t xml:space="preserve">It is essential that upland farmers have a clear and timely route into </w:t>
      </w:r>
      <w:r>
        <w:t>tangible</w:t>
      </w:r>
      <w:r w:rsidRPr="00580929">
        <w:t xml:space="preserve"> environmental agreements</w:t>
      </w:r>
      <w:r>
        <w:t>.</w:t>
      </w:r>
      <w:r>
        <w:t xml:space="preserve"> </w:t>
      </w:r>
      <w:r>
        <w:t>T</w:t>
      </w:r>
      <w:r>
        <w:t>hese agreements should not displace food production but work hand in glove to allow the uplands to th</w:t>
      </w:r>
      <w:r>
        <w:t>r</w:t>
      </w:r>
      <w:r>
        <w:t xml:space="preserve">ive to produce food and </w:t>
      </w:r>
      <w:r>
        <w:t xml:space="preserve">create environmental assets. </w:t>
      </w:r>
    </w:p>
    <w:p w:rsidR="00000000" w:rsidP="0037683B">
      <w:pPr>
        <w:ind w:left="720" w:hanging="720"/>
        <w:jc w:val="both"/>
      </w:pPr>
      <w:r>
        <w:t>2.5</w:t>
      </w:r>
      <w:r>
        <w:tab/>
      </w:r>
      <w:r>
        <w:t xml:space="preserve">The TFA is particularly concerned about the role of large landowners, </w:t>
      </w:r>
      <w:r>
        <w:t xml:space="preserve">shooting </w:t>
      </w:r>
      <w:r>
        <w:t>estates</w:t>
      </w:r>
      <w:r>
        <w:t xml:space="preserve"> </w:t>
      </w:r>
      <w:r>
        <w:t xml:space="preserve">and water companies in upland areas. Changing </w:t>
      </w:r>
      <w:r>
        <w:t>vision</w:t>
      </w:r>
      <w:r>
        <w:t>s</w:t>
      </w:r>
      <w:r>
        <w:t xml:space="preserve"> </w:t>
      </w:r>
      <w:r>
        <w:t xml:space="preserve">of these landowners </w:t>
      </w:r>
      <w:r>
        <w:t xml:space="preserve">are </w:t>
      </w:r>
      <w:r>
        <w:t>alter</w:t>
      </w:r>
      <w:r>
        <w:t xml:space="preserve">ing </w:t>
      </w:r>
      <w:r>
        <w:t>traditional</w:t>
      </w:r>
      <w:r>
        <w:t xml:space="preserve"> </w:t>
      </w:r>
      <w:r>
        <w:t>management</w:t>
      </w:r>
      <w:r>
        <w:t xml:space="preserve"> practice</w:t>
      </w:r>
      <w:r>
        <w:t>s</w:t>
      </w:r>
      <w:r>
        <w:t xml:space="preserve"> which</w:t>
      </w:r>
      <w:r>
        <w:t xml:space="preserve"> all have consequences for working farmers. </w:t>
      </w:r>
      <w:r>
        <w:t>The d</w:t>
      </w:r>
      <w:r>
        <w:t>ecline</w:t>
      </w:r>
      <w:r>
        <w:t xml:space="preserve"> in shooting reduces the viability of the uplands, </w:t>
      </w:r>
      <w:r>
        <w:t>a</w:t>
      </w:r>
      <w:r>
        <w:t>ffect</w:t>
      </w:r>
      <w:r>
        <w:t>s</w:t>
      </w:r>
      <w:r>
        <w:t xml:space="preserve"> employment opportunities</w:t>
      </w:r>
      <w:r>
        <w:t xml:space="preserve"> in these areas as well as </w:t>
      </w:r>
      <w:r>
        <w:t>visitors number</w:t>
      </w:r>
      <w:r>
        <w:t>s</w:t>
      </w:r>
      <w:r>
        <w:t xml:space="preserve"> with a knock on effect to the tourism trade. </w:t>
      </w:r>
      <w:r>
        <w:t xml:space="preserve"> </w:t>
      </w:r>
    </w:p>
    <w:p w:rsidR="00000000" w:rsidP="0037683B">
      <w:pPr>
        <w:ind w:left="720" w:hanging="720"/>
        <w:jc w:val="both"/>
      </w:pPr>
    </w:p>
    <w:p w:rsidR="00000000" w:rsidP="0037683B">
      <w:pPr>
        <w:ind w:left="720" w:hanging="720"/>
        <w:jc w:val="both"/>
      </w:pPr>
      <w:r>
        <w:t>2.6</w:t>
      </w:r>
      <w:r>
        <w:tab/>
        <w:t xml:space="preserve">The TFA does not accept that </w:t>
      </w:r>
      <w:r>
        <w:t xml:space="preserve">decades of stock reductions have delivered all the biodiversity benefits claimed </w:t>
      </w:r>
      <w:r>
        <w:t>by them. Repeated reductions in grazing create</w:t>
      </w:r>
      <w:r>
        <w:t>s heav</w:t>
      </w:r>
      <w:r>
        <w:t>ier fuel loads, reduce</w:t>
      </w:r>
      <w:r>
        <w:t>s light reaching the soil and damage</w:t>
      </w:r>
      <w:r>
        <w:t xml:space="preserve">s biodiversity associated with appropriate grazing. </w:t>
      </w:r>
    </w:p>
    <w:p w:rsidR="00000000" w:rsidP="0037683B">
      <w:pPr>
        <w:ind w:left="720"/>
        <w:jc w:val="both"/>
        <w:rPr>
          <w:lang w:eastAsia="en-GB"/>
        </w:rPr>
      </w:pPr>
      <w:r>
        <w:t xml:space="preserve">Relentless stock reductions can become locked into </w:t>
      </w:r>
      <w:r>
        <w:t xml:space="preserve">multiple agreements, especially </w:t>
      </w:r>
      <w:r>
        <w:t>in longer term scheme</w:t>
      </w:r>
      <w:r>
        <w:t>s</w:t>
      </w:r>
      <w:r>
        <w:t xml:space="preserve"> </w:t>
      </w:r>
      <w:r>
        <w:t xml:space="preserve">which then </w:t>
      </w:r>
      <w:r>
        <w:t xml:space="preserve">impose </w:t>
      </w:r>
      <w:r>
        <w:t>greater restrictions on farming systems.</w:t>
      </w:r>
    </w:p>
    <w:p w:rsidR="00000000" w:rsidRPr="00CC26D3" w:rsidP="0037683B">
      <w:pPr>
        <w:jc w:val="both"/>
        <w:rPr>
          <w:lang w:eastAsia="en-GB"/>
        </w:rPr>
      </w:pPr>
      <w:r>
        <w:rPr>
          <w:b/>
          <w:bCs/>
        </w:rPr>
        <w:t>3.0</w:t>
      </w:r>
      <w:r>
        <w:rPr>
          <w:b/>
          <w:bCs/>
        </w:rPr>
        <w:tab/>
      </w:r>
      <w:r w:rsidRPr="00CC26D3">
        <w:rPr>
          <w:b/>
          <w:bCs/>
        </w:rPr>
        <w:t>The impact of moving away from direct payments</w:t>
      </w:r>
    </w:p>
    <w:p w:rsidR="00000000" w:rsidP="0037683B">
      <w:pPr>
        <w:ind w:left="720" w:hanging="720"/>
        <w:jc w:val="both"/>
      </w:pPr>
      <w:r>
        <w:t>3.1</w:t>
      </w:r>
      <w:r>
        <w:tab/>
      </w:r>
      <w:r>
        <w:t>The loss of direct payments has been catastrophic</w:t>
      </w:r>
      <w:r>
        <w:t xml:space="preserve"> for many upland farms.  </w:t>
      </w:r>
      <w:r>
        <w:t>Previously</w:t>
      </w:r>
      <w:r>
        <w:t xml:space="preserve"> very heavily reliant on t</w:t>
      </w:r>
      <w:r>
        <w:t>hese support payment</w:t>
      </w:r>
      <w:r>
        <w:t>s</w:t>
      </w:r>
      <w:r>
        <w:t xml:space="preserve">, </w:t>
      </w:r>
      <w:r>
        <w:t>family’s structur</w:t>
      </w:r>
      <w:r>
        <w:t>es and livelihoods</w:t>
      </w:r>
      <w:r>
        <w:t xml:space="preserve"> have been based on these for decades. Fundamental restructuring </w:t>
      </w:r>
      <w:r>
        <w:t xml:space="preserve">should not happen in </w:t>
      </w:r>
      <w:r>
        <w:t>such short time frames</w:t>
      </w:r>
      <w:r>
        <w:t>,</w:t>
      </w:r>
      <w:r>
        <w:t xml:space="preserve"> it often takes five years or more </w:t>
      </w:r>
      <w:r>
        <w:t>for business structure</w:t>
      </w:r>
      <w:r>
        <w:t>s</w:t>
      </w:r>
      <w:r>
        <w:t xml:space="preserve"> to change and adapt. </w:t>
      </w:r>
      <w:r>
        <w:t xml:space="preserve">Family members are now </w:t>
      </w:r>
      <w:r>
        <w:t>being forced to work off farm to</w:t>
      </w:r>
      <w:r>
        <w:t xml:space="preserve"> simply keep the</w:t>
      </w:r>
      <w:r>
        <w:t xml:space="preserve"> business afloat. </w:t>
      </w:r>
    </w:p>
    <w:p w:rsidR="00000000" w:rsidP="0037683B">
      <w:pPr>
        <w:ind w:left="720" w:hanging="720"/>
        <w:jc w:val="both"/>
      </w:pPr>
      <w:r>
        <w:t>3.2</w:t>
      </w:r>
      <w:r>
        <w:tab/>
      </w:r>
      <w:r>
        <w:t>Historic support recognised</w:t>
      </w:r>
      <w:r>
        <w:t xml:space="preserve"> the benefit of</w:t>
      </w:r>
      <w:r>
        <w:t xml:space="preserve"> a</w:t>
      </w:r>
      <w:r>
        <w:t xml:space="preserve"> </w:t>
      </w:r>
      <w:r>
        <w:t>mixed grazing system</w:t>
      </w:r>
      <w:r>
        <w:t xml:space="preserve"> and that they</w:t>
      </w:r>
      <w:r>
        <w:t xml:space="preserve"> were not financially </w:t>
      </w:r>
      <w:r>
        <w:t xml:space="preserve">rewarded </w:t>
      </w:r>
      <w:r>
        <w:t xml:space="preserve">on their own </w:t>
      </w:r>
      <w:r>
        <w:t xml:space="preserve">merits </w:t>
      </w:r>
      <w:r>
        <w:t xml:space="preserve">in many hill areas. </w:t>
      </w:r>
      <w:r>
        <w:t>Therefore,</w:t>
      </w:r>
      <w:r>
        <w:t xml:space="preserve"> as a </w:t>
      </w:r>
      <w:r>
        <w:t>consequence</w:t>
      </w:r>
      <w:r>
        <w:t xml:space="preserve"> </w:t>
      </w:r>
      <w:r>
        <w:t xml:space="preserve">of </w:t>
      </w:r>
      <w:r>
        <w:t>those</w:t>
      </w:r>
      <w:r>
        <w:t xml:space="preserve"> headage</w:t>
      </w:r>
      <w:r>
        <w:t xml:space="preserve"> payments disappear</w:t>
      </w:r>
      <w:r>
        <w:t>ing</w:t>
      </w:r>
      <w:r>
        <w:t>, cattle numbers declined and sheep became more dominant</w:t>
      </w:r>
      <w:r>
        <w:t xml:space="preserve"> which had a</w:t>
      </w:r>
      <w:r>
        <w:t>n</w:t>
      </w:r>
      <w:r>
        <w:t xml:space="preserve"> adverse </w:t>
      </w:r>
      <w:r>
        <w:t>e</w:t>
      </w:r>
      <w:r>
        <w:t>ffect on the biodiversity of the</w:t>
      </w:r>
      <w:r>
        <w:t xml:space="preserve"> </w:t>
      </w:r>
      <w:r>
        <w:t>uplands</w:t>
      </w:r>
      <w:r>
        <w:t xml:space="preserve">. </w:t>
      </w:r>
    </w:p>
    <w:p w:rsidR="00000000" w:rsidP="0037683B">
      <w:pPr>
        <w:ind w:left="720"/>
        <w:jc w:val="both"/>
        <w:rPr>
          <w:lang w:eastAsia="en-GB"/>
        </w:rPr>
      </w:pPr>
      <w:r>
        <w:t>Uplands</w:t>
      </w:r>
      <w:r>
        <w:t xml:space="preserve"> require mixed grazing </w:t>
      </w:r>
      <w:r>
        <w:t xml:space="preserve">to create a mosaic of </w:t>
      </w:r>
      <w:r>
        <w:t>habitats</w:t>
      </w:r>
      <w:r>
        <w:t xml:space="preserve"> however with the removal of cattle</w:t>
      </w:r>
      <w:r>
        <w:t xml:space="preserve"> many will </w:t>
      </w:r>
      <w:r>
        <w:t>now not return to</w:t>
      </w:r>
      <w:r>
        <w:t xml:space="preserve"> some upland </w:t>
      </w:r>
      <w:r>
        <w:t>areas without targeted support, potentially framed as conservation grazing</w:t>
      </w:r>
      <w:r>
        <w:t>, where necessary.</w:t>
      </w:r>
    </w:p>
    <w:p w:rsidR="00000000" w:rsidRPr="00426E36" w:rsidP="0037683B">
      <w:pPr>
        <w:ind w:left="720" w:hanging="720"/>
        <w:jc w:val="both"/>
      </w:pPr>
      <w:r>
        <w:t>3.3</w:t>
      </w:r>
      <w:r>
        <w:tab/>
      </w:r>
      <w:r w:rsidRPr="00426E36">
        <w:t>While livestock prices have strengthened in recent years, this has not resolved the underlying financial pressures facing upland farming businesses. Increases in livestock values have been accompanied by significant rises in the cost of fuel, machinery, feed, fertiliser and other essential inputs, while rental levels have generally not adjusted to reflect the loss of direct support payments. Furthermore, farms that have reduced stocking levels to meet the requirements of environmental schemes are often unable to take full advantage of stronger livestock markets, limiting their ability to offset rising costs through increased production.</w:t>
      </w:r>
    </w:p>
    <w:p w:rsidR="00000000" w:rsidP="0037683B">
      <w:pPr>
        <w:ind w:left="720" w:hanging="720"/>
        <w:jc w:val="both"/>
      </w:pPr>
      <w:r>
        <w:t>3.4</w:t>
      </w:r>
      <w:r>
        <w:tab/>
      </w:r>
      <w:r w:rsidRPr="00426E36">
        <w:t>The tenanted sector faces additional challenges as landlords increasingly seek opportunities to access environmental payments and natural capital income streams directly. There is a growing concern that public funding intended to support sustainable land management</w:t>
      </w:r>
      <w:r>
        <w:t xml:space="preserve"> is</w:t>
      </w:r>
      <w:r w:rsidRPr="00426E36">
        <w:t xml:space="preserve"> bypass</w:t>
      </w:r>
      <w:r>
        <w:t>ing</w:t>
      </w:r>
      <w:r w:rsidRPr="00426E36">
        <w:t xml:space="preserve"> tenant farmers, despite them being responsible for the day-to-day management of the land</w:t>
      </w:r>
      <w:r>
        <w:t xml:space="preserve">. </w:t>
      </w:r>
      <w:r w:rsidRPr="00426E36">
        <w:t>Policy frameworks must ensure that those actively farming the land are able to participate fully in</w:t>
      </w:r>
      <w:r>
        <w:t xml:space="preserve"> </w:t>
      </w:r>
      <w:r w:rsidRPr="00426E36">
        <w:t>and benefit fairly from, emerging environm</w:t>
      </w:r>
      <w:r w:rsidRPr="00426E36">
        <w:t>ental schemes and funding opportunities.</w:t>
      </w:r>
    </w:p>
    <w:p w:rsidR="00000000" w:rsidP="0037683B">
      <w:pPr>
        <w:ind w:left="720" w:hanging="720"/>
        <w:jc w:val="both"/>
        <w:rPr>
          <w:lang w:eastAsia="en-GB"/>
        </w:rPr>
      </w:pPr>
      <w:r>
        <w:t>3.5</w:t>
      </w:r>
      <w:r>
        <w:tab/>
      </w:r>
      <w:r>
        <w:t>Furthermore, t</w:t>
      </w:r>
      <w:r w:rsidRPr="00D87289">
        <w:t xml:space="preserve">he introduction of Farm Business Tenancies under the Agricultural Tenancies Act 1995 has contributed to a shift towards shorter-term land occupation, often at the expense of long-term investment and stewardship. Under </w:t>
      </w:r>
      <w:r w:rsidRPr="00D87289">
        <w:t>the security offered by Agricultural Holdings Act 1986 tenancies, both landlords and tenants had a strong incentive to invest in land, buildings and infrastructure, knowing that the benefits of those investments could be realised over many years. By contrast, shorter tenancy agr</w:t>
      </w:r>
      <w:r w:rsidRPr="00D87289">
        <w:t>eements encourage a more short-term approach to management, with both parties focused on maximising immediate returns rather than investing in the long-term productivity and resilience of the holding.</w:t>
      </w:r>
    </w:p>
    <w:p w:rsidR="00000000" w:rsidRPr="00E06465" w:rsidP="0037683B">
      <w:pPr>
        <w:jc w:val="both"/>
        <w:rPr>
          <w:b/>
          <w:bCs/>
        </w:rPr>
      </w:pPr>
      <w:r>
        <w:rPr>
          <w:b/>
          <w:bCs/>
        </w:rPr>
        <w:t>4.0</w:t>
      </w:r>
      <w:r>
        <w:rPr>
          <w:b/>
          <w:bCs/>
        </w:rPr>
        <w:tab/>
      </w:r>
      <w:r w:rsidRPr="003746BA">
        <w:rPr>
          <w:b/>
          <w:bCs/>
        </w:rPr>
        <w:t xml:space="preserve">Environmental </w:t>
      </w:r>
      <w:r>
        <w:rPr>
          <w:b/>
          <w:bCs/>
        </w:rPr>
        <w:t>L</w:t>
      </w:r>
      <w:r w:rsidRPr="003746BA">
        <w:rPr>
          <w:b/>
          <w:bCs/>
        </w:rPr>
        <w:t xml:space="preserve">and </w:t>
      </w:r>
      <w:r>
        <w:rPr>
          <w:b/>
          <w:bCs/>
        </w:rPr>
        <w:t>M</w:t>
      </w:r>
      <w:r w:rsidRPr="003746BA">
        <w:rPr>
          <w:b/>
          <w:bCs/>
        </w:rPr>
        <w:t>anagement schemes and other support</w:t>
      </w:r>
    </w:p>
    <w:p w:rsidR="00000000" w:rsidP="0037683B">
      <w:pPr>
        <w:ind w:left="720" w:hanging="720"/>
        <w:jc w:val="both"/>
      </w:pPr>
      <w:r>
        <w:t>4.1</w:t>
      </w:r>
      <w:r>
        <w:tab/>
      </w:r>
      <w:r w:rsidRPr="00703CDB">
        <w:t>Environmental schemes can only succeed where they complement the land,</w:t>
      </w:r>
      <w:r>
        <w:t xml:space="preserve"> its unique features and</w:t>
      </w:r>
      <w:r w:rsidRPr="00703CDB">
        <w:t xml:space="preserve"> the livestock and the farming business</w:t>
      </w:r>
      <w:r>
        <w:t xml:space="preserve"> that have created these.</w:t>
      </w:r>
      <w:r w:rsidRPr="00703CDB">
        <w:t xml:space="preserve"> Livestock systems must be matched to the capabilities of the land, with careful consideration given to breed suitability. Native and traditional hill breeds have evolved over generations to thrive in challenging upland environments, delivering food production alongside environmental management. However, market and supply chain pressures have increasingly favoured breeds and systems that often require greater levels of indoor management and are less suited to extensive upland conditions. Policy and scheme design must recognise these practical breeding realities and avoid creating incentives that undermine the long-term sustainability of well-adapted upland livestock systems.</w:t>
      </w:r>
    </w:p>
    <w:p w:rsidR="00000000" w:rsidP="00C946BA">
      <w:pPr>
        <w:ind w:left="720" w:hanging="720"/>
        <w:jc w:val="both"/>
      </w:pPr>
      <w:r>
        <w:t>4.2</w:t>
      </w:r>
      <w:r>
        <w:tab/>
      </w:r>
      <w:r w:rsidRPr="00E5149A">
        <w:t>While some businesses have successfully used environmental schemes to replace, or in some cases exceed, income previously received through the Basic Payment Scheme, this is highly dependent on whether scheme options align with the characteristics of the individual farm.</w:t>
      </w:r>
    </w:p>
    <w:p w:rsidR="00000000" w:rsidP="0037683B">
      <w:pPr>
        <w:ind w:left="720"/>
        <w:jc w:val="both"/>
      </w:pPr>
      <w:r w:rsidRPr="00297DB4">
        <w:t>Farmers operate in markets where they have very limited influence over the prices they receive for their products. If businesses are expected to invest in environmental delivery, infrastructure and innovation, there must be a stable policy framework and an appropriate level of financial support that provides confidence to invest for the future.</w:t>
      </w:r>
    </w:p>
    <w:p w:rsidR="00000000" w:rsidP="00C946BA">
      <w:pPr>
        <w:ind w:left="720" w:hanging="720"/>
        <w:jc w:val="both"/>
      </w:pPr>
      <w:r>
        <w:t>4.3</w:t>
      </w:r>
      <w:r>
        <w:tab/>
        <w:t xml:space="preserve">The TFA is concerned current policy </w:t>
      </w:r>
      <w:r>
        <w:t xml:space="preserve">under ELMS enables payments to people not to farm rather than supporting stock-based farming systems that delivers both food </w:t>
      </w:r>
      <w:r>
        <w:t xml:space="preserve">security and biodiversity. The TFA is aware of situations where scheme income appears to be captured by landlords in </w:t>
      </w:r>
      <w:r>
        <w:t>these instances, rather than those actively managing the land. At the same time, carbon schemes, SSSI requirements and practical farming needs can pull in different directions, particularly where designated land requires active management to retain the features for which it was designated.</w:t>
      </w:r>
    </w:p>
    <w:p w:rsidR="00000000" w:rsidRPr="007C6542" w:rsidP="0037683B">
      <w:pPr>
        <w:ind w:left="720" w:hanging="720"/>
        <w:jc w:val="both"/>
      </w:pPr>
      <w:r>
        <w:t>4.</w:t>
      </w:r>
      <w:r>
        <w:t>4</w:t>
      </w:r>
      <w:r>
        <w:tab/>
      </w:r>
      <w:r w:rsidRPr="007C6542">
        <w:t xml:space="preserve">Protected area designations and environmental schemes must be practical and grounded in the realities of upland farming. Policy development should be </w:t>
      </w:r>
      <w:r w:rsidRPr="007C6542">
        <w:t>informed by direct engagement with farmers and a clear understanding of local conditions and management challenges.</w:t>
      </w:r>
    </w:p>
    <w:p w:rsidR="00000000" w:rsidRPr="007C6542" w:rsidP="0037683B">
      <w:pPr>
        <w:ind w:left="720"/>
        <w:jc w:val="both"/>
      </w:pPr>
      <w:r w:rsidRPr="007C6542">
        <w:t>Environmental Land Management schemes must also recognise the importance of common land and grazing rights. Changes to grazing management on commons can have significant implications for in-bye land and the wider farming system, and these interdependencies must be reflected in scheme design.</w:t>
      </w:r>
    </w:p>
    <w:p w:rsidR="00000000" w:rsidRPr="007C6542" w:rsidP="00753BD0">
      <w:pPr>
        <w:ind w:left="720"/>
        <w:jc w:val="both"/>
      </w:pPr>
      <w:r w:rsidRPr="007C6542">
        <w:t>While programmes such as Farming in Protected Landscapes have delivered benefits, there remains scope to improve targeting, accessibility and communication. Particular attention should be given to ensuring that information reaches all farmers, including those with limited digital connectivity or engagement with online channels.</w:t>
      </w:r>
    </w:p>
    <w:p w:rsidR="00000000" w:rsidP="0037683B">
      <w:pPr>
        <w:ind w:left="720" w:hanging="720"/>
        <w:jc w:val="both"/>
        <w:rPr>
          <w:lang w:eastAsia="en-GB"/>
        </w:rPr>
      </w:pPr>
      <w:r w:rsidRPr="003746BA">
        <w:rPr>
          <w:lang w:eastAsia="en-GB"/>
        </w:rPr>
        <w:t>4.</w:t>
      </w:r>
      <w:r>
        <w:rPr>
          <w:lang w:eastAsia="en-GB"/>
        </w:rPr>
        <w:t>5</w:t>
      </w:r>
      <w:r w:rsidRPr="003746BA">
        <w:rPr>
          <w:lang w:eastAsia="en-GB"/>
        </w:rPr>
        <w:tab/>
      </w:r>
      <w:r w:rsidRPr="00082B6A">
        <w:rPr>
          <w:lang w:eastAsia="en-GB"/>
        </w:rPr>
        <w:t>The TFA strongly opposes the application of uniform stocking rates across highly diverse upland landscapes. There is no single stocking density that can be appropriately applied to all upland environments. For example, the application of a maximum stocking rate of 0.16 grazing livestock units per hectare under the Sustainable Farming Incentive</w:t>
      </w:r>
      <w:r>
        <w:rPr>
          <w:lang w:eastAsia="en-GB"/>
        </w:rPr>
        <w:t>,</w:t>
      </w:r>
      <w:r w:rsidRPr="00082B6A">
        <w:rPr>
          <w:lang w:eastAsia="en-GB"/>
        </w:rPr>
        <w:t xml:space="preserve"> UPL1 action may be suitable in some locations but entirely inappropriate in others. Effective grazing management must take account of local geography, vegetation, </w:t>
      </w:r>
      <w:r w:rsidRPr="00082B6A">
        <w:rPr>
          <w:lang w:eastAsia="en-GB"/>
        </w:rPr>
        <w:t xml:space="preserve">soils, climate and conservation objectives. In many circumstances, excessively low stocking rates can create their own environmental problems, including the encroachment of </w:t>
      </w:r>
      <w:r>
        <w:rPr>
          <w:lang w:eastAsia="en-GB"/>
        </w:rPr>
        <w:t>dominant</w:t>
      </w:r>
      <w:r w:rsidRPr="00082B6A">
        <w:rPr>
          <w:lang w:eastAsia="en-GB"/>
        </w:rPr>
        <w:t xml:space="preserve"> species such as Molinia</w:t>
      </w:r>
      <w:r>
        <w:rPr>
          <w:lang w:eastAsia="en-GB"/>
        </w:rPr>
        <w:t xml:space="preserve"> and </w:t>
      </w:r>
      <w:r>
        <w:rPr>
          <w:lang w:eastAsia="en-GB"/>
        </w:rPr>
        <w:t>Bracken</w:t>
      </w:r>
      <w:r>
        <w:rPr>
          <w:lang w:eastAsia="en-GB"/>
        </w:rPr>
        <w:t>. T</w:t>
      </w:r>
      <w:r w:rsidRPr="00082B6A">
        <w:rPr>
          <w:lang w:eastAsia="en-GB"/>
        </w:rPr>
        <w:t xml:space="preserve">he loss of habitat diversity and a build-up of combustible vegetation </w:t>
      </w:r>
      <w:r>
        <w:rPr>
          <w:lang w:eastAsia="en-GB"/>
        </w:rPr>
        <w:t xml:space="preserve">also </w:t>
      </w:r>
      <w:r w:rsidRPr="00082B6A">
        <w:rPr>
          <w:lang w:eastAsia="en-GB"/>
        </w:rPr>
        <w:t>increases wildfire risk. A more tailored, site-specific approach is therefore essential.</w:t>
      </w:r>
    </w:p>
    <w:p w:rsidR="00000000" w:rsidP="00F63DDF">
      <w:pPr>
        <w:ind w:left="720"/>
        <w:jc w:val="both"/>
        <w:rPr>
          <w:lang w:eastAsia="en-GB"/>
        </w:rPr>
      </w:pPr>
      <w:r>
        <w:rPr>
          <w:lang w:eastAsia="en-GB"/>
        </w:rPr>
        <w:t>Furthermore, destocking risks an increase in t</w:t>
      </w:r>
      <w:r w:rsidRPr="00F63DDF">
        <w:rPr>
          <w:lang w:eastAsia="en-GB"/>
        </w:rPr>
        <w:t>ick-borne</w:t>
      </w:r>
      <w:r>
        <w:rPr>
          <w:lang w:eastAsia="en-GB"/>
        </w:rPr>
        <w:t xml:space="preserve"> disease</w:t>
      </w:r>
      <w:r w:rsidRPr="00F63DDF">
        <w:rPr>
          <w:lang w:eastAsia="en-GB"/>
        </w:rPr>
        <w:t xml:space="preserve"> </w:t>
      </w:r>
      <w:r>
        <w:rPr>
          <w:lang w:eastAsia="en-GB"/>
        </w:rPr>
        <w:t>which</w:t>
      </w:r>
      <w:r w:rsidRPr="00F63DDF">
        <w:rPr>
          <w:lang w:eastAsia="en-GB"/>
        </w:rPr>
        <w:t xml:space="preserve"> are an increasing threat to both livestock and human health. </w:t>
      </w:r>
      <w:r>
        <w:rPr>
          <w:lang w:eastAsia="en-GB"/>
        </w:rPr>
        <w:t xml:space="preserve">Removing stocking </w:t>
      </w:r>
      <w:r>
        <w:rPr>
          <w:lang w:eastAsia="en-GB"/>
        </w:rPr>
        <w:t>at dramatic rates reduces their inherited resilience against</w:t>
      </w:r>
      <w:r w:rsidRPr="00F63DDF">
        <w:rPr>
          <w:lang w:eastAsia="en-GB"/>
        </w:rPr>
        <w:t xml:space="preserve"> ticks </w:t>
      </w:r>
      <w:r>
        <w:rPr>
          <w:lang w:eastAsia="en-GB"/>
        </w:rPr>
        <w:t xml:space="preserve">which </w:t>
      </w:r>
      <w:r w:rsidRPr="00F63DDF">
        <w:rPr>
          <w:lang w:eastAsia="en-GB"/>
        </w:rPr>
        <w:t>can transmit diseases that reduce productivity, cause illness, compromise animal welfare and in severe cases, lead to death. Farmers and rural workers are also at risk from tick-borne infections, such as Lyme disease, which can have significant health impacts if left untreated. Climate change is expected to worsen these risks by creating warmer and wetter conditions that allow ticks and other disease-carrying pests to survive</w:t>
      </w:r>
      <w:r>
        <w:rPr>
          <w:lang w:eastAsia="en-GB"/>
        </w:rPr>
        <w:t>,</w:t>
      </w:r>
      <w:r w:rsidRPr="00F63DDF">
        <w:rPr>
          <w:lang w:eastAsia="en-GB"/>
        </w:rPr>
        <w:t xml:space="preserve"> spread and remain active for longer periods.</w:t>
      </w:r>
    </w:p>
    <w:p w:rsidR="00000000" w:rsidP="0037683B">
      <w:pPr>
        <w:ind w:left="720" w:hanging="720"/>
        <w:jc w:val="both"/>
        <w:rPr>
          <w:lang w:eastAsia="en-GB"/>
        </w:rPr>
      </w:pPr>
    </w:p>
    <w:p w:rsidR="00000000" w:rsidP="0037683B">
      <w:pPr>
        <w:ind w:left="720" w:hanging="720"/>
        <w:jc w:val="both"/>
        <w:rPr>
          <w:lang w:eastAsia="en-GB"/>
        </w:rPr>
      </w:pPr>
      <w:r>
        <w:rPr>
          <w:lang w:eastAsia="en-GB"/>
        </w:rPr>
        <w:t>4.</w:t>
      </w:r>
      <w:r>
        <w:rPr>
          <w:lang w:eastAsia="en-GB"/>
        </w:rPr>
        <w:t>6</w:t>
      </w:r>
      <w:r>
        <w:rPr>
          <w:lang w:eastAsia="en-GB"/>
        </w:rPr>
        <w:tab/>
      </w:r>
      <w:r>
        <w:rPr>
          <w:lang w:eastAsia="en-GB"/>
        </w:rPr>
        <w:t>E</w:t>
      </w:r>
      <w:r w:rsidRPr="00AF54FF">
        <w:rPr>
          <w:lang w:eastAsia="en-GB"/>
        </w:rPr>
        <w:t>nvironmental schemes</w:t>
      </w:r>
      <w:r>
        <w:rPr>
          <w:lang w:eastAsia="en-GB"/>
        </w:rPr>
        <w:t xml:space="preserve"> and areas of p</w:t>
      </w:r>
      <w:r w:rsidRPr="00AF54FF">
        <w:rPr>
          <w:lang w:eastAsia="en-GB"/>
        </w:rPr>
        <w:t xml:space="preserve">rotected designations must be workable in practice. Too often, policies are developed without a sufficient understanding of the realities of upland farming. Decision-makers should spend more time engaging directly with farmers and visiting upland holdings to better appreciate </w:t>
      </w:r>
      <w:r w:rsidRPr="00AF54FF">
        <w:rPr>
          <w:lang w:eastAsia="en-GB"/>
        </w:rPr>
        <w:t>local conditions and management challenges</w:t>
      </w:r>
      <w:r>
        <w:rPr>
          <w:lang w:eastAsia="en-GB"/>
        </w:rPr>
        <w:t xml:space="preserve"> which the</w:t>
      </w:r>
      <w:r>
        <w:rPr>
          <w:lang w:eastAsia="en-GB"/>
        </w:rPr>
        <w:t>n</w:t>
      </w:r>
      <w:r>
        <w:rPr>
          <w:lang w:eastAsia="en-GB"/>
        </w:rPr>
        <w:t xml:space="preserve"> form the foundations of scheme designs. </w:t>
      </w:r>
    </w:p>
    <w:p w:rsidR="00000000" w:rsidP="000D5436">
      <w:pPr>
        <w:ind w:left="720" w:hanging="720"/>
        <w:jc w:val="both"/>
        <w:rPr>
          <w:lang w:eastAsia="en-GB"/>
        </w:rPr>
      </w:pPr>
      <w:r>
        <w:rPr>
          <w:lang w:eastAsia="en-GB"/>
        </w:rPr>
        <w:t>4.</w:t>
      </w:r>
      <w:r>
        <w:rPr>
          <w:lang w:eastAsia="en-GB"/>
        </w:rPr>
        <w:t>7</w:t>
      </w:r>
      <w:r>
        <w:rPr>
          <w:lang w:eastAsia="en-GB"/>
        </w:rPr>
        <w:tab/>
      </w:r>
      <w:r>
        <w:t>The TFA is also concerned about restrictions on heather</w:t>
      </w:r>
      <w:r>
        <w:t xml:space="preserve"> and grass burning. Properly managed cold burns can be necessary to reduce fuel loads and manage moorland, while cutting alone can leave material as fuel. There must be enough skilled people to carry out burning safely, but a blanket approach risks increasing wildfire danger. </w:t>
      </w:r>
    </w:p>
    <w:p w:rsidR="00000000" w:rsidP="0037683B">
      <w:pPr>
        <w:jc w:val="both"/>
        <w:rPr>
          <w:lang w:eastAsia="en-GB"/>
        </w:rPr>
      </w:pPr>
      <w:r>
        <w:rPr>
          <w:b/>
          <w:bCs/>
        </w:rPr>
        <w:t>5.0</w:t>
      </w:r>
      <w:r>
        <w:rPr>
          <w:b/>
          <w:bCs/>
        </w:rPr>
        <w:tab/>
      </w:r>
      <w:r w:rsidRPr="00337D81">
        <w:rPr>
          <w:b/>
          <w:bCs/>
        </w:rPr>
        <w:t>Legal protections, national parks and designated sites</w:t>
      </w:r>
    </w:p>
    <w:p w:rsidR="00000000" w:rsidRPr="005970DB" w:rsidP="0037683B">
      <w:pPr>
        <w:ind w:left="720" w:hanging="720"/>
        <w:jc w:val="both"/>
      </w:pPr>
      <w:r>
        <w:t>5.1</w:t>
      </w:r>
      <w:r>
        <w:tab/>
      </w:r>
      <w:r w:rsidRPr="005970DB">
        <w:t xml:space="preserve">The TFA </w:t>
      </w:r>
      <w:r>
        <w:t>is</w:t>
      </w:r>
      <w:r w:rsidRPr="005970DB">
        <w:t xml:space="preserve"> concerned that existing legal protections and conservation designations are not always delivering the best environmental outcomes. Many Sites of Special Scientific Interest (SSSIs) were designated on the basis of broad aspirations and historical assessments, without the detailed </w:t>
      </w:r>
      <w:r>
        <w:t xml:space="preserve">up to date </w:t>
      </w:r>
      <w:r w:rsidRPr="005970DB">
        <w:t>ecological mapping and evidence base. Furthermore, the precautionary principle is too often interpreted as restricting or removing management activity altogether, when many habitats and species depend upon active intervention to maintain favourable condition</w:t>
      </w:r>
      <w:r>
        <w:t>s</w:t>
      </w:r>
      <w:r w:rsidRPr="005970DB">
        <w:t>.</w:t>
      </w:r>
    </w:p>
    <w:p w:rsidR="00000000" w:rsidRPr="005970DB" w:rsidP="0037683B">
      <w:pPr>
        <w:ind w:left="720"/>
        <w:jc w:val="both"/>
      </w:pPr>
      <w:r w:rsidRPr="005970DB">
        <w:t>The management of protected species should also be considered within the wider context of sustainable land management. Changes in land use, reductions in</w:t>
      </w:r>
      <w:r>
        <w:t xml:space="preserve"> game</w:t>
      </w:r>
      <w:r w:rsidRPr="005970DB">
        <w:t xml:space="preserve"> keeping activity and the decline of grouse shooting in some areas can have wider implications for predator control and habitat management. Policymakers should recognise the role that active land management has historically played in supporting a range of conservation outcomes and ensure that future policy reflects these practical realities.</w:t>
      </w:r>
    </w:p>
    <w:p w:rsidR="00000000" w:rsidRPr="005970DB" w:rsidP="00B5477D">
      <w:pPr>
        <w:ind w:left="720" w:hanging="720"/>
        <w:jc w:val="both"/>
      </w:pPr>
      <w:r w:rsidRPr="0009369C">
        <w:t>5.</w:t>
      </w:r>
      <w:r w:rsidRPr="0009369C">
        <w:t>2</w:t>
      </w:r>
      <w:r w:rsidRPr="005970DB">
        <w:rPr>
          <w:b/>
          <w:bCs/>
        </w:rPr>
        <w:t xml:space="preserve"> </w:t>
      </w:r>
      <w:r>
        <w:rPr>
          <w:b/>
          <w:bCs/>
        </w:rPr>
        <w:tab/>
      </w:r>
      <w:r w:rsidRPr="009466C5">
        <w:t>T</w:t>
      </w:r>
      <w:r w:rsidRPr="005970DB">
        <w:t>he TFA remains cautious about the expansion of National Park and other protected landscape designations where these introduce additional planning and management restrictions</w:t>
      </w:r>
      <w:r>
        <w:t>,</w:t>
      </w:r>
      <w:r w:rsidRPr="005970DB">
        <w:t xml:space="preserve"> without sufficient regard for the interests of those who live and work within them. Any proposals for new designations or significant policy changes must be subject to transparent and balanced consultation processes that accurately reflect local views and concerns.</w:t>
      </w:r>
    </w:p>
    <w:p w:rsidR="00000000" w:rsidRPr="005970DB" w:rsidP="0037683B">
      <w:pPr>
        <w:ind w:left="720" w:hanging="720"/>
        <w:jc w:val="both"/>
      </w:pPr>
      <w:r w:rsidRPr="0009369C">
        <w:t>5.</w:t>
      </w:r>
      <w:r w:rsidRPr="0009369C">
        <w:t xml:space="preserve">3 </w:t>
      </w:r>
      <w:r w:rsidRPr="0009369C">
        <w:tab/>
      </w:r>
      <w:r w:rsidRPr="005970DB">
        <w:t>Poor coordination between regulators, delivery bodies and scheme administrators can create significant practical difficulties. For example, farmers may receive approval to enter</w:t>
      </w:r>
      <w:r>
        <w:t xml:space="preserve"> ELM</w:t>
      </w:r>
      <w:r w:rsidRPr="005970DB">
        <w:t xml:space="preserve"> agreements only for eligibility or management requirements to be questioned at a later stage due to overlapping designations or proximity to protected sites. Such inconsistencies can delay payments, increase uncertainty and create serious cash-flow pressures for businesses.</w:t>
      </w:r>
    </w:p>
    <w:p w:rsidR="00000000" w:rsidP="0037683B">
      <w:pPr>
        <w:ind w:left="720" w:hanging="720"/>
        <w:jc w:val="both"/>
      </w:pPr>
      <w:r>
        <w:t>5.4</w:t>
      </w:r>
      <w:r>
        <w:tab/>
      </w:r>
      <w:r>
        <w:t xml:space="preserve">Therefore, </w:t>
      </w:r>
      <w:r>
        <w:t xml:space="preserve">in </w:t>
      </w:r>
      <w:r>
        <w:t>f</w:t>
      </w:r>
      <w:r w:rsidRPr="005970DB">
        <w:t xml:space="preserve">uture </w:t>
      </w:r>
      <w:r>
        <w:t xml:space="preserve">any legal protections and designations must </w:t>
      </w:r>
      <w:r>
        <w:t>give thought to</w:t>
      </w:r>
      <w:r w:rsidRPr="005970DB">
        <w:t xml:space="preserve"> </w:t>
      </w:r>
      <w:r>
        <w:t xml:space="preserve">how </w:t>
      </w:r>
      <w:r w:rsidRPr="005970DB">
        <w:t>joined-up decision-making</w:t>
      </w:r>
      <w:r>
        <w:t xml:space="preserve"> will </w:t>
      </w:r>
      <w:r>
        <w:t>practically</w:t>
      </w:r>
      <w:r>
        <w:t xml:space="preserve"> work</w:t>
      </w:r>
      <w:r w:rsidRPr="005970DB">
        <w:t xml:space="preserve">, ensuring that environmental </w:t>
      </w:r>
      <w:r w:rsidRPr="005970DB">
        <w:t>designations, land management and regulatory requirements operate coherently and support, rather than undermine, the long-term viability of upland farming businesses.</w:t>
      </w:r>
    </w:p>
    <w:p w:rsidR="00000000" w:rsidRPr="00A75C45" w:rsidP="0037683B">
      <w:pPr>
        <w:jc w:val="both"/>
        <w:rPr>
          <w:b/>
          <w:bCs/>
        </w:rPr>
      </w:pPr>
      <w:r w:rsidRPr="00A75C45">
        <w:rPr>
          <w:b/>
          <w:bCs/>
        </w:rPr>
        <w:t xml:space="preserve">6.0 </w:t>
      </w:r>
      <w:r>
        <w:rPr>
          <w:b/>
          <w:bCs/>
        </w:rPr>
        <w:tab/>
      </w:r>
      <w:r w:rsidRPr="00A75C45">
        <w:rPr>
          <w:b/>
          <w:bCs/>
        </w:rPr>
        <w:t>The Use of Data, Mapping, Modelling and Skills</w:t>
      </w:r>
    </w:p>
    <w:p w:rsidR="00000000" w:rsidRPr="00A75C45" w:rsidP="0037683B">
      <w:pPr>
        <w:ind w:left="720" w:hanging="720"/>
        <w:jc w:val="both"/>
      </w:pPr>
      <w:r>
        <w:t>6.1</w:t>
      </w:r>
      <w:r>
        <w:tab/>
      </w:r>
      <w:r w:rsidRPr="00A75C45">
        <w:t>Modern data, mapping and modelling tools have an increasingly important role to play in informing land-use decisions. Advances in the analysis of topography, rainfall, soil conditions, climate change impacts and habitat characteristics can provide valuable insights into the future management of upland areas, including opportunities for food production, water management, carbon storage and tree planting. However, data should be used to inform decision-making rather than replace it. The practical knowledge of those who live and work on the land remains essential in interpreting evidence and ensuring that policies are grounded in local realities.</w:t>
      </w:r>
    </w:p>
    <w:p w:rsidR="00000000" w:rsidRPr="00A75C45" w:rsidP="0037683B">
      <w:pPr>
        <w:ind w:left="720" w:hanging="720"/>
        <w:jc w:val="both"/>
      </w:pPr>
      <w:r w:rsidRPr="00A75C45">
        <w:t xml:space="preserve">6.2 </w:t>
      </w:r>
      <w:r>
        <w:tab/>
      </w:r>
      <w:r w:rsidRPr="00A75C45">
        <w:t>While mapping and modelling can provide useful strategic guidance, they should not be treated as definitive. Upland landscapes are dynamic and continually evolving, meaning that any map represents only a snapshot in time. Effective policy development requires robust ground-truthing and regular engagement with farmers to ensure that assumptions made through modelling accurately reflect conditions on the ground.</w:t>
      </w:r>
    </w:p>
    <w:p w:rsidR="00000000" w:rsidRPr="00A75C45" w:rsidP="0013452F">
      <w:pPr>
        <w:ind w:left="720" w:hanging="720"/>
        <w:jc w:val="both"/>
      </w:pPr>
      <w:r>
        <w:t>6.3</w:t>
      </w:r>
      <w:r>
        <w:tab/>
      </w:r>
      <w:r w:rsidRPr="00A75C45">
        <w:t>Carbon reduction and net-zero targets are increasingly influencing agricultural policy. However, current carbon accounting methodologies and carbon calculators do not yet provide a sufficiently accurate assessment of the contribution made by upland farming systems. In particular, they often fail to capture the carbon sequestration benefits associated with well-managed grassland, hedgerows and other landscape features, as well as the wider environmental services delivered by upland farms.</w:t>
      </w:r>
    </w:p>
    <w:p w:rsidR="00000000" w:rsidRPr="00A75C45" w:rsidP="0037683B">
      <w:pPr>
        <w:ind w:left="720" w:hanging="720"/>
        <w:jc w:val="both"/>
      </w:pPr>
      <w:r w:rsidRPr="00A75C45">
        <w:t>6.</w:t>
      </w:r>
      <w:r>
        <w:t>4</w:t>
      </w:r>
      <w:r>
        <w:tab/>
      </w:r>
      <w:r w:rsidRPr="00A75C45">
        <w:t>There is a pressing need to invest in monitoring capacity, environmental skills and technical expertise. Future policy should support the development of a larger, well-trained workforce capable of undertaking field-based assessments, while also strengthening the integration of scientific evidence with practical farming knowledge. A successful upland strategy will depend on combining robust data collection with the experience and expertise of those managing the land on a daily basis.</w:t>
      </w:r>
    </w:p>
    <w:p w:rsidR="00000000" w:rsidRPr="00F609EF" w:rsidP="00F609EF">
      <w:pPr>
        <w:rPr>
          <w:lang w:eastAsia="en-GB"/>
        </w:rPr>
      </w:pPr>
      <w:r>
        <w:rPr>
          <w:b/>
          <w:bCs/>
        </w:rPr>
        <w:t>7.0</w:t>
      </w:r>
      <w:r>
        <w:rPr>
          <w:b/>
          <w:bCs/>
        </w:rPr>
        <w:tab/>
      </w:r>
      <w:r w:rsidRPr="00F609EF">
        <w:rPr>
          <w:b/>
          <w:bCs/>
        </w:rPr>
        <w:t>Impact on rural communities</w:t>
      </w:r>
    </w:p>
    <w:p w:rsidR="00000000" w:rsidRPr="00C37C99" w:rsidP="00C37C99">
      <w:pPr>
        <w:ind w:left="720" w:hanging="720"/>
        <w:jc w:val="both"/>
      </w:pPr>
      <w:r>
        <w:t>7.1</w:t>
      </w:r>
      <w:r>
        <w:tab/>
      </w:r>
      <w:r w:rsidRPr="00C37C99">
        <w:t xml:space="preserve">The future of England's uplands depends on a clear and coherent policy framework that gives farmers and rural businesses the confidence to invest. Policy uncertainty discourages investment, weakens business confidence and </w:t>
      </w:r>
      <w:r w:rsidRPr="00C37C99">
        <w:t>undermines the wider rural economy, affecting employment, local services and community resilience.</w:t>
      </w:r>
    </w:p>
    <w:p w:rsidR="00000000" w:rsidRPr="00C37C99" w:rsidP="00C37C99">
      <w:pPr>
        <w:ind w:left="720" w:hanging="720"/>
        <w:jc w:val="both"/>
      </w:pPr>
      <w:r>
        <w:t>7.2</w:t>
      </w:r>
      <w:r>
        <w:tab/>
      </w:r>
      <w:r w:rsidRPr="00C37C99">
        <w:t xml:space="preserve">Upland farming is built on generations of specialised skills, knowledge and infrastructure. The TFA is concerned that policy is increasingly viewing upland areas primarily through the lens of carbon sequestration and environmental delivery, rather than recognising the importance of sustainable food production </w:t>
      </w:r>
      <w:r>
        <w:t xml:space="preserve">and the </w:t>
      </w:r>
      <w:r w:rsidRPr="00C37C99">
        <w:t>thriving farming communities</w:t>
      </w:r>
      <w:r>
        <w:t xml:space="preserve"> it creates</w:t>
      </w:r>
      <w:r w:rsidRPr="00C37C99">
        <w:t>.</w:t>
      </w:r>
    </w:p>
    <w:p w:rsidR="00000000" w:rsidRPr="00C37C99" w:rsidP="00C37C99">
      <w:pPr>
        <w:ind w:left="720" w:hanging="720"/>
        <w:jc w:val="both"/>
      </w:pPr>
      <w:r>
        <w:t>7.3</w:t>
      </w:r>
      <w:r>
        <w:tab/>
      </w:r>
      <w:r w:rsidRPr="00C37C99">
        <w:t>The viability of upland communities is closely linked to the presence of active farming businesses. As farming activity declines, villages risk losing young people, local knowledge and cultural heritage. Farmers possess invaluable expertise in livestock management, habitat stewardship and common land management, much of which has been passed down through generations and is at risk of being lost.</w:t>
      </w:r>
    </w:p>
    <w:p w:rsidR="00000000" w:rsidRPr="00C37C99" w:rsidP="00C37C99">
      <w:pPr>
        <w:ind w:left="720" w:hanging="720"/>
        <w:jc w:val="both"/>
      </w:pPr>
      <w:r>
        <w:t>7.4</w:t>
      </w:r>
      <w:r>
        <w:tab/>
      </w:r>
      <w:r w:rsidRPr="00C37C99">
        <w:t xml:space="preserve">The TFA is particularly concerned about large-scale land-use change initiatives, including Landscape Recovery projects, where these result in the displacement of productive agricultural land. Once farming businesses, </w:t>
      </w:r>
      <w:r>
        <w:t>ancillary businesses</w:t>
      </w:r>
      <w:r w:rsidRPr="00C37C99">
        <w:t xml:space="preserve"> and local skills are lost they cannot easily be recreated. Future policy must recognise that thriving upland communities are fundamental to the long-term environmental, economic and social sustainability of England's uplands.</w:t>
      </w:r>
    </w:p>
    <w:p w:rsidR="00000000" w:rsidRPr="00B72C73" w:rsidP="00B72C73">
      <w:pPr>
        <w:ind w:left="720" w:hanging="720"/>
        <w:jc w:val="both"/>
        <w:rPr>
          <w:lang w:eastAsia="en-GB"/>
        </w:rPr>
      </w:pPr>
      <w:r>
        <w:rPr>
          <w:b/>
          <w:bCs/>
        </w:rPr>
        <w:t>8.0</w:t>
      </w:r>
      <w:r>
        <w:rPr>
          <w:b/>
          <w:bCs/>
        </w:rPr>
        <w:tab/>
      </w:r>
      <w:r w:rsidRPr="0074598B">
        <w:rPr>
          <w:b/>
          <w:bCs/>
        </w:rPr>
        <w:t>Future policy and how upland communities can benefit</w:t>
      </w:r>
    </w:p>
    <w:p w:rsidR="00000000" w:rsidRPr="000959E3" w:rsidP="000959E3">
      <w:pPr>
        <w:ind w:left="720" w:hanging="720"/>
        <w:jc w:val="both"/>
      </w:pPr>
      <w:r>
        <w:t>8.1</w:t>
      </w:r>
      <w:r>
        <w:tab/>
      </w:r>
      <w:r w:rsidRPr="000959E3">
        <w:t>Future upland policy must be shaped by those with practical experience of managing the land. While scientific evidence is important, farmers and land managers should play a central role in decision-making to ensure policies are both effective and workable.</w:t>
      </w:r>
    </w:p>
    <w:p w:rsidR="00000000" w:rsidRPr="000959E3" w:rsidP="000959E3">
      <w:pPr>
        <w:ind w:left="720" w:hanging="720"/>
        <w:jc w:val="both"/>
      </w:pPr>
      <w:r>
        <w:t>8.2</w:t>
      </w:r>
      <w:r>
        <w:tab/>
      </w:r>
      <w:r>
        <w:t>U</w:t>
      </w:r>
      <w:r w:rsidRPr="000959E3">
        <w:t>plands are highly diverse and common land in particular requires a bespoke approach. Schemes must recognise the unique challenges of management</w:t>
      </w:r>
      <w:r>
        <w:t xml:space="preserve"> of these </w:t>
      </w:r>
      <w:r>
        <w:t>unique</w:t>
      </w:r>
      <w:r>
        <w:t xml:space="preserve"> landscapes</w:t>
      </w:r>
      <w:r w:rsidRPr="000959E3">
        <w:t xml:space="preserve"> and provide appropriate governance, facilitation and fair access for </w:t>
      </w:r>
      <w:r>
        <w:t>all</w:t>
      </w:r>
      <w:r w:rsidRPr="000959E3">
        <w:t>.</w:t>
      </w:r>
    </w:p>
    <w:p w:rsidR="00000000" w:rsidRPr="00AB4521" w:rsidP="000959E3">
      <w:pPr>
        <w:ind w:left="720" w:hanging="720"/>
        <w:jc w:val="both"/>
        <w:rPr>
          <w:b/>
          <w:bCs/>
          <w:lang w:eastAsia="en-GB"/>
        </w:rPr>
      </w:pPr>
      <w:r w:rsidRPr="00AB4521">
        <w:rPr>
          <w:b/>
          <w:bCs/>
        </w:rPr>
        <w:t>9.0</w:t>
      </w:r>
      <w:r w:rsidRPr="00AB4521">
        <w:rPr>
          <w:b/>
          <w:bCs/>
        </w:rPr>
        <w:tab/>
        <w:t xml:space="preserve">Conclusion </w:t>
      </w:r>
    </w:p>
    <w:p w:rsidR="00000000" w:rsidRPr="004536DC" w:rsidP="004536DC">
      <w:pPr>
        <w:ind w:left="720" w:hanging="720"/>
        <w:jc w:val="both"/>
      </w:pPr>
      <w:r>
        <w:t>9.1</w:t>
      </w:r>
      <w:r>
        <w:tab/>
      </w:r>
      <w:r w:rsidRPr="004536DC">
        <w:t xml:space="preserve">The TFA's overriding concern is the lack of certainty surrounding the future of the uplands. Frequent policy changes, delays and shifting funding commitments make it difficult for farmers to plan, invest and adapt their businesses with confidence. </w:t>
      </w:r>
    </w:p>
    <w:p w:rsidR="00000000" w:rsidP="004536DC">
      <w:pPr>
        <w:ind w:left="720" w:hanging="720"/>
        <w:jc w:val="both"/>
      </w:pPr>
      <w:r>
        <w:t>9.2</w:t>
      </w:r>
      <w:r>
        <w:tab/>
      </w:r>
      <w:r w:rsidRPr="004536DC">
        <w:t xml:space="preserve">Tenant farmers must also have clear and accessible routes into long-term environmental agreements. Outstanding questions remain around the treatment of multiple tenancies participation in Landscape Recovery schemes across mixed holdings and the management of common rights. </w:t>
      </w:r>
    </w:p>
    <w:p w:rsidR="00000000" w:rsidRPr="004536DC" w:rsidP="004536DC">
      <w:pPr>
        <w:ind w:left="720" w:hanging="720"/>
        <w:jc w:val="both"/>
      </w:pPr>
      <w:r>
        <w:t>9.3</w:t>
      </w:r>
      <w:r>
        <w:tab/>
      </w:r>
      <w:r w:rsidRPr="004536DC">
        <w:t>Above all, future policy must recognise and support the people, businesses and communities whose knowledge, skills and stewardship have shaped England's uplands over generations</w:t>
      </w:r>
      <w:r>
        <w:t xml:space="preserve"> and will secure it future resilience for generations to come. </w:t>
      </w:r>
    </w:p>
    <w:p w:rsidR="00000000" w:rsidP="008E0F1F">
      <w:pPr>
        <w:jc w:val="both"/>
      </w:pPr>
    </w:p>
    <w:p w:rsidR="00000000" w:rsidP="008E0F1F">
      <w:pPr>
        <w:spacing w:after="0" w:line="240" w:lineRule="auto"/>
        <w:jc w:val="both"/>
      </w:pPr>
      <w:r>
        <w:t>17 June 2026</w:t>
      </w:r>
    </w:p>
    <w:p w:rsidR="00000000" w:rsidP="008E0F1F">
      <w:pPr>
        <w:spacing w:after="0" w:line="240" w:lineRule="auto"/>
        <w:jc w:val="both"/>
      </w:pPr>
      <w:r>
        <w:t>LS/0503</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70CD6AB-CD0F-4281-9271-EF33BA65F279}"/>
    <w:docVar w:name="dgnword-drafile" w:val="C:\Users\GEORGE~1\AppData\Local\Temp\dra823F.tmp"/>
    <w:docVar w:name="dgnword-eventsink" w:val="2044575566416"/>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4384"/>
  </w:style>
  <w:style w:type="paragraph" w:styleId="Heading1">
    <w:name w:val="heading 1"/>
    <w:basedOn w:val="Normal"/>
    <w:next w:val="Normal"/>
    <w:link w:val="Heading1Char"/>
    <w:uiPriority w:val="9"/>
    <w:qFormat/>
    <w:rsid w:val="008D43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43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43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43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43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43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43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43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43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43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43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43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43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43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43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43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43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4384"/>
    <w:rPr>
      <w:rFonts w:eastAsiaTheme="majorEastAsia" w:cstheme="majorBidi"/>
      <w:color w:val="272727" w:themeColor="text1" w:themeTint="D8"/>
    </w:rPr>
  </w:style>
  <w:style w:type="paragraph" w:styleId="Title">
    <w:name w:val="Title"/>
    <w:basedOn w:val="Normal"/>
    <w:next w:val="Normal"/>
    <w:link w:val="TitleChar"/>
    <w:uiPriority w:val="10"/>
    <w:qFormat/>
    <w:rsid w:val="008D43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43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43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43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4384"/>
    <w:pPr>
      <w:spacing w:before="160"/>
      <w:jc w:val="center"/>
    </w:pPr>
    <w:rPr>
      <w:i/>
      <w:iCs/>
      <w:color w:val="404040" w:themeColor="text1" w:themeTint="BF"/>
    </w:rPr>
  </w:style>
  <w:style w:type="character" w:customStyle="1" w:styleId="QuoteChar">
    <w:name w:val="Quote Char"/>
    <w:basedOn w:val="DefaultParagraphFont"/>
    <w:link w:val="Quote"/>
    <w:uiPriority w:val="29"/>
    <w:rsid w:val="008D4384"/>
    <w:rPr>
      <w:i/>
      <w:iCs/>
      <w:color w:val="404040" w:themeColor="text1" w:themeTint="BF"/>
    </w:rPr>
  </w:style>
  <w:style w:type="paragraph" w:styleId="ListParagraph">
    <w:name w:val="List Paragraph"/>
    <w:basedOn w:val="Normal"/>
    <w:uiPriority w:val="34"/>
    <w:qFormat/>
    <w:rsid w:val="008D4384"/>
    <w:pPr>
      <w:ind w:left="720"/>
      <w:contextualSpacing/>
    </w:pPr>
  </w:style>
  <w:style w:type="character" w:styleId="IntenseEmphasis">
    <w:name w:val="Intense Emphasis"/>
    <w:basedOn w:val="DefaultParagraphFont"/>
    <w:uiPriority w:val="21"/>
    <w:qFormat/>
    <w:rsid w:val="008D4384"/>
    <w:rPr>
      <w:i/>
      <w:iCs/>
      <w:color w:val="0F4761" w:themeColor="accent1" w:themeShade="BF"/>
    </w:rPr>
  </w:style>
  <w:style w:type="paragraph" w:styleId="IntenseQuote">
    <w:name w:val="Intense Quote"/>
    <w:basedOn w:val="Normal"/>
    <w:next w:val="Normal"/>
    <w:link w:val="IntenseQuoteChar"/>
    <w:uiPriority w:val="30"/>
    <w:qFormat/>
    <w:rsid w:val="008D43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4384"/>
    <w:rPr>
      <w:i/>
      <w:iCs/>
      <w:color w:val="0F4761" w:themeColor="accent1" w:themeShade="BF"/>
    </w:rPr>
  </w:style>
  <w:style w:type="character" w:styleId="IntenseReference">
    <w:name w:val="Intense Reference"/>
    <w:basedOn w:val="DefaultParagraphFont"/>
    <w:uiPriority w:val="32"/>
    <w:qFormat/>
    <w:rsid w:val="008D43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25c53ce-384d-4072-acf4-223cfac995ea">
      <Terms xmlns="http://schemas.microsoft.com/office/infopath/2007/PartnerControls"/>
    </lcf76f155ced4ddcb4097134ff3c332f>
    <TaxCatchAll xmlns="49f113ab-90ae-49e1-b98a-0fe9ed750c4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56D434CB330F42A955C0042649B129" ma:contentTypeVersion="18" ma:contentTypeDescription="Create a new document." ma:contentTypeScope="" ma:versionID="40b3ffb4dc7113e1b4d1fa1f64493b21">
  <xsd:schema xmlns:xsd="http://www.w3.org/2001/XMLSchema" xmlns:xs="http://www.w3.org/2001/XMLSchema" xmlns:p="http://schemas.microsoft.com/office/2006/metadata/properties" xmlns:ns2="925c53ce-384d-4072-acf4-223cfac995ea" xmlns:ns3="49f113ab-90ae-49e1-b98a-0fe9ed750c4f" targetNamespace="http://schemas.microsoft.com/office/2006/metadata/properties" ma:root="true" ma:fieldsID="38d570d3bfa2d28af874258993fe3ca0" ns2:_="" ns3:_="">
    <xsd:import namespace="925c53ce-384d-4072-acf4-223cfac995ea"/>
    <xsd:import namespace="49f113ab-90ae-49e1-b98a-0fe9ed750c4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c53ce-384d-4072-acf4-223cfac995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05e349-d0c3-4b76-b270-a4e4206e16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f113ab-90ae-49e1-b98a-0fe9ed750c4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897172c-06d3-40e9-ae62-aba9bdb67e1f}" ma:internalName="TaxCatchAll" ma:showField="CatchAllData" ma:web="49f113ab-90ae-49e1-b98a-0fe9ed750c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4248A6-E70D-44F2-8CC8-83736456A2FA}">
  <ds:schemaRefs>
    <ds:schemaRef ds:uri="http://schemas.microsoft.com/sharepoint/v3/contenttype/forms"/>
  </ds:schemaRefs>
</ds:datastoreItem>
</file>

<file path=customXml/itemProps2.xml><?xml version="1.0" encoding="utf-8"?>
<ds:datastoreItem xmlns:ds="http://schemas.openxmlformats.org/officeDocument/2006/customXml" ds:itemID="{7E5E1EA4-0F52-4000-AF7F-FC313FCAF2D5}">
  <ds:schemaRefs>
    <ds:schemaRef ds:uri="http://schemas.microsoft.com/office/2006/metadata/properties"/>
    <ds:schemaRef ds:uri="http://schemas.microsoft.com/office/infopath/2007/PartnerControls"/>
    <ds:schemaRef ds:uri="925c53ce-384d-4072-acf4-223cfac995ea"/>
    <ds:schemaRef ds:uri="49f113ab-90ae-49e1-b98a-0fe9ed750c4f"/>
  </ds:schemaRefs>
</ds:datastoreItem>
</file>

<file path=customXml/itemProps3.xml><?xml version="1.0" encoding="utf-8"?>
<ds:datastoreItem xmlns:ds="http://schemas.openxmlformats.org/officeDocument/2006/customXml" ds:itemID="{EDCADC5D-6B9A-4138-80F5-FAEF5E5D6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c53ce-384d-4072-acf4-223cfac995ea"/>
    <ds:schemaRef ds:uri="49f113ab-90ae-49e1-b98a-0fe9ed750c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LUN0029</dc:title>
  <cp:revision>0</cp:revision>
</cp:coreProperties>
</file>