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2079" w:rsidRPr="00CA2079" w:rsidP="00CA2079">
      <w:pPr>
        <w:jc w:val="center"/>
        <w:rPr>
          <w:rFonts w:ascii="Calibri" w:hAnsi="Calibri" w:cs="Calibri"/>
          <w:b/>
          <w:bCs/>
          <w:sz w:val="24"/>
          <w:szCs w:val="24"/>
        </w:rPr>
      </w:pPr>
      <w:r>
        <w:rPr>
          <w:rFonts w:ascii="Calibri" w:hAnsi="Calibri" w:cs="Calibri"/>
          <w:b/>
          <w:bCs/>
          <w:sz w:val="24"/>
          <w:szCs w:val="24"/>
        </w:rPr>
        <w:t>Written evidence submitted by Professor Martina Feilzer (FPW0009)</w:t>
      </w:r>
    </w:p>
    <w:p w:rsidR="00CA2079" w:rsidRPr="00CA2079" w:rsidP="009E3D00">
      <w:pPr>
        <w:jc w:val="both"/>
        <w:rPr>
          <w:rFonts w:ascii="Calibri" w:hAnsi="Calibri" w:cs="Calibri"/>
          <w:sz w:val="24"/>
          <w:szCs w:val="24"/>
        </w:rPr>
      </w:pPr>
    </w:p>
    <w:p w:rsidR="00CE083C" w:rsidRPr="00CA2079" w:rsidP="009E3D00">
      <w:pPr>
        <w:jc w:val="both"/>
        <w:rPr>
          <w:rFonts w:ascii="Calibri" w:hAnsi="Calibri" w:cs="Calibri"/>
          <w:sz w:val="24"/>
          <w:szCs w:val="24"/>
        </w:rPr>
      </w:pPr>
      <w:r w:rsidRPr="00CA2079">
        <w:rPr>
          <w:rFonts w:ascii="Calibri" w:hAnsi="Calibri" w:cs="Calibri"/>
          <w:sz w:val="24"/>
          <w:szCs w:val="24"/>
        </w:rPr>
        <w:t xml:space="preserve">1. </w:t>
      </w:r>
      <w:r w:rsidRPr="00CA2079">
        <w:rPr>
          <w:rFonts w:ascii="Calibri" w:hAnsi="Calibri" w:cs="Calibri"/>
          <w:sz w:val="24"/>
          <w:szCs w:val="24"/>
        </w:rPr>
        <w:t>I am writing to submit evidence to the Welsh Affairs Committee</w:t>
      </w:r>
      <w:r w:rsidRPr="00CA2079">
        <w:rPr>
          <w:rFonts w:ascii="Calibri" w:hAnsi="Calibri" w:cs="Calibri"/>
          <w:sz w:val="24"/>
          <w:szCs w:val="24"/>
        </w:rPr>
        <w:t xml:space="preserve"> Inquiry on the Future of Policing in Wales. I am writing in my professional capacity as a Professor of Criminology and Criminal Justice at Bangor University with over 25 years of research experience in criminal justice including policing, probation, youth justice and the courts. I have spent almost 20 years of my career based in Wales and </w:t>
      </w:r>
      <w:r w:rsidRPr="00CA2079">
        <w:rPr>
          <w:rFonts w:ascii="Calibri" w:hAnsi="Calibri" w:cs="Calibri"/>
          <w:sz w:val="24"/>
          <w:szCs w:val="24"/>
        </w:rPr>
        <w:t xml:space="preserve">I </w:t>
      </w:r>
      <w:r w:rsidRPr="00CA2079">
        <w:rPr>
          <w:rFonts w:ascii="Calibri" w:hAnsi="Calibri" w:cs="Calibri"/>
          <w:sz w:val="24"/>
          <w:szCs w:val="24"/>
        </w:rPr>
        <w:t>collaborate with academic colleagues, practitioners</w:t>
      </w:r>
      <w:r w:rsidRPr="00CA2079">
        <w:rPr>
          <w:rFonts w:ascii="Calibri" w:hAnsi="Calibri" w:cs="Calibri"/>
          <w:sz w:val="24"/>
          <w:szCs w:val="24"/>
        </w:rPr>
        <w:t>,</w:t>
      </w:r>
      <w:r w:rsidRPr="00CA2079">
        <w:rPr>
          <w:rFonts w:ascii="Calibri" w:hAnsi="Calibri" w:cs="Calibri"/>
          <w:sz w:val="24"/>
          <w:szCs w:val="24"/>
        </w:rPr>
        <w:t xml:space="preserve"> and policy-makers in both England and Wales. I am the current Director of the Welsh Centre for Crime and Social Jus</w:t>
      </w:r>
      <w:r w:rsidRPr="00CA2079">
        <w:rPr>
          <w:rFonts w:ascii="Calibri" w:hAnsi="Calibri" w:cs="Calibri"/>
          <w:sz w:val="24"/>
          <w:szCs w:val="24"/>
        </w:rPr>
        <w:t>tice; the Academic Co-Chair of the All-Wales Policing Academic Collaboration; the Academic Co-Chair of the Welsh Academic Advisory Group of the Welsh Government’s Crime and Justice team; and one of the Bangor Co-Directors of the UKRI funded Welsh Institute of Social and Economic Research and Data (WISERD).</w:t>
      </w:r>
    </w:p>
    <w:p w:rsidR="00CE083C" w:rsidRPr="00CA2079" w:rsidP="0088296E">
      <w:pPr>
        <w:jc w:val="both"/>
        <w:rPr>
          <w:rFonts w:ascii="Calibri" w:hAnsi="Calibri" w:cs="Calibri"/>
          <w:sz w:val="24"/>
          <w:szCs w:val="24"/>
        </w:rPr>
      </w:pPr>
      <w:r w:rsidRPr="00CA2079">
        <w:rPr>
          <w:rFonts w:ascii="Calibri" w:hAnsi="Calibri" w:cs="Calibri"/>
          <w:sz w:val="24"/>
          <w:szCs w:val="24"/>
        </w:rPr>
        <w:t xml:space="preserve">2. </w:t>
      </w:r>
      <w:r w:rsidRPr="00CA2079">
        <w:rPr>
          <w:rFonts w:ascii="Calibri" w:hAnsi="Calibri" w:cs="Calibri"/>
          <w:sz w:val="24"/>
          <w:szCs w:val="24"/>
        </w:rPr>
        <w:t xml:space="preserve">I will address each of the inquiry points in turn but wanted to start by drawing attention to </w:t>
      </w:r>
      <w:r w:rsidRPr="00CA2079">
        <w:rPr>
          <w:rFonts w:ascii="Calibri" w:hAnsi="Calibri" w:cs="Calibri"/>
          <w:sz w:val="24"/>
          <w:szCs w:val="24"/>
        </w:rPr>
        <w:t xml:space="preserve">the changes across the wider criminal justice system which have a bearing on how policing operates, engages with partner agencies, and shares common priorities, demands, and groups and individuals of interest. The changes proposed in the White Paper </w:t>
      </w:r>
      <w:r w:rsidRPr="00CA2079">
        <w:rPr>
          <w:rFonts w:ascii="Calibri" w:hAnsi="Calibri" w:cs="Calibri"/>
          <w:i/>
          <w:iCs/>
          <w:sz w:val="24"/>
          <w:szCs w:val="24"/>
        </w:rPr>
        <w:t>Cutting Youth Crime. Changing Young Lives</w:t>
      </w:r>
      <w:r w:rsidRPr="00CA2079">
        <w:rPr>
          <w:rFonts w:ascii="Calibri" w:hAnsi="Calibri" w:cs="Calibri"/>
          <w:sz w:val="24"/>
          <w:szCs w:val="24"/>
        </w:rPr>
        <w:t xml:space="preserve"> alongside the joint statement set out by the UK and Welsh Governments in March 2026, as well as the changes proposed</w:t>
      </w:r>
      <w:r w:rsidRPr="00CA2079">
        <w:rPr>
          <w:rFonts w:ascii="Calibri" w:hAnsi="Calibri" w:cs="Calibri"/>
          <w:sz w:val="24"/>
          <w:szCs w:val="24"/>
        </w:rPr>
        <w:t xml:space="preserve"> to the co</w:t>
      </w:r>
      <w:r w:rsidRPr="00CA2079">
        <w:rPr>
          <w:rFonts w:ascii="Calibri" w:hAnsi="Calibri" w:cs="Calibri"/>
          <w:sz w:val="24"/>
          <w:szCs w:val="24"/>
        </w:rPr>
        <w:t xml:space="preserve">urts and sentencing frameworks by the Sentencing Act 2026, and </w:t>
      </w:r>
      <w:r w:rsidRPr="00CA2079">
        <w:rPr>
          <w:rFonts w:ascii="Calibri" w:hAnsi="Calibri" w:cs="Calibri"/>
          <w:sz w:val="24"/>
          <w:szCs w:val="24"/>
        </w:rPr>
        <w:t xml:space="preserve">ongoing workforce and practice changes in prisons and probation including transformations through the introduction of AI technologies, will have an impact on the criminal justice landscape in which policing operates. </w:t>
      </w:r>
    </w:p>
    <w:p w:rsidR="00CE083C" w:rsidRPr="00CA2079" w:rsidP="0088296E">
      <w:pPr>
        <w:jc w:val="both"/>
        <w:rPr>
          <w:rFonts w:ascii="Calibri" w:hAnsi="Calibri" w:cs="Calibri"/>
          <w:sz w:val="24"/>
          <w:szCs w:val="24"/>
        </w:rPr>
      </w:pPr>
      <w:r w:rsidRPr="00CA2079">
        <w:rPr>
          <w:rFonts w:ascii="Calibri" w:hAnsi="Calibri" w:cs="Calibri"/>
          <w:sz w:val="24"/>
          <w:szCs w:val="24"/>
        </w:rPr>
        <w:t xml:space="preserve">3. </w:t>
      </w:r>
      <w:r w:rsidRPr="00CA2079">
        <w:rPr>
          <w:rFonts w:ascii="Calibri" w:hAnsi="Calibri" w:cs="Calibri"/>
          <w:sz w:val="24"/>
          <w:szCs w:val="24"/>
        </w:rPr>
        <w:t>Ideally</w:t>
      </w:r>
      <w:r w:rsidRPr="00CA2079">
        <w:rPr>
          <w:rFonts w:ascii="Calibri" w:hAnsi="Calibri" w:cs="Calibri"/>
          <w:sz w:val="24"/>
          <w:szCs w:val="24"/>
        </w:rPr>
        <w:t>,</w:t>
      </w:r>
      <w:r w:rsidRPr="00CA2079">
        <w:rPr>
          <w:rFonts w:ascii="Calibri" w:hAnsi="Calibri" w:cs="Calibri"/>
          <w:sz w:val="24"/>
          <w:szCs w:val="24"/>
        </w:rPr>
        <w:t xml:space="preserve"> changes to policing should be considered in this wider context so that potential points of simplifying and improving the complex criminal justice landscape</w:t>
      </w:r>
      <w:r w:rsidRPr="00CA2079">
        <w:rPr>
          <w:rFonts w:ascii="Calibri" w:hAnsi="Calibri" w:cs="Calibri"/>
          <w:sz w:val="24"/>
          <w:szCs w:val="24"/>
        </w:rPr>
        <w:t xml:space="preserve"> in Wales</w:t>
      </w:r>
      <w:r w:rsidRPr="00CA2079">
        <w:rPr>
          <w:rFonts w:ascii="Calibri" w:hAnsi="Calibri" w:cs="Calibri"/>
          <w:sz w:val="24"/>
          <w:szCs w:val="24"/>
        </w:rPr>
        <w:t xml:space="preserve"> can be considered, duplication of work can be identified and savings realised, and a common system of values and priorities can be considered. </w:t>
      </w:r>
      <w:r w:rsidRPr="00CA2079">
        <w:rPr>
          <w:rFonts w:ascii="Calibri" w:hAnsi="Calibri" w:cs="Calibri"/>
          <w:sz w:val="24"/>
          <w:szCs w:val="24"/>
        </w:rPr>
        <w:t xml:space="preserve">Additionally, some of the responses to the questions below are premised on considering aspects of these changes and how they could </w:t>
      </w:r>
      <w:r w:rsidRPr="00CA2079">
        <w:rPr>
          <w:rFonts w:ascii="Calibri" w:hAnsi="Calibri" w:cs="Calibri"/>
          <w:sz w:val="24"/>
          <w:szCs w:val="24"/>
        </w:rPr>
        <w:t>complement one another.</w:t>
      </w:r>
      <w:r w:rsidRPr="00CA2079">
        <w:rPr>
          <w:rFonts w:ascii="Calibri" w:hAnsi="Calibri" w:cs="Calibri"/>
          <w:sz w:val="24"/>
          <w:szCs w:val="24"/>
        </w:rPr>
        <w:t xml:space="preserve"> I would also refer the committee to some</w:t>
      </w:r>
      <w:r w:rsidRPr="00CA2079">
        <w:rPr>
          <w:rFonts w:ascii="Calibri" w:hAnsi="Calibri" w:cs="Calibri"/>
          <w:sz w:val="24"/>
          <w:szCs w:val="24"/>
        </w:rPr>
        <w:t xml:space="preserve"> of the work done by the Welsh Centre for Crime and Social Justice in relation to considerations of the devolution to probation and youth justice available here: </w:t>
      </w:r>
      <w:r>
        <w:fldChar w:fldCharType="begin"/>
      </w:r>
      <w:r>
        <w:instrText xml:space="preserve"> HYPERLINK "https://wccsj.ac.uk/en/publications/publications-2024" </w:instrText>
      </w:r>
      <w:r>
        <w:fldChar w:fldCharType="separate"/>
      </w:r>
      <w:r w:rsidRPr="00CA2079">
        <w:rPr>
          <w:rStyle w:val="Hyperlink"/>
          <w:rFonts w:ascii="Calibri" w:hAnsi="Calibri" w:cs="Calibri"/>
          <w:sz w:val="24"/>
          <w:szCs w:val="24"/>
        </w:rPr>
        <w:t>https://wccsj.ac.uk/en/publications/publications-2024</w:t>
      </w:r>
      <w:r>
        <w:fldChar w:fldCharType="end"/>
      </w:r>
    </w:p>
    <w:p w:rsidR="00CE083C" w:rsidRPr="00CA2079">
      <w:pPr>
        <w:rPr>
          <w:rFonts w:ascii="Calibri" w:hAnsi="Calibri" w:cs="Calibri"/>
          <w:sz w:val="24"/>
          <w:szCs w:val="24"/>
        </w:rPr>
      </w:pPr>
      <w:r w:rsidRPr="00CA2079">
        <w:rPr>
          <w:rFonts w:ascii="Calibri" w:hAnsi="Calibri" w:cs="Calibri"/>
          <w:sz w:val="24"/>
          <w:szCs w:val="24"/>
        </w:rPr>
        <w:t>Specific Inquiry questions</w:t>
      </w:r>
    </w:p>
    <w:p w:rsidR="00CE083C" w:rsidRPr="00CA2079" w:rsidP="009E3D00">
      <w:pPr>
        <w:numPr>
          <w:ilvl w:val="0"/>
          <w:numId w:val="1"/>
        </w:numPr>
        <w:rPr>
          <w:rFonts w:ascii="Calibri" w:hAnsi="Calibri" w:cs="Calibri"/>
          <w:b/>
          <w:bCs/>
          <w:sz w:val="24"/>
          <w:szCs w:val="24"/>
        </w:rPr>
      </w:pPr>
      <w:r w:rsidRPr="00CA2079">
        <w:rPr>
          <w:rFonts w:ascii="Calibri" w:hAnsi="Calibri" w:cs="Calibri"/>
          <w:b/>
          <w:bCs/>
          <w:sz w:val="24"/>
          <w:szCs w:val="24"/>
        </w:rPr>
        <w:t>In light of the UK Government’s plans to abolish Police and Crime Commissioners in England and Wales, how sh</w:t>
      </w:r>
      <w:r w:rsidRPr="00CA2079">
        <w:rPr>
          <w:rFonts w:ascii="Calibri" w:hAnsi="Calibri" w:cs="Calibri"/>
          <w:b/>
          <w:bCs/>
          <w:sz w:val="24"/>
          <w:szCs w:val="24"/>
        </w:rPr>
        <w:t>ou</w:t>
      </w:r>
      <w:r w:rsidRPr="00CA2079">
        <w:rPr>
          <w:rFonts w:ascii="Calibri" w:hAnsi="Calibri" w:cs="Calibri"/>
          <w:b/>
          <w:bCs/>
          <w:sz w:val="24"/>
          <w:szCs w:val="24"/>
        </w:rPr>
        <w:t xml:space="preserve">ld police forces in Wales be held to account? </w:t>
      </w:r>
    </w:p>
    <w:p w:rsidR="00CE083C" w:rsidRPr="00CA2079" w:rsidP="009E3D00">
      <w:pPr>
        <w:numPr>
          <w:ilvl w:val="0"/>
          <w:numId w:val="1"/>
        </w:numPr>
        <w:rPr>
          <w:rFonts w:ascii="Calibri" w:hAnsi="Calibri" w:cs="Calibri"/>
          <w:b/>
          <w:bCs/>
          <w:sz w:val="24"/>
          <w:szCs w:val="24"/>
        </w:rPr>
      </w:pPr>
      <w:r w:rsidRPr="00CA2079">
        <w:rPr>
          <w:rFonts w:ascii="Calibri" w:hAnsi="Calibri" w:cs="Calibri"/>
          <w:b/>
          <w:bCs/>
          <w:sz w:val="24"/>
          <w:szCs w:val="24"/>
        </w:rPr>
        <w:t>What lessons should be learned from the Police and Crime Commissioner model, and are there any aspects of it that ought to be replicated in the future?</w:t>
      </w:r>
    </w:p>
    <w:p w:rsidR="00CE083C" w:rsidRPr="00CA2079" w:rsidP="00690ECC">
      <w:pPr>
        <w:jc w:val="both"/>
        <w:rPr>
          <w:rFonts w:ascii="Calibri" w:hAnsi="Calibri" w:cs="Calibri"/>
          <w:sz w:val="24"/>
          <w:szCs w:val="24"/>
        </w:rPr>
      </w:pPr>
      <w:r w:rsidRPr="00CA2079">
        <w:rPr>
          <w:rFonts w:ascii="Calibri" w:hAnsi="Calibri" w:cs="Calibri"/>
          <w:sz w:val="24"/>
          <w:szCs w:val="24"/>
        </w:rPr>
        <w:t xml:space="preserve">4. </w:t>
      </w:r>
      <w:r w:rsidRPr="00CA2079">
        <w:rPr>
          <w:rFonts w:ascii="Calibri" w:hAnsi="Calibri" w:cs="Calibri"/>
          <w:sz w:val="24"/>
          <w:szCs w:val="24"/>
        </w:rPr>
        <w:t xml:space="preserve">I will respond to both of these questions below. </w:t>
      </w:r>
      <w:r w:rsidRPr="00CA2079">
        <w:rPr>
          <w:rFonts w:ascii="Calibri" w:hAnsi="Calibri" w:cs="Calibri"/>
          <w:sz w:val="24"/>
          <w:szCs w:val="24"/>
        </w:rPr>
        <w:t xml:space="preserve">The White Paper on </w:t>
      </w:r>
      <w:r w:rsidRPr="00CA2079">
        <w:rPr>
          <w:rFonts w:ascii="Calibri" w:hAnsi="Calibri" w:cs="Calibri"/>
          <w:i/>
          <w:iCs/>
          <w:sz w:val="24"/>
          <w:szCs w:val="24"/>
        </w:rPr>
        <w:t>Policing Reform From Local to National: a new model for policing</w:t>
      </w:r>
      <w:r w:rsidRPr="00CA2079">
        <w:rPr>
          <w:rFonts w:ascii="Calibri" w:hAnsi="Calibri" w:cs="Calibri"/>
          <w:sz w:val="24"/>
          <w:szCs w:val="24"/>
        </w:rPr>
        <w:t xml:space="preserve"> suggests the return of one element of the tripartite governance structure to local </w:t>
      </w:r>
      <w:r w:rsidRPr="00CA2079">
        <w:rPr>
          <w:rFonts w:ascii="Calibri" w:hAnsi="Calibri" w:cs="Calibri"/>
          <w:sz w:val="24"/>
          <w:szCs w:val="24"/>
        </w:rPr>
        <w:t>g</w:t>
      </w:r>
      <w:r w:rsidRPr="00CA2079">
        <w:rPr>
          <w:rFonts w:ascii="Calibri" w:hAnsi="Calibri" w:cs="Calibri"/>
          <w:sz w:val="24"/>
          <w:szCs w:val="24"/>
        </w:rPr>
        <w:t>overnment</w:t>
      </w:r>
      <w:r w:rsidRPr="00CA2079">
        <w:rPr>
          <w:rFonts w:ascii="Calibri" w:hAnsi="Calibri" w:cs="Calibri"/>
          <w:sz w:val="24"/>
          <w:szCs w:val="24"/>
        </w:rPr>
        <w:t xml:space="preserve"> arrangements</w:t>
      </w:r>
      <w:r w:rsidRPr="00CA2079">
        <w:rPr>
          <w:rFonts w:ascii="Calibri" w:hAnsi="Calibri" w:cs="Calibri"/>
          <w:sz w:val="24"/>
          <w:szCs w:val="24"/>
        </w:rPr>
        <w:t>, specifically to local mayoral offices</w:t>
      </w:r>
      <w:r w:rsidRPr="00CA2079">
        <w:rPr>
          <w:rFonts w:ascii="Calibri" w:hAnsi="Calibri" w:cs="Calibri"/>
          <w:sz w:val="24"/>
          <w:szCs w:val="24"/>
        </w:rPr>
        <w:t xml:space="preserve"> with the express purpose of encouraging joined-up working to cut crime</w:t>
      </w:r>
      <w:r w:rsidRPr="00CA2079">
        <w:rPr>
          <w:rFonts w:ascii="Calibri" w:hAnsi="Calibri" w:cs="Calibri"/>
          <w:sz w:val="24"/>
          <w:szCs w:val="24"/>
        </w:rPr>
        <w:t>. In Wales, where such offices do not exist</w:t>
      </w:r>
      <w:r w:rsidRPr="00CA2079">
        <w:rPr>
          <w:rFonts w:ascii="Calibri" w:hAnsi="Calibri" w:cs="Calibri"/>
          <w:sz w:val="24"/>
          <w:szCs w:val="24"/>
        </w:rPr>
        <w:t xml:space="preserve">, the </w:t>
      </w:r>
      <w:r w:rsidRPr="00CA2079">
        <w:rPr>
          <w:rFonts w:ascii="Calibri" w:hAnsi="Calibri" w:cs="Calibri"/>
          <w:sz w:val="24"/>
          <w:szCs w:val="24"/>
        </w:rPr>
        <w:t>establishment</w:t>
      </w:r>
      <w:r w:rsidRPr="00CA2079">
        <w:rPr>
          <w:rFonts w:ascii="Calibri" w:hAnsi="Calibri" w:cs="Calibri"/>
          <w:sz w:val="24"/>
          <w:szCs w:val="24"/>
        </w:rPr>
        <w:t xml:space="preserve"> of Policing and Crime Boards will need to be considered </w:t>
      </w:r>
      <w:r w:rsidRPr="00CA2079">
        <w:rPr>
          <w:rFonts w:ascii="Calibri" w:hAnsi="Calibri" w:cs="Calibri"/>
          <w:sz w:val="24"/>
          <w:szCs w:val="24"/>
        </w:rPr>
        <w:t>alongside the discussion of new police force</w:t>
      </w:r>
      <w:r w:rsidRPr="00CA2079">
        <w:rPr>
          <w:rFonts w:ascii="Calibri" w:hAnsi="Calibri" w:cs="Calibri"/>
          <w:sz w:val="24"/>
          <w:szCs w:val="24"/>
        </w:rPr>
        <w:t xml:space="preserve"> structures</w:t>
      </w:r>
      <w:r w:rsidRPr="00CA2079">
        <w:rPr>
          <w:rFonts w:ascii="Calibri" w:hAnsi="Calibri" w:cs="Calibri"/>
          <w:sz w:val="24"/>
          <w:szCs w:val="24"/>
        </w:rPr>
        <w:t>,</w:t>
      </w:r>
      <w:r w:rsidRPr="00CA2079">
        <w:rPr>
          <w:rFonts w:ascii="Calibri" w:hAnsi="Calibri" w:cs="Calibri"/>
          <w:sz w:val="24"/>
          <w:szCs w:val="24"/>
        </w:rPr>
        <w:t xml:space="preserve"> other local governance arrangements</w:t>
      </w:r>
      <w:r w:rsidRPr="00CA2079">
        <w:rPr>
          <w:rFonts w:ascii="Calibri" w:hAnsi="Calibri" w:cs="Calibri"/>
          <w:sz w:val="24"/>
          <w:szCs w:val="24"/>
        </w:rPr>
        <w:t>, and questions about the devolution of justice including policing</w:t>
      </w:r>
      <w:r w:rsidRPr="00CA2079">
        <w:rPr>
          <w:rFonts w:ascii="Calibri" w:hAnsi="Calibri" w:cs="Calibri"/>
          <w:sz w:val="24"/>
          <w:szCs w:val="24"/>
        </w:rPr>
        <w:t>. Joined-up working with ‘allied’ services such as health, education, social services, housing is an eminently sensible idea, however practically, there are questions around the spatial overlap between local government responsibilities , Welsh Government responsibilities, UK Government responsibilities, and delivery structures – e.g. health boards span a number of different council areas, educat</w:t>
      </w:r>
      <w:r w:rsidRPr="00CA2079">
        <w:rPr>
          <w:rFonts w:ascii="Calibri" w:hAnsi="Calibri" w:cs="Calibri"/>
          <w:sz w:val="24"/>
          <w:szCs w:val="24"/>
        </w:rPr>
        <w:t>ion is located within local government structure</w:t>
      </w:r>
      <w:r w:rsidRPr="00CA2079">
        <w:rPr>
          <w:rFonts w:ascii="Calibri" w:hAnsi="Calibri" w:cs="Calibri"/>
          <w:sz w:val="24"/>
          <w:szCs w:val="24"/>
        </w:rPr>
        <w:t xml:space="preserve">, </w:t>
      </w:r>
      <w:r w:rsidRPr="00CA2079">
        <w:rPr>
          <w:rFonts w:ascii="Calibri" w:hAnsi="Calibri" w:cs="Calibri"/>
          <w:sz w:val="24"/>
          <w:szCs w:val="24"/>
        </w:rPr>
        <w:t xml:space="preserve">etc. </w:t>
      </w:r>
      <w:r w:rsidRPr="00CA2079">
        <w:rPr>
          <w:rFonts w:ascii="Calibri" w:hAnsi="Calibri" w:cs="Calibri"/>
          <w:sz w:val="24"/>
          <w:szCs w:val="24"/>
        </w:rPr>
        <w:t>The decisions on the police structures then is of clear importance to the ambition set out in the White Paper of local accountability structures both in practical alignment with allied services and public perception of ‘local’ accountability should a new police force structure create a ‘national’ Welsh police force.</w:t>
      </w:r>
      <w:r w:rsidRPr="00CA2079">
        <w:rPr>
          <w:rFonts w:ascii="Calibri" w:hAnsi="Calibri" w:cs="Calibri"/>
          <w:sz w:val="24"/>
          <w:szCs w:val="24"/>
        </w:rPr>
        <w:t xml:space="preserve"> </w:t>
      </w:r>
      <w:r w:rsidRPr="00CA2079">
        <w:rPr>
          <w:rFonts w:ascii="Calibri" w:hAnsi="Calibri" w:cs="Calibri"/>
          <w:sz w:val="24"/>
          <w:szCs w:val="24"/>
        </w:rPr>
        <w:t xml:space="preserve"> </w:t>
      </w:r>
    </w:p>
    <w:p w:rsidR="00CE083C" w:rsidRPr="00CA2079" w:rsidP="00677908">
      <w:pPr>
        <w:jc w:val="both"/>
        <w:rPr>
          <w:rFonts w:ascii="Calibri" w:hAnsi="Calibri" w:cs="Calibri"/>
          <w:sz w:val="24"/>
          <w:szCs w:val="24"/>
        </w:rPr>
      </w:pPr>
      <w:r w:rsidRPr="00CA2079">
        <w:rPr>
          <w:rFonts w:ascii="Calibri" w:hAnsi="Calibri" w:cs="Calibri"/>
          <w:sz w:val="24"/>
          <w:szCs w:val="24"/>
        </w:rPr>
        <w:t xml:space="preserve">5. </w:t>
      </w:r>
      <w:r w:rsidRPr="00CA2079">
        <w:rPr>
          <w:rFonts w:ascii="Calibri" w:hAnsi="Calibri" w:cs="Calibri"/>
          <w:sz w:val="24"/>
          <w:szCs w:val="24"/>
        </w:rPr>
        <w:t xml:space="preserve">At this moment in time, PCCs offices align with police force structures and some allied services </w:t>
      </w:r>
      <w:r w:rsidRPr="00CA2079">
        <w:rPr>
          <w:rFonts w:ascii="Calibri" w:hAnsi="Calibri" w:cs="Calibri"/>
          <w:sz w:val="24"/>
          <w:szCs w:val="24"/>
        </w:rPr>
        <w:t xml:space="preserve">– e.g. health - </w:t>
      </w:r>
      <w:r w:rsidRPr="00CA2079">
        <w:rPr>
          <w:rFonts w:ascii="Calibri" w:hAnsi="Calibri" w:cs="Calibri"/>
          <w:sz w:val="24"/>
          <w:szCs w:val="24"/>
        </w:rPr>
        <w:t>encompassing a number of others</w:t>
      </w:r>
      <w:r w:rsidRPr="00CA2079">
        <w:rPr>
          <w:rFonts w:ascii="Calibri" w:hAnsi="Calibri" w:cs="Calibri"/>
          <w:sz w:val="24"/>
          <w:szCs w:val="24"/>
        </w:rPr>
        <w:t xml:space="preserve"> – e.g youth justice services</w:t>
      </w:r>
      <w:r w:rsidRPr="00CA2079">
        <w:rPr>
          <w:rFonts w:ascii="Calibri" w:hAnsi="Calibri" w:cs="Calibri"/>
          <w:sz w:val="24"/>
          <w:szCs w:val="24"/>
        </w:rPr>
        <w:t xml:space="preserve">. In that sense, PCCs were able to pool resources – across Community Safety and Crime </w:t>
      </w:r>
      <w:r w:rsidRPr="00CA2079">
        <w:rPr>
          <w:rFonts w:ascii="Calibri" w:hAnsi="Calibri" w:cs="Calibri"/>
          <w:sz w:val="24"/>
          <w:szCs w:val="24"/>
        </w:rPr>
        <w:t xml:space="preserve">- </w:t>
      </w:r>
      <w:r w:rsidRPr="00CA2079">
        <w:rPr>
          <w:rFonts w:ascii="Calibri" w:hAnsi="Calibri" w:cs="Calibri"/>
          <w:sz w:val="24"/>
          <w:szCs w:val="24"/>
        </w:rPr>
        <w:t>and supported projects that aimed to address the problems of joined-up working,</w:t>
      </w:r>
      <w:r w:rsidRPr="00CA2079">
        <w:rPr>
          <w:rFonts w:ascii="Calibri" w:hAnsi="Calibri" w:cs="Calibri"/>
          <w:sz w:val="24"/>
          <w:szCs w:val="24"/>
        </w:rPr>
        <w:t xml:space="preserve"> created effective partnerships</w:t>
      </w:r>
      <w:r w:rsidRPr="00CA2079">
        <w:rPr>
          <w:rFonts w:ascii="Calibri" w:hAnsi="Calibri" w:cs="Calibri"/>
          <w:sz w:val="24"/>
          <w:szCs w:val="24"/>
        </w:rPr>
        <w:t xml:space="preserve"> </w:t>
      </w:r>
      <w:r w:rsidRPr="00CA2079">
        <w:rPr>
          <w:rFonts w:ascii="Calibri" w:hAnsi="Calibri" w:cs="Calibri"/>
          <w:sz w:val="24"/>
          <w:szCs w:val="24"/>
        </w:rPr>
        <w:t>across services</w:t>
      </w:r>
      <w:r w:rsidRPr="00CA2079">
        <w:rPr>
          <w:rFonts w:ascii="Calibri" w:hAnsi="Calibri" w:cs="Calibri"/>
          <w:sz w:val="24"/>
          <w:szCs w:val="24"/>
        </w:rPr>
        <w:t>, and improved engagement and local problem solving. The extent to which this was effective was contingent on the PCCs office</w:t>
      </w:r>
      <w:r w:rsidRPr="00CA2079">
        <w:rPr>
          <w:rFonts w:ascii="Calibri" w:hAnsi="Calibri" w:cs="Calibri"/>
          <w:sz w:val="24"/>
          <w:szCs w:val="24"/>
        </w:rPr>
        <w:t xml:space="preserve"> and one of the benefits of establishing Policing and Crime Boards would be to ensure that co-opted members represent local partners in the delivery of effective crime prevention and responses to crime. </w:t>
      </w:r>
      <w:r w:rsidRPr="00CA2079">
        <w:rPr>
          <w:rFonts w:ascii="Calibri" w:hAnsi="Calibri" w:cs="Calibri"/>
          <w:sz w:val="24"/>
          <w:szCs w:val="24"/>
        </w:rPr>
        <w:t xml:space="preserve">Consolidation of community safety and crime budgets should also reduce some costs and bring together functions across different public services – community safety provision is patchy and not sufficiently coordinated. </w:t>
      </w:r>
      <w:r w:rsidRPr="00CA2079">
        <w:rPr>
          <w:rFonts w:ascii="Calibri" w:hAnsi="Calibri" w:cs="Calibri"/>
          <w:sz w:val="24"/>
          <w:szCs w:val="24"/>
        </w:rPr>
        <w:t>Co-opting health, education, housing, youth justice, and third sector community safety partn</w:t>
      </w:r>
      <w:r w:rsidRPr="00CA2079">
        <w:rPr>
          <w:rFonts w:ascii="Calibri" w:hAnsi="Calibri" w:cs="Calibri"/>
          <w:sz w:val="24"/>
          <w:szCs w:val="24"/>
        </w:rPr>
        <w:t xml:space="preserve">ers such as substance misuse services, women’s aid services, etc. could offer not only appropriate local accountability structures for policing but would allow Policing and Crime Boards to consider and plan how to improve service provision to vulnerable and marginalised communities. This would depend on ensuring all partners are consistently engaged with these processes and that the pooling of budgets </w:t>
      </w:r>
      <w:r w:rsidRPr="00CA2079">
        <w:rPr>
          <w:rFonts w:ascii="Calibri" w:hAnsi="Calibri" w:cs="Calibri"/>
          <w:sz w:val="24"/>
          <w:szCs w:val="24"/>
        </w:rPr>
        <w:t xml:space="preserve">will contain safeguards and clear spending rules protecting budgets and </w:t>
      </w:r>
      <w:r w:rsidRPr="00CA2079">
        <w:rPr>
          <w:rFonts w:ascii="Calibri" w:hAnsi="Calibri" w:cs="Calibri"/>
          <w:sz w:val="24"/>
          <w:szCs w:val="24"/>
        </w:rPr>
        <w:t xml:space="preserve">does not lead to </w:t>
      </w:r>
      <w:r w:rsidRPr="00CA2079">
        <w:rPr>
          <w:rFonts w:ascii="Calibri" w:hAnsi="Calibri" w:cs="Calibri"/>
          <w:sz w:val="24"/>
          <w:szCs w:val="24"/>
        </w:rPr>
        <w:t xml:space="preserve">deprioritising of </w:t>
      </w:r>
      <w:r w:rsidRPr="00CA2079">
        <w:rPr>
          <w:rFonts w:ascii="Calibri" w:hAnsi="Calibri" w:cs="Calibri"/>
          <w:sz w:val="24"/>
          <w:szCs w:val="24"/>
        </w:rPr>
        <w:t xml:space="preserve">less popular budget areas. </w:t>
      </w:r>
      <w:r w:rsidRPr="00CA2079">
        <w:rPr>
          <w:rFonts w:ascii="Calibri" w:hAnsi="Calibri" w:cs="Calibri"/>
          <w:sz w:val="24"/>
          <w:szCs w:val="24"/>
        </w:rPr>
        <w:t xml:space="preserve">Finally, as long as policing remains a Home Office responsibility, Policing and Crime Boards should include Welsh Government representatives to ensure national policies for devolved public services are considered and that Welsh Government’s budgetary contributions to community safety and crime matters are reflected through these fora of accountability. </w:t>
      </w:r>
    </w:p>
    <w:p w:rsidR="00CE083C" w:rsidRPr="00CA2079" w:rsidP="00677908">
      <w:pPr>
        <w:jc w:val="both"/>
        <w:rPr>
          <w:rFonts w:ascii="Calibri" w:hAnsi="Calibri" w:cs="Calibri"/>
          <w:sz w:val="24"/>
          <w:szCs w:val="24"/>
        </w:rPr>
      </w:pPr>
    </w:p>
    <w:p w:rsidR="00CE083C" w:rsidRPr="00CA2079" w:rsidP="00E952D0">
      <w:pPr>
        <w:rPr>
          <w:rFonts w:ascii="Calibri" w:hAnsi="Calibri" w:cs="Calibri"/>
          <w:b/>
          <w:bCs/>
          <w:sz w:val="24"/>
          <w:szCs w:val="24"/>
        </w:rPr>
      </w:pPr>
      <w:r w:rsidRPr="00CA2079">
        <w:rPr>
          <w:rFonts w:ascii="Calibri" w:hAnsi="Calibri" w:cs="Calibri"/>
          <w:b/>
          <w:bCs/>
          <w:sz w:val="24"/>
          <w:szCs w:val="24"/>
        </w:rPr>
        <w:t xml:space="preserve">-What is the optimal number of police forces for Wales, and why? </w:t>
      </w:r>
    </w:p>
    <w:p w:rsidR="00CE083C" w:rsidRPr="00CA2079">
      <w:pPr>
        <w:rPr>
          <w:rFonts w:ascii="Calibri" w:hAnsi="Calibri" w:cs="Calibri"/>
          <w:sz w:val="24"/>
          <w:szCs w:val="24"/>
        </w:rPr>
      </w:pPr>
      <w:r w:rsidRPr="00CA2079">
        <w:rPr>
          <w:rFonts w:ascii="Calibri" w:hAnsi="Calibri" w:cs="Calibri"/>
          <w:sz w:val="24"/>
          <w:szCs w:val="24"/>
        </w:rPr>
        <w:t xml:space="preserve">I presented some Welsh Perspectives to the Independent Review of Police Structures and will share some of the main points presented here. </w:t>
      </w:r>
    </w:p>
    <w:p w:rsidR="00CE083C" w:rsidRPr="00CA2079" w:rsidP="003950F1">
      <w:pPr>
        <w:jc w:val="both"/>
        <w:rPr>
          <w:rFonts w:ascii="Calibri" w:hAnsi="Calibri" w:cs="Calibri"/>
          <w:sz w:val="24"/>
          <w:szCs w:val="24"/>
        </w:rPr>
      </w:pPr>
      <w:r w:rsidRPr="00CA2079">
        <w:rPr>
          <w:rFonts w:ascii="Calibri" w:hAnsi="Calibri" w:cs="Calibri"/>
          <w:sz w:val="24"/>
          <w:szCs w:val="24"/>
        </w:rPr>
        <w:t xml:space="preserve">6. </w:t>
      </w:r>
      <w:r w:rsidRPr="00CA2079">
        <w:rPr>
          <w:rFonts w:ascii="Calibri" w:hAnsi="Calibri" w:cs="Calibri"/>
          <w:sz w:val="24"/>
          <w:szCs w:val="24"/>
        </w:rPr>
        <w:t xml:space="preserve">There is no question that any structural changes to policing need to respect the territorial integrity of Wales – this means ruling out any suggestions of police forces stretching across borders between England and Wales. The impact of Welsh Government through funding of 600 PCSOs since 2011 – currently being evaluated – is just one area in which the WG makes a </w:t>
      </w:r>
      <w:r w:rsidRPr="00CA2079">
        <w:rPr>
          <w:rFonts w:ascii="Calibri" w:hAnsi="Calibri" w:cs="Calibri"/>
          <w:sz w:val="24"/>
          <w:szCs w:val="24"/>
        </w:rPr>
        <w:t>contribution to policing. Additional funding flows to broader community safety. Police forces in Wales collaborate through the Policing in Wales Boa</w:t>
      </w:r>
      <w:r w:rsidRPr="00CA2079">
        <w:rPr>
          <w:rFonts w:ascii="Calibri" w:hAnsi="Calibri" w:cs="Calibri"/>
          <w:sz w:val="24"/>
          <w:szCs w:val="24"/>
        </w:rPr>
        <w:t>rd, share procurement processes in some areas – e.g. PEQF, and are working on shared data protection principles and arrangements.</w:t>
      </w:r>
    </w:p>
    <w:p w:rsidR="00CE083C" w:rsidRPr="00CA2079" w:rsidP="003950F1">
      <w:pPr>
        <w:jc w:val="both"/>
        <w:rPr>
          <w:rFonts w:ascii="Calibri" w:hAnsi="Calibri" w:cs="Calibri"/>
          <w:sz w:val="24"/>
          <w:szCs w:val="24"/>
        </w:rPr>
      </w:pPr>
      <w:r w:rsidRPr="00CA2079">
        <w:rPr>
          <w:rFonts w:ascii="Calibri" w:hAnsi="Calibri" w:cs="Calibri"/>
          <w:sz w:val="24"/>
          <w:szCs w:val="24"/>
        </w:rPr>
        <w:t>7. In terms of considering the optimal number of police forces in Wales, there are a number of core considerations which impact on the feasibility of a single police force for Wales and these are listed below:</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Infrastructure – there is limited road and train infrastructure across Wales, in particular North to South</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 xml:space="preserve">Demand – the complexity of demand across different areas in Wales creates a need for specialisms with impact on resourcing, leadership… examples include, demand created by the landscape – accidental death in the mountains and the sea; the weather and its impact on major infrastructure; tourism and specifically its nature – from adventure tourism to major seasonal shifts in population size in small, rural and in some instances, poor areas, putting significant pressures on policing; rurality; demand on roads </w:t>
      </w:r>
      <w:r w:rsidRPr="00CA2079">
        <w:rPr>
          <w:rFonts w:ascii="Calibri" w:hAnsi="Calibri" w:cs="Calibri"/>
          <w:sz w:val="24"/>
          <w:szCs w:val="24"/>
        </w:rPr>
        <w:t>policing due to traffic collision hotspots; critical infrastructure – e.g. nuclear sites</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 xml:space="preserve">Crime flows – there are significant differences in how crime flows in and out of Wales – in the North, crime moves mainly along the A55 corridor from the Holyhead port as an international border and major transport hub to Manchester and Liverpool; in the South, crime moves along the M4 corridor; in mid-Wales there are some more limited flows of crime across the </w:t>
      </w:r>
      <w:r w:rsidRPr="00CA2079">
        <w:rPr>
          <w:rFonts w:ascii="Calibri" w:hAnsi="Calibri" w:cs="Calibri"/>
          <w:sz w:val="24"/>
          <w:szCs w:val="24"/>
        </w:rPr>
        <w:t>West Midlands; there is little movement of crime between the South and the North of Wales</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Interoperability and shared resources between current forces – as a result of the differences in crime flows, interoperability between forces also differs. North Wales shares resources and intelligence between Merseyside Police, Greater Manchester Police and Cheshire Constabulary; South Wales</w:t>
      </w:r>
      <w:r w:rsidRPr="00CA2079">
        <w:rPr>
          <w:rFonts w:ascii="Calibri" w:hAnsi="Calibri" w:cs="Calibri"/>
          <w:sz w:val="24"/>
          <w:szCs w:val="24"/>
        </w:rPr>
        <w:t xml:space="preserve"> and Gwen share across Avon and Somerset. There is limited sharing of resources across North Wales, Dyfed Powys, South Wales and Gwent. </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Culture and Language – the linguistic differences in Wales have an impact on the levels of Welsh language skills required in police forces and across the forces, Welsh language requirements differ in subtle ways – e.g. the extent to which Level 2 Welsh is required at the stage of application versus at the end of the probation period. There is broadly a North and mid-Wales to South Wales and Gwent divide in the proportion of Welsh speakers and the dominance of Welsh speaking communities. Importantly, this al</w:t>
      </w:r>
      <w:r w:rsidRPr="00CA2079">
        <w:rPr>
          <w:rFonts w:ascii="Calibri" w:hAnsi="Calibri" w:cs="Calibri"/>
          <w:sz w:val="24"/>
          <w:szCs w:val="24"/>
        </w:rPr>
        <w:t xml:space="preserve">so reflects a broader sense of a cultural divide – Cardiff is a long way from North Wales both in terms of distance to travel, population density, crime demand, etc. A one-Wales force led by South Wales could impact on organisational culture and public perception. </w:t>
      </w:r>
    </w:p>
    <w:p w:rsidR="00CE083C" w:rsidRPr="00CA2079" w:rsidP="003950F1">
      <w:pPr>
        <w:pStyle w:val="ListParagraph"/>
        <w:numPr>
          <w:ilvl w:val="0"/>
          <w:numId w:val="3"/>
        </w:numPr>
        <w:jc w:val="both"/>
        <w:rPr>
          <w:rFonts w:ascii="Calibri" w:hAnsi="Calibri" w:cs="Calibri"/>
          <w:sz w:val="24"/>
          <w:szCs w:val="24"/>
        </w:rPr>
      </w:pPr>
      <w:r w:rsidRPr="00CA2079">
        <w:rPr>
          <w:rFonts w:ascii="Calibri" w:hAnsi="Calibri" w:cs="Calibri"/>
          <w:sz w:val="24"/>
          <w:szCs w:val="24"/>
        </w:rPr>
        <w:t xml:space="preserve">Budgets and Funding – for 2026/2027, both North Wales Police and Dyfed Powys Police received more funding through the precept than Home Office grant. This suggests a greater accountability to local communities and a greater reliance on local </w:t>
      </w:r>
      <w:r w:rsidRPr="00CA2079">
        <w:rPr>
          <w:rFonts w:ascii="Calibri" w:hAnsi="Calibri" w:cs="Calibri"/>
          <w:sz w:val="24"/>
          <w:szCs w:val="24"/>
        </w:rPr>
        <w:t>funding to maintain the policing services desired</w:t>
      </w:r>
      <w:r w:rsidRPr="00CA2079">
        <w:rPr>
          <w:rFonts w:ascii="Calibri" w:hAnsi="Calibri" w:cs="Calibri"/>
          <w:sz w:val="24"/>
          <w:szCs w:val="24"/>
        </w:rPr>
        <w:t>/needed</w:t>
      </w:r>
      <w:r w:rsidRPr="00CA2079">
        <w:rPr>
          <w:rFonts w:ascii="Calibri" w:hAnsi="Calibri" w:cs="Calibri"/>
          <w:sz w:val="24"/>
          <w:szCs w:val="24"/>
        </w:rPr>
        <w:t xml:space="preserve">. Funding changes may be required as part of the </w:t>
      </w:r>
      <w:r w:rsidRPr="00CA2079">
        <w:rPr>
          <w:rFonts w:ascii="Calibri" w:hAnsi="Calibri" w:cs="Calibri"/>
          <w:sz w:val="24"/>
          <w:szCs w:val="24"/>
        </w:rPr>
        <w:t>structural changes proposed</w:t>
      </w:r>
      <w:r w:rsidRPr="00CA2079">
        <w:rPr>
          <w:rFonts w:ascii="Calibri" w:hAnsi="Calibri" w:cs="Calibri"/>
          <w:sz w:val="24"/>
          <w:szCs w:val="24"/>
        </w:rPr>
        <w:t xml:space="preserve"> which could have an immediate impact on the services delivered to local communities. </w:t>
      </w:r>
    </w:p>
    <w:p w:rsidR="00CE083C" w:rsidRPr="00CA2079" w:rsidP="003950F1">
      <w:pPr>
        <w:jc w:val="both"/>
        <w:rPr>
          <w:rFonts w:ascii="Calibri" w:hAnsi="Calibri" w:cs="Calibri"/>
          <w:sz w:val="24"/>
          <w:szCs w:val="24"/>
        </w:rPr>
      </w:pPr>
      <w:r w:rsidRPr="00CA2079">
        <w:rPr>
          <w:rFonts w:ascii="Calibri" w:hAnsi="Calibri" w:cs="Calibri"/>
          <w:sz w:val="24"/>
          <w:szCs w:val="24"/>
        </w:rPr>
        <w:t xml:space="preserve">8. </w:t>
      </w:r>
      <w:r w:rsidRPr="00CA2079">
        <w:rPr>
          <w:rFonts w:ascii="Calibri" w:hAnsi="Calibri" w:cs="Calibri"/>
          <w:sz w:val="24"/>
          <w:szCs w:val="24"/>
        </w:rPr>
        <w:t>Evidence from the formation of Police Scotland suggests that larger police force</w:t>
      </w:r>
      <w:r w:rsidRPr="00CA2079">
        <w:rPr>
          <w:rFonts w:ascii="Calibri" w:hAnsi="Calibri" w:cs="Calibri"/>
          <w:sz w:val="24"/>
          <w:szCs w:val="24"/>
        </w:rPr>
        <w:t xml:space="preserve"> areas</w:t>
      </w:r>
      <w:r w:rsidRPr="00CA2079">
        <w:rPr>
          <w:rFonts w:ascii="Calibri" w:hAnsi="Calibri" w:cs="Calibri"/>
          <w:sz w:val="24"/>
          <w:szCs w:val="24"/>
        </w:rPr>
        <w:t xml:space="preserve"> pull resources to the population centres and with that create a perception of neglect of</w:t>
      </w:r>
      <w:r w:rsidRPr="00CA2079">
        <w:rPr>
          <w:rFonts w:ascii="Calibri" w:hAnsi="Calibri" w:cs="Calibri"/>
          <w:sz w:val="24"/>
          <w:szCs w:val="24"/>
        </w:rPr>
        <w:t xml:space="preserve"> more rural and less populated areas. Specialisms and responses to uneven demand may be difficult to maintain under such conditions.</w:t>
      </w:r>
      <w:r w:rsidRPr="00CA2079">
        <w:rPr>
          <w:rFonts w:ascii="Calibri" w:hAnsi="Calibri" w:cs="Calibri"/>
          <w:sz w:val="24"/>
          <w:szCs w:val="24"/>
        </w:rPr>
        <w:t xml:space="preserve"> Based on these considerations, my view is that a single police force for Wales will create strains </w:t>
      </w:r>
      <w:r w:rsidRPr="00CA2079">
        <w:rPr>
          <w:rFonts w:ascii="Calibri" w:hAnsi="Calibri" w:cs="Calibri"/>
          <w:sz w:val="24"/>
          <w:szCs w:val="24"/>
        </w:rPr>
        <w:t>on creating a good organisational culture across Wales, policing services that recognise the importance o</w:t>
      </w:r>
      <w:r w:rsidRPr="00CA2079">
        <w:rPr>
          <w:rFonts w:ascii="Calibri" w:hAnsi="Calibri" w:cs="Calibri"/>
          <w:sz w:val="24"/>
          <w:szCs w:val="24"/>
        </w:rPr>
        <w:t xml:space="preserve">f specialist resources for specific demands – rural and wildlife crime – and public perception. Trust and confidence in the police fell in the first years after the creation of Police Scotland. </w:t>
      </w:r>
    </w:p>
    <w:p w:rsidR="00CE083C" w:rsidRPr="00CA2079" w:rsidP="003950F1">
      <w:pPr>
        <w:jc w:val="both"/>
        <w:rPr>
          <w:rFonts w:ascii="Calibri" w:hAnsi="Calibri" w:cs="Calibri"/>
          <w:sz w:val="24"/>
          <w:szCs w:val="24"/>
        </w:rPr>
      </w:pPr>
      <w:r w:rsidRPr="00CA2079">
        <w:rPr>
          <w:rFonts w:ascii="Calibri" w:hAnsi="Calibri" w:cs="Calibri"/>
          <w:sz w:val="24"/>
          <w:szCs w:val="24"/>
        </w:rPr>
        <w:t xml:space="preserve">9. </w:t>
      </w:r>
      <w:r w:rsidRPr="00CA2079">
        <w:rPr>
          <w:rFonts w:ascii="Calibri" w:hAnsi="Calibri" w:cs="Calibri"/>
          <w:sz w:val="24"/>
          <w:szCs w:val="24"/>
        </w:rPr>
        <w:t>Thus, I would recommend a minimum of two police forces</w:t>
      </w:r>
      <w:r w:rsidRPr="00CA2079">
        <w:rPr>
          <w:rFonts w:ascii="Calibri" w:hAnsi="Calibri" w:cs="Calibri"/>
          <w:sz w:val="24"/>
          <w:szCs w:val="24"/>
        </w:rPr>
        <w:t xml:space="preserve"> for Wales</w:t>
      </w:r>
      <w:r w:rsidRPr="00CA2079">
        <w:rPr>
          <w:rFonts w:ascii="Calibri" w:hAnsi="Calibri" w:cs="Calibri"/>
          <w:sz w:val="24"/>
          <w:szCs w:val="24"/>
        </w:rPr>
        <w:t>, one for North and mid-Wales and one for South Wales.</w:t>
      </w:r>
    </w:p>
    <w:p w:rsidR="00CE083C" w:rsidRPr="00CA2079" w:rsidP="006F22CD">
      <w:pPr>
        <w:rPr>
          <w:rFonts w:ascii="Calibri" w:hAnsi="Calibri" w:cs="Calibri"/>
          <w:sz w:val="24"/>
          <w:szCs w:val="24"/>
        </w:rPr>
      </w:pPr>
    </w:p>
    <w:p w:rsidR="00CE083C" w:rsidRPr="00CA2079" w:rsidP="00AA10B8">
      <w:pPr>
        <w:rPr>
          <w:rFonts w:ascii="Calibri" w:hAnsi="Calibri" w:cs="Calibri"/>
          <w:b/>
          <w:bCs/>
          <w:sz w:val="24"/>
          <w:szCs w:val="24"/>
        </w:rPr>
      </w:pPr>
      <w:r w:rsidRPr="00CA2079">
        <w:rPr>
          <w:rFonts w:ascii="Calibri" w:hAnsi="Calibri" w:cs="Calibri"/>
          <w:b/>
          <w:bCs/>
          <w:sz w:val="24"/>
          <w:szCs w:val="24"/>
        </w:rPr>
        <w:t xml:space="preserve">-Aside from the abolition of Police and Crime Commissioners and the possible reduction in force numbers, how else may the UK Government’s proposed policing reforms impact policing in Wales? </w:t>
      </w:r>
    </w:p>
    <w:p w:rsidR="00CE083C" w:rsidRPr="00CA2079" w:rsidP="006117E8">
      <w:pPr>
        <w:jc w:val="both"/>
        <w:rPr>
          <w:rFonts w:ascii="Calibri" w:hAnsi="Calibri" w:cs="Calibri"/>
          <w:sz w:val="24"/>
          <w:szCs w:val="24"/>
        </w:rPr>
      </w:pPr>
      <w:r w:rsidRPr="00CA2079">
        <w:rPr>
          <w:rFonts w:ascii="Calibri" w:hAnsi="Calibri" w:cs="Calibri"/>
          <w:sz w:val="24"/>
          <w:szCs w:val="24"/>
        </w:rPr>
        <w:t xml:space="preserve">10. The establishment of </w:t>
      </w:r>
      <w:r w:rsidRPr="00CA2079">
        <w:rPr>
          <w:rFonts w:ascii="Calibri" w:hAnsi="Calibri" w:cs="Calibri"/>
          <w:sz w:val="24"/>
          <w:szCs w:val="24"/>
        </w:rPr>
        <w:t>a N</w:t>
      </w:r>
      <w:r w:rsidRPr="00CA2079">
        <w:rPr>
          <w:rFonts w:ascii="Calibri" w:hAnsi="Calibri" w:cs="Calibri"/>
          <w:sz w:val="24"/>
          <w:szCs w:val="24"/>
        </w:rPr>
        <w:t xml:space="preserve">ational Police Service will have implications for policing in Wales but these can be mediated if that service recognises the specifics of Wales as a country, its complexity in demand structures, and its interface with devolved policy areas – the existing jagged edge. </w:t>
      </w:r>
      <w:r w:rsidRPr="00CA2079">
        <w:rPr>
          <w:rFonts w:ascii="Calibri" w:hAnsi="Calibri" w:cs="Calibri"/>
          <w:sz w:val="24"/>
          <w:szCs w:val="24"/>
        </w:rPr>
        <w:t>A word of caution on the ambitions to reduce costs through standardised systems and procurement is that there needs to be room for innovation at a local level. Whilst there is undoubtedly duplication, problems of a myriad of different police</w:t>
      </w:r>
      <w:r w:rsidRPr="00CA2079">
        <w:rPr>
          <w:rFonts w:ascii="Calibri" w:hAnsi="Calibri" w:cs="Calibri"/>
          <w:sz w:val="24"/>
          <w:szCs w:val="24"/>
        </w:rPr>
        <w:t xml:space="preserve"> IT systems, technologies, etc. there is significant talent within local policing that has adapted to local needs, produced innovative approaches and technologies and that should be protected. </w:t>
      </w:r>
    </w:p>
    <w:p w:rsidR="00CE083C" w:rsidRPr="00CA2079" w:rsidP="006117E8">
      <w:pPr>
        <w:jc w:val="both"/>
        <w:rPr>
          <w:rFonts w:ascii="Calibri" w:hAnsi="Calibri" w:cs="Calibri"/>
          <w:sz w:val="24"/>
          <w:szCs w:val="24"/>
        </w:rPr>
      </w:pPr>
      <w:r w:rsidRPr="00CA2079">
        <w:rPr>
          <w:rFonts w:ascii="Calibri" w:hAnsi="Calibri" w:cs="Calibri"/>
          <w:sz w:val="24"/>
          <w:szCs w:val="24"/>
        </w:rPr>
        <w:t xml:space="preserve">11. Budgets – there is a discussion of aligning the precepts that vary across England and Wales and this may have significant implications for policing in Wales where both North Wales Police and Dyfed Powys Police are vulnerable to reductions in precepts in terms of service delivery.  </w:t>
      </w:r>
    </w:p>
    <w:p w:rsidR="00CE083C" w:rsidRPr="00CA2079" w:rsidP="00AA10B8">
      <w:pPr>
        <w:rPr>
          <w:rFonts w:ascii="Calibri" w:hAnsi="Calibri" w:cs="Calibri"/>
          <w:b/>
          <w:bCs/>
          <w:sz w:val="24"/>
          <w:szCs w:val="24"/>
        </w:rPr>
      </w:pPr>
      <w:r w:rsidRPr="00CA2079">
        <w:rPr>
          <w:rFonts w:ascii="Calibri" w:hAnsi="Calibri" w:cs="Calibri"/>
          <w:b/>
          <w:bCs/>
          <w:sz w:val="24"/>
          <w:szCs w:val="24"/>
        </w:rPr>
        <w:t>-What are the arguments for and against devolving policing to the Welsh Government, and how could devolving policing improve people in Wales’ experience and perception of policing?</w:t>
      </w:r>
    </w:p>
    <w:p w:rsidR="00CE083C" w:rsidRPr="00CA2079" w:rsidP="006117E8">
      <w:pPr>
        <w:jc w:val="both"/>
        <w:rPr>
          <w:rFonts w:ascii="Calibri" w:hAnsi="Calibri" w:cs="Calibri"/>
          <w:sz w:val="24"/>
          <w:szCs w:val="24"/>
        </w:rPr>
      </w:pPr>
      <w:r w:rsidRPr="00CA2079">
        <w:rPr>
          <w:rFonts w:ascii="Calibri" w:hAnsi="Calibri" w:cs="Calibri"/>
          <w:sz w:val="24"/>
          <w:szCs w:val="24"/>
        </w:rPr>
        <w:t xml:space="preserve">12. </w:t>
      </w:r>
      <w:r w:rsidRPr="00CA2079">
        <w:rPr>
          <w:rFonts w:ascii="Calibri" w:hAnsi="Calibri" w:cs="Calibri"/>
          <w:sz w:val="24"/>
          <w:szCs w:val="24"/>
        </w:rPr>
        <w:t>The arguments for and against devolving policing have been rehearsed on multiple occasions</w:t>
      </w:r>
      <w:r w:rsidRPr="00CA2079">
        <w:rPr>
          <w:rFonts w:ascii="Calibri" w:hAnsi="Calibri" w:cs="Calibri"/>
          <w:sz w:val="24"/>
          <w:szCs w:val="24"/>
        </w:rPr>
        <w:t>, so I will keep this brief and would refer the committee to the latest report on this topic by Foulkes and Ackland 2024</w:t>
      </w:r>
      <w:r w:rsidRPr="00CA2079">
        <w:rPr>
          <w:rFonts w:ascii="Calibri" w:hAnsi="Calibri" w:cs="Calibri"/>
          <w:sz w:val="24"/>
          <w:szCs w:val="24"/>
        </w:rPr>
        <w:t>.</w:t>
      </w:r>
      <w:r>
        <w:rPr>
          <w:rStyle w:val="FootnoteReference"/>
          <w:rFonts w:ascii="Calibri" w:hAnsi="Calibri" w:cs="Calibri"/>
          <w:sz w:val="24"/>
          <w:szCs w:val="24"/>
        </w:rPr>
        <w:footnoteReference w:id="2"/>
      </w:r>
      <w:r w:rsidRPr="00CA2079">
        <w:rPr>
          <w:rFonts w:ascii="Calibri" w:hAnsi="Calibri" w:cs="Calibri"/>
          <w:sz w:val="24"/>
          <w:szCs w:val="24"/>
        </w:rPr>
        <w:t xml:space="preserve"> The jagged edge of devolved and non-devolved responsibilities in relation to crime and community safety provides an unnecessary barrier to partnership working, aligning national (Welsh) priorities, and working towards a common prevention based approach to crime based on a social justice agenda. Progress on devolving </w:t>
      </w:r>
      <w:r w:rsidRPr="00CA2079">
        <w:rPr>
          <w:rFonts w:ascii="Calibri" w:hAnsi="Calibri" w:cs="Calibri"/>
          <w:sz w:val="24"/>
          <w:szCs w:val="24"/>
        </w:rPr>
        <w:t xml:space="preserve">youth justice and ongoing discussions on the devolution of probation further strengthen the argument to devolve policing. </w:t>
      </w:r>
    </w:p>
    <w:p w:rsidR="00CE083C" w:rsidRPr="00CA2079" w:rsidP="006117E8">
      <w:pPr>
        <w:jc w:val="both"/>
        <w:rPr>
          <w:rFonts w:ascii="Calibri" w:hAnsi="Calibri" w:cs="Calibri"/>
          <w:sz w:val="24"/>
          <w:szCs w:val="24"/>
        </w:rPr>
      </w:pPr>
      <w:r w:rsidRPr="00CA2079">
        <w:rPr>
          <w:rFonts w:ascii="Calibri" w:hAnsi="Calibri" w:cs="Calibri"/>
          <w:sz w:val="24"/>
          <w:szCs w:val="24"/>
        </w:rPr>
        <w:t xml:space="preserve">13. One of the biggest barriers to the devolution of policing would be budgetary constraints and the extent to which Wales could – and would want to - opt into current England and Wales frameworks of a new National Police Service, HMICFRS inspections, police databases and recording standards, etc. This would require thorough consideration as insufficiently funding policing in Wales would create adverse outcomes. </w:t>
      </w:r>
    </w:p>
    <w:p w:rsidR="00CE083C" w:rsidRPr="00CA2079" w:rsidP="006117E8">
      <w:pPr>
        <w:jc w:val="both"/>
        <w:rPr>
          <w:rFonts w:ascii="Calibri" w:hAnsi="Calibri" w:cs="Calibri"/>
          <w:sz w:val="24"/>
          <w:szCs w:val="24"/>
        </w:rPr>
      </w:pPr>
      <w:r w:rsidRPr="00CA2079">
        <w:rPr>
          <w:rFonts w:ascii="Calibri" w:hAnsi="Calibri" w:cs="Calibri"/>
          <w:sz w:val="24"/>
          <w:szCs w:val="24"/>
        </w:rPr>
        <w:t xml:space="preserve">14. Concluding Thoughts: The current moment of change across the wider criminal justice system creates an opportunity to radically reconsider how criminal justice should be delivered </w:t>
      </w:r>
      <w:r w:rsidRPr="00CA2079">
        <w:rPr>
          <w:rFonts w:ascii="Calibri" w:hAnsi="Calibri" w:cs="Calibri"/>
          <w:sz w:val="24"/>
          <w:szCs w:val="24"/>
        </w:rPr>
        <w:t xml:space="preserve">for the people of Wales. Criminal justice is </w:t>
      </w:r>
      <w:r w:rsidRPr="00CA2079">
        <w:rPr>
          <w:rFonts w:ascii="Calibri" w:hAnsi="Calibri" w:cs="Calibri"/>
          <w:sz w:val="24"/>
          <w:szCs w:val="24"/>
        </w:rPr>
        <w:t xml:space="preserve">unnecessarily </w:t>
      </w:r>
      <w:r w:rsidRPr="00CA2079">
        <w:rPr>
          <w:rFonts w:ascii="Calibri" w:hAnsi="Calibri" w:cs="Calibri"/>
          <w:sz w:val="24"/>
          <w:szCs w:val="24"/>
        </w:rPr>
        <w:t>complex, struggles to cope with shifts in crime, community safety,</w:t>
      </w:r>
      <w:r w:rsidRPr="00CA2079">
        <w:rPr>
          <w:rFonts w:ascii="Calibri" w:hAnsi="Calibri" w:cs="Calibri"/>
          <w:sz w:val="24"/>
          <w:szCs w:val="24"/>
        </w:rPr>
        <w:t xml:space="preserve"> demand,</w:t>
      </w:r>
      <w:r w:rsidRPr="00CA2079">
        <w:rPr>
          <w:rFonts w:ascii="Calibri" w:hAnsi="Calibri" w:cs="Calibri"/>
          <w:sz w:val="24"/>
          <w:szCs w:val="24"/>
        </w:rPr>
        <w:t xml:space="preserve"> public expectations, and significant current and future societal challenges</w:t>
      </w:r>
      <w:r w:rsidRPr="00CA2079">
        <w:rPr>
          <w:rFonts w:ascii="Calibri" w:hAnsi="Calibri" w:cs="Calibri"/>
          <w:sz w:val="24"/>
          <w:szCs w:val="24"/>
        </w:rPr>
        <w:t xml:space="preserve"> </w:t>
      </w:r>
      <w:r w:rsidRPr="00CA2079">
        <w:rPr>
          <w:rFonts w:ascii="Calibri" w:hAnsi="Calibri" w:cs="Calibri"/>
          <w:sz w:val="24"/>
          <w:szCs w:val="24"/>
        </w:rPr>
        <w:t xml:space="preserve">and divisions. The scale of changes already proposed feel daunting but the opportunity this represents to rethink how we respond to crime should not be overlooked. </w:t>
      </w:r>
      <w:r w:rsidRPr="00CA2079">
        <w:rPr>
          <w:rFonts w:ascii="Calibri" w:hAnsi="Calibri" w:cs="Calibri"/>
          <w:sz w:val="24"/>
          <w:szCs w:val="24"/>
        </w:rPr>
        <w:t xml:space="preserve">This would require a bird’s eye view of the criminal justice system and its relationship with allied services and a clear vision. </w:t>
      </w:r>
    </w:p>
    <w:p w:rsidR="00CE083C" w:rsidP="006117E8">
      <w:pPr>
        <w:jc w:val="both"/>
        <w:rPr>
          <w:rFonts w:ascii="Calibri" w:hAnsi="Calibri" w:cs="Calibri"/>
          <w:sz w:val="24"/>
          <w:szCs w:val="24"/>
        </w:rPr>
      </w:pPr>
      <w:r w:rsidRPr="00CA2079">
        <w:rPr>
          <w:rFonts w:ascii="Calibri" w:hAnsi="Calibri" w:cs="Calibri"/>
          <w:sz w:val="24"/>
          <w:szCs w:val="24"/>
        </w:rPr>
        <w:t xml:space="preserve">15. I would be happy to provide a fully referenced paper or expand on this submission in oral evidence should this be of interest. </w:t>
      </w:r>
    </w:p>
    <w:p w:rsidR="00CA2079" w:rsidP="006117E8">
      <w:pPr>
        <w:jc w:val="both"/>
        <w:rPr>
          <w:rFonts w:ascii="Calibri" w:hAnsi="Calibri" w:cs="Calibri"/>
          <w:sz w:val="24"/>
          <w:szCs w:val="24"/>
        </w:rPr>
      </w:pPr>
    </w:p>
    <w:p w:rsidR="00CA2079" w:rsidRPr="00CA2079" w:rsidP="006117E8">
      <w:pPr>
        <w:jc w:val="both"/>
        <w:rPr>
          <w:rFonts w:ascii="Calibri" w:hAnsi="Calibri" w:cs="Calibri"/>
          <w:i/>
          <w:iCs/>
          <w:sz w:val="24"/>
          <w:szCs w:val="24"/>
        </w:rPr>
      </w:pPr>
      <w:r>
        <w:rPr>
          <w:rFonts w:ascii="Calibri" w:hAnsi="Calibri" w:cs="Calibri"/>
          <w:i/>
          <w:iCs/>
          <w:sz w:val="24"/>
          <w:szCs w:val="24"/>
        </w:rPr>
        <w:t>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083C" w:rsidP="00020A54">
      <w:pPr>
        <w:spacing w:after="0" w:line="240" w:lineRule="auto"/>
      </w:pPr>
      <w:r>
        <w:separator/>
      </w:r>
    </w:p>
  </w:footnote>
  <w:footnote w:type="continuationSeparator" w:id="1">
    <w:p w:rsidR="00CE083C" w:rsidP="00020A54">
      <w:pPr>
        <w:spacing w:after="0" w:line="240" w:lineRule="auto"/>
      </w:pPr>
      <w:r>
        <w:continuationSeparator/>
      </w:r>
    </w:p>
  </w:footnote>
  <w:footnote w:id="2">
    <w:p w:rsidR="00CE083C">
      <w:pPr>
        <w:pStyle w:val="FootnoteText"/>
      </w:pPr>
      <w:r>
        <w:rPr>
          <w:rStyle w:val="FootnoteReference"/>
        </w:rPr>
        <w:footnoteRef/>
      </w:r>
      <w:r>
        <w:t xml:space="preserve"> </w:t>
      </w:r>
      <w:r w:rsidRPr="00020A54">
        <w:t>https://www.gov.wales/preparing-for-the-devolution-of-policing-html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B3055F"/>
    <w:multiLevelType w:val="hybridMultilevel"/>
    <w:tmpl w:val="81762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3E90733"/>
    <w:multiLevelType w:val="multilevel"/>
    <w:tmpl w:val="BD32A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5772B6"/>
    <w:multiLevelType w:val="multilevel"/>
    <w:tmpl w:val="1EC26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B27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7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7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7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7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7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7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7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7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7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7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7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7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7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7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7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7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70C"/>
    <w:rPr>
      <w:rFonts w:eastAsiaTheme="majorEastAsia" w:cstheme="majorBidi"/>
      <w:color w:val="272727" w:themeColor="text1" w:themeTint="D8"/>
    </w:rPr>
  </w:style>
  <w:style w:type="paragraph" w:styleId="Title">
    <w:name w:val="Title"/>
    <w:basedOn w:val="Normal"/>
    <w:next w:val="Normal"/>
    <w:link w:val="TitleChar"/>
    <w:uiPriority w:val="10"/>
    <w:qFormat/>
    <w:rsid w:val="00EB27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7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7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7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70C"/>
    <w:pPr>
      <w:spacing w:before="160"/>
      <w:jc w:val="center"/>
    </w:pPr>
    <w:rPr>
      <w:i/>
      <w:iCs/>
      <w:color w:val="404040" w:themeColor="text1" w:themeTint="BF"/>
    </w:rPr>
  </w:style>
  <w:style w:type="character" w:customStyle="1" w:styleId="QuoteChar">
    <w:name w:val="Quote Char"/>
    <w:basedOn w:val="DefaultParagraphFont"/>
    <w:link w:val="Quote"/>
    <w:uiPriority w:val="29"/>
    <w:rsid w:val="00EB270C"/>
    <w:rPr>
      <w:i/>
      <w:iCs/>
      <w:color w:val="404040" w:themeColor="text1" w:themeTint="BF"/>
    </w:rPr>
  </w:style>
  <w:style w:type="paragraph" w:styleId="ListParagraph">
    <w:name w:val="List Paragraph"/>
    <w:basedOn w:val="Normal"/>
    <w:uiPriority w:val="34"/>
    <w:qFormat/>
    <w:rsid w:val="00EB270C"/>
    <w:pPr>
      <w:ind w:left="720"/>
      <w:contextualSpacing/>
    </w:pPr>
  </w:style>
  <w:style w:type="character" w:styleId="IntenseEmphasis">
    <w:name w:val="Intense Emphasis"/>
    <w:basedOn w:val="DefaultParagraphFont"/>
    <w:uiPriority w:val="21"/>
    <w:qFormat/>
    <w:rsid w:val="00EB270C"/>
    <w:rPr>
      <w:i/>
      <w:iCs/>
      <w:color w:val="0F4761" w:themeColor="accent1" w:themeShade="BF"/>
    </w:rPr>
  </w:style>
  <w:style w:type="paragraph" w:styleId="IntenseQuote">
    <w:name w:val="Intense Quote"/>
    <w:basedOn w:val="Normal"/>
    <w:next w:val="Normal"/>
    <w:link w:val="IntenseQuoteChar"/>
    <w:uiPriority w:val="30"/>
    <w:qFormat/>
    <w:rsid w:val="00EB27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70C"/>
    <w:rPr>
      <w:i/>
      <w:iCs/>
      <w:color w:val="0F4761" w:themeColor="accent1" w:themeShade="BF"/>
    </w:rPr>
  </w:style>
  <w:style w:type="character" w:styleId="IntenseReference">
    <w:name w:val="Intense Reference"/>
    <w:basedOn w:val="DefaultParagraphFont"/>
    <w:uiPriority w:val="32"/>
    <w:qFormat/>
    <w:rsid w:val="00EB270C"/>
    <w:rPr>
      <w:b/>
      <w:bCs/>
      <w:smallCaps/>
      <w:color w:val="0F4761" w:themeColor="accent1" w:themeShade="BF"/>
      <w:spacing w:val="5"/>
    </w:rPr>
  </w:style>
  <w:style w:type="character" w:styleId="Hyperlink">
    <w:name w:val="Hyperlink"/>
    <w:basedOn w:val="DefaultParagraphFont"/>
    <w:uiPriority w:val="99"/>
    <w:unhideWhenUsed/>
    <w:rsid w:val="00624E3A"/>
    <w:rPr>
      <w:color w:val="467886" w:themeColor="hyperlink"/>
      <w:u w:val="single"/>
    </w:rPr>
  </w:style>
  <w:style w:type="character" w:customStyle="1" w:styleId="UnresolvedMention1">
    <w:name w:val="Unresolved Mention1"/>
    <w:basedOn w:val="DefaultParagraphFont"/>
    <w:uiPriority w:val="99"/>
    <w:semiHidden/>
    <w:unhideWhenUsed/>
    <w:rsid w:val="00624E3A"/>
    <w:rPr>
      <w:color w:val="605E5C"/>
      <w:shd w:val="clear" w:color="auto" w:fill="E1DFDD"/>
    </w:rPr>
  </w:style>
  <w:style w:type="paragraph" w:styleId="FootnoteText">
    <w:name w:val="footnote text"/>
    <w:basedOn w:val="Normal"/>
    <w:link w:val="FootnoteTextChar"/>
    <w:uiPriority w:val="99"/>
    <w:semiHidden/>
    <w:unhideWhenUsed/>
    <w:rsid w:val="00020A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A54"/>
    <w:rPr>
      <w:sz w:val="20"/>
      <w:szCs w:val="20"/>
    </w:rPr>
  </w:style>
  <w:style w:type="character" w:styleId="FootnoteReference">
    <w:name w:val="footnote reference"/>
    <w:basedOn w:val="DefaultParagraphFont"/>
    <w:uiPriority w:val="99"/>
    <w:semiHidden/>
    <w:unhideWhenUsed/>
    <w:rsid w:val="00020A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49F5-DDB4-4057-8565-8D267E32443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FPW0009</dc:title>
  <cp:revision>0</cp:revision>
</cp:coreProperties>
</file>