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001F9" w:rsidRPr="004001F9" w:rsidP="004001F9">
      <w:pPr>
        <w:ind w:left="360" w:hanging="360"/>
        <w:jc w:val="center"/>
        <w:rPr>
          <w:rFonts w:ascii="Calibri" w:hAnsi="Calibri" w:cs="Calibri"/>
          <w:b/>
          <w:bCs/>
          <w:sz w:val="26"/>
          <w:szCs w:val="26"/>
        </w:rPr>
      </w:pPr>
      <w:r w:rsidRPr="004001F9">
        <w:rPr>
          <w:rFonts w:ascii="Calibri" w:hAnsi="Calibri" w:cs="Calibri"/>
          <w:b/>
          <w:bCs/>
          <w:sz w:val="26"/>
          <w:szCs w:val="26"/>
        </w:rPr>
        <w:t>Written evidence submitted by the Fitzwilliam Wentworth Estate (LUN0025)</w:t>
      </w:r>
    </w:p>
    <w:p w:rsidR="004001F9" w:rsidP="007B2C18">
      <w:pPr>
        <w:ind w:left="360" w:hanging="360"/>
        <w:jc w:val="both"/>
      </w:pPr>
    </w:p>
    <w:p w:rsidR="009A41D7" w:rsidRPr="007B2C18" w:rsidP="007B2C18">
      <w:pPr>
        <w:pStyle w:val="ListParagraph"/>
        <w:numPr>
          <w:ilvl w:val="0"/>
          <w:numId w:val="1"/>
        </w:numPr>
        <w:ind w:left="360"/>
        <w:jc w:val="both"/>
        <w:rPr>
          <w:rFonts w:ascii="Times New Roman" w:hAnsi="Times New Roman" w:cs="Times New Roman"/>
          <w:b/>
          <w:bCs/>
        </w:rPr>
      </w:pPr>
      <w:r w:rsidRPr="007B2C18">
        <w:rPr>
          <w:rFonts w:ascii="Times New Roman" w:hAnsi="Times New Roman" w:cs="Times New Roman"/>
          <w:b/>
          <w:bCs/>
        </w:rPr>
        <w:t>How effectively do current policies balance competing demands in the uplands, including food production, nature recovery, climate mitigation, water management, and public access, and where do the key tensions remain?</w:t>
      </w:r>
    </w:p>
    <w:p w:rsidR="009A41D7" w:rsidP="007B2C18">
      <w:pPr>
        <w:pStyle w:val="ListParagraph"/>
        <w:ind w:left="360"/>
        <w:jc w:val="both"/>
        <w:rPr>
          <w:rFonts w:ascii="Times New Roman" w:hAnsi="Times New Roman" w:cs="Times New Roman"/>
          <w:b/>
          <w:bCs/>
        </w:rPr>
      </w:pPr>
    </w:p>
    <w:p w:rsidR="009A41D7" w:rsidRPr="007B2C18" w:rsidP="007B2C18">
      <w:pPr>
        <w:pStyle w:val="ListParagraph"/>
        <w:ind w:left="360"/>
        <w:jc w:val="both"/>
        <w:rPr>
          <w:rFonts w:ascii="Times New Roman" w:hAnsi="Times New Roman" w:cs="Times New Roman"/>
        </w:rPr>
      </w:pPr>
      <w:r>
        <w:rPr>
          <w:rFonts w:ascii="Times New Roman" w:hAnsi="Times New Roman" w:cs="Times New Roman"/>
        </w:rPr>
        <w:t>The focus in the Peak District seems to be farming or being environmental – you cannot be both – the constant pressures and increased regulation makes it impossible to simultaneously deliver environmental benefits which profitably livestock farming. We are committed to improving the moorland for nature but also appreciate the necessity of grazing it with livestock to achieve these aims. The cultural impacts must also not be forgotten when considering the roles of shepherds and gamekeepers in upland areas wh</w:t>
      </w:r>
      <w:r>
        <w:rPr>
          <w:rFonts w:ascii="Times New Roman" w:hAnsi="Times New Roman" w:cs="Times New Roman"/>
        </w:rPr>
        <w:t>ich have shaped the landscape (even during the period that seems to be the golden standard to aim for).</w:t>
      </w:r>
    </w:p>
    <w:p w:rsidR="009A41D7" w:rsidRPr="007B2C18" w:rsidP="007B2C18">
      <w:pPr>
        <w:pStyle w:val="ListParagraph"/>
        <w:ind w:left="360"/>
        <w:jc w:val="both"/>
        <w:rPr>
          <w:rFonts w:ascii="Times New Roman" w:hAnsi="Times New Roman" w:cs="Times New Roman"/>
          <w:b/>
          <w:bCs/>
        </w:rPr>
      </w:pPr>
    </w:p>
    <w:p w:rsidR="009A41D7" w:rsidRPr="007B2C18" w:rsidP="007B2C18">
      <w:pPr>
        <w:pStyle w:val="ListParagraph"/>
        <w:numPr>
          <w:ilvl w:val="0"/>
          <w:numId w:val="1"/>
        </w:numPr>
        <w:ind w:left="360"/>
        <w:jc w:val="both"/>
        <w:rPr>
          <w:rFonts w:ascii="Times New Roman" w:hAnsi="Times New Roman" w:cs="Times New Roman"/>
          <w:b/>
          <w:bCs/>
        </w:rPr>
      </w:pPr>
      <w:r w:rsidRPr="007B2C18">
        <w:rPr>
          <w:rFonts w:ascii="Times New Roman" w:hAnsi="Times New Roman" w:cs="Times New Roman"/>
          <w:b/>
          <w:bCs/>
        </w:rPr>
        <w:t>What has been the impact of agricultural policy changes (including the transition away from direct payments) on upland farming businesses, and the impact of these changes on farming profitability?</w:t>
      </w:r>
    </w:p>
    <w:p w:rsidR="009A41D7" w:rsidP="007B2C18">
      <w:pPr>
        <w:pStyle w:val="ListParagraph"/>
        <w:ind w:left="360"/>
        <w:jc w:val="both"/>
        <w:rPr>
          <w:rFonts w:ascii="Times New Roman" w:hAnsi="Times New Roman" w:cs="Times New Roman"/>
          <w:b/>
          <w:bCs/>
        </w:rPr>
      </w:pPr>
    </w:p>
    <w:p w:rsidR="009A41D7" w:rsidRPr="007B2C18" w:rsidP="007B2C18">
      <w:pPr>
        <w:pStyle w:val="ListParagraph"/>
        <w:ind w:left="360"/>
        <w:jc w:val="both"/>
        <w:rPr>
          <w:rFonts w:ascii="Times New Roman" w:hAnsi="Times New Roman" w:cs="Times New Roman"/>
        </w:rPr>
      </w:pPr>
      <w:r>
        <w:rPr>
          <w:rFonts w:ascii="Times New Roman" w:hAnsi="Times New Roman" w:cs="Times New Roman"/>
        </w:rPr>
        <w:t xml:space="preserve">The removal of linked payments has made future budgeting very difficult, twinned with the volatile agricultural commodities market and the uncertainty around government environmental schemes, </w:t>
      </w:r>
      <w:r>
        <w:rPr>
          <w:rFonts w:ascii="Times New Roman" w:hAnsi="Times New Roman" w:cs="Times New Roman"/>
        </w:rPr>
        <w:t>cashflow and profitability are at their worst. There is no security to invest in machinery, animal welfare or environmental services.</w:t>
      </w:r>
    </w:p>
    <w:p w:rsidR="009A41D7" w:rsidRPr="007B2C18" w:rsidP="007B2C18">
      <w:pPr>
        <w:pStyle w:val="ListParagraph"/>
        <w:ind w:left="360"/>
        <w:jc w:val="both"/>
        <w:rPr>
          <w:rFonts w:ascii="Times New Roman" w:hAnsi="Times New Roman" w:cs="Times New Roman"/>
          <w:b/>
          <w:bCs/>
        </w:rPr>
      </w:pPr>
    </w:p>
    <w:p w:rsidR="009A41D7" w:rsidRPr="007B2C18" w:rsidP="007B2C18">
      <w:pPr>
        <w:pStyle w:val="ListParagraph"/>
        <w:numPr>
          <w:ilvl w:val="0"/>
          <w:numId w:val="1"/>
        </w:numPr>
        <w:ind w:left="360"/>
        <w:jc w:val="both"/>
        <w:rPr>
          <w:rFonts w:ascii="Times New Roman" w:hAnsi="Times New Roman" w:cs="Times New Roman"/>
          <w:b/>
          <w:bCs/>
        </w:rPr>
      </w:pPr>
      <w:r w:rsidRPr="007B2C18">
        <w:rPr>
          <w:rFonts w:ascii="Times New Roman" w:hAnsi="Times New Roman" w:cs="Times New Roman"/>
          <w:b/>
          <w:bCs/>
        </w:rPr>
        <w:t>To what extent do the current Environmental Land Management (ELM) schemes and other support like the Farming in Protected Landscapes (FiPL) schemes support financially and environmentally sustainable land management in the uplands?</w:t>
      </w:r>
    </w:p>
    <w:p w:rsidR="009A41D7" w:rsidP="007B2C18">
      <w:pPr>
        <w:pStyle w:val="ListParagraph"/>
        <w:ind w:left="360"/>
        <w:jc w:val="both"/>
        <w:rPr>
          <w:rFonts w:ascii="Times New Roman" w:hAnsi="Times New Roman" w:cs="Times New Roman"/>
          <w:b/>
          <w:bCs/>
        </w:rPr>
      </w:pPr>
    </w:p>
    <w:p w:rsidR="009A41D7" w:rsidP="007B2C18">
      <w:pPr>
        <w:pStyle w:val="ListParagraph"/>
        <w:ind w:left="360"/>
        <w:jc w:val="both"/>
        <w:rPr>
          <w:rFonts w:ascii="Times New Roman" w:hAnsi="Times New Roman" w:cs="Times New Roman"/>
        </w:rPr>
      </w:pPr>
      <w:r>
        <w:rPr>
          <w:rFonts w:ascii="Times New Roman" w:hAnsi="Times New Roman" w:cs="Times New Roman"/>
        </w:rPr>
        <w:t>SFI gave land managers an opportunity to design their own scheme around their farming system which also rewarded the good environment work already being done. However, since the withdrawal of the scheme and the limiting of the new scheme to ‘smaller’ farms, this has provided much uncertainty and also limited the actions for many upland farms which tend to be inherently larger with the ability to complete the more financially and environmentally valuable actions which are then constrained by the scheme value</w:t>
      </w:r>
      <w:r>
        <w:rPr>
          <w:rFonts w:ascii="Times New Roman" w:hAnsi="Times New Roman" w:cs="Times New Roman"/>
        </w:rPr>
        <w:t xml:space="preserve"> cap.</w:t>
      </w:r>
    </w:p>
    <w:p w:rsidR="009A41D7" w:rsidP="007B2C18">
      <w:pPr>
        <w:pStyle w:val="ListParagraph"/>
        <w:ind w:left="360"/>
        <w:jc w:val="both"/>
        <w:rPr>
          <w:rFonts w:ascii="Times New Roman" w:hAnsi="Times New Roman" w:cs="Times New Roman"/>
        </w:rPr>
      </w:pPr>
    </w:p>
    <w:p w:rsidR="009A41D7" w:rsidRPr="007B2C18" w:rsidP="007B2C18">
      <w:pPr>
        <w:pStyle w:val="ListParagraph"/>
        <w:ind w:left="360"/>
        <w:jc w:val="both"/>
        <w:rPr>
          <w:rFonts w:ascii="Times New Roman" w:hAnsi="Times New Roman" w:cs="Times New Roman"/>
        </w:rPr>
      </w:pPr>
      <w:r>
        <w:rPr>
          <w:rFonts w:ascii="Times New Roman" w:hAnsi="Times New Roman" w:cs="Times New Roman"/>
        </w:rPr>
        <w:t>When an expression of interest was submitted to FiPL, we were dismissed despite their calls for applications due to a ‘pot of money’ that needed spending. We have received very little support from FiPL and the Peak District National Park – they seem to work hand in glove and have their own agenda which clearly is not profitable livestock farming.</w:t>
      </w:r>
    </w:p>
    <w:p w:rsidR="009A41D7" w:rsidRPr="007B2C18" w:rsidP="007B2C18">
      <w:pPr>
        <w:pStyle w:val="ListParagraph"/>
        <w:ind w:left="360"/>
        <w:jc w:val="both"/>
        <w:rPr>
          <w:rFonts w:ascii="Times New Roman" w:hAnsi="Times New Roman" w:cs="Times New Roman"/>
          <w:b/>
          <w:bCs/>
        </w:rPr>
      </w:pPr>
    </w:p>
    <w:p w:rsidR="009A41D7" w:rsidRPr="007B2C18" w:rsidP="007B2C18">
      <w:pPr>
        <w:pStyle w:val="ListParagraph"/>
        <w:numPr>
          <w:ilvl w:val="0"/>
          <w:numId w:val="1"/>
        </w:numPr>
        <w:ind w:left="360"/>
        <w:jc w:val="both"/>
        <w:rPr>
          <w:rFonts w:ascii="Times New Roman" w:hAnsi="Times New Roman" w:cs="Times New Roman"/>
          <w:b/>
          <w:bCs/>
        </w:rPr>
      </w:pPr>
      <w:r w:rsidRPr="007B2C18">
        <w:rPr>
          <w:rFonts w:ascii="Times New Roman" w:hAnsi="Times New Roman" w:cs="Times New Roman"/>
          <w:b/>
          <w:bCs/>
        </w:rPr>
        <w:t xml:space="preserve">How do legal protections for uplands areas (including designation as a National Park or Area of Outstanding Natural Beauty / Protected Landscape, and designations such </w:t>
      </w:r>
      <w:r w:rsidRPr="007B2C18">
        <w:rPr>
          <w:rFonts w:ascii="Times New Roman" w:hAnsi="Times New Roman" w:cs="Times New Roman"/>
          <w:b/>
          <w:bCs/>
        </w:rPr>
        <w:t>as Site of Special Scientific Interest, or Special Area of Conservation) impact decision-making, land management, and outcomes?</w:t>
      </w:r>
    </w:p>
    <w:p w:rsidR="009A41D7" w:rsidP="007B2C18">
      <w:pPr>
        <w:pStyle w:val="ListParagraph"/>
        <w:ind w:left="360"/>
        <w:jc w:val="both"/>
        <w:rPr>
          <w:rFonts w:ascii="Times New Roman" w:hAnsi="Times New Roman" w:cs="Times New Roman"/>
          <w:b/>
          <w:bCs/>
        </w:rPr>
      </w:pPr>
    </w:p>
    <w:p w:rsidR="009A41D7" w:rsidRPr="007B2C18" w:rsidP="007B2C18">
      <w:pPr>
        <w:pStyle w:val="ListParagraph"/>
        <w:ind w:left="360"/>
        <w:jc w:val="both"/>
        <w:rPr>
          <w:rFonts w:ascii="Times New Roman" w:hAnsi="Times New Roman" w:cs="Times New Roman"/>
        </w:rPr>
      </w:pPr>
      <w:r>
        <w:rPr>
          <w:rFonts w:ascii="Times New Roman" w:hAnsi="Times New Roman" w:cs="Times New Roman"/>
        </w:rPr>
        <w:t>The SSSI designation severely stunts the possibility of becoming more profitable and also fulfilling environmental objectives such as removing trees from deep peat. Meanwhile neighbouring landowners (the National Trust) are permitted to undertake action on their SSSI moorland such as the erection of a fence, meanwhile we are constantly being limited in what we can do and when.</w:t>
      </w:r>
    </w:p>
    <w:p w:rsidR="009A41D7" w:rsidRPr="007B2C18" w:rsidP="007B2C18">
      <w:pPr>
        <w:pStyle w:val="ListParagraph"/>
        <w:ind w:left="360"/>
        <w:jc w:val="both"/>
        <w:rPr>
          <w:rFonts w:ascii="Times New Roman" w:hAnsi="Times New Roman" w:cs="Times New Roman"/>
          <w:b/>
          <w:bCs/>
        </w:rPr>
      </w:pPr>
    </w:p>
    <w:p w:rsidR="009A41D7" w:rsidRPr="007B2C18" w:rsidP="007B2C18">
      <w:pPr>
        <w:pStyle w:val="ListParagraph"/>
        <w:numPr>
          <w:ilvl w:val="0"/>
          <w:numId w:val="1"/>
        </w:numPr>
        <w:ind w:left="360"/>
        <w:jc w:val="both"/>
        <w:rPr>
          <w:rFonts w:ascii="Times New Roman" w:hAnsi="Times New Roman" w:cs="Times New Roman"/>
          <w:b/>
          <w:bCs/>
        </w:rPr>
      </w:pPr>
      <w:r w:rsidRPr="007B2C18">
        <w:rPr>
          <w:rFonts w:ascii="Times New Roman" w:hAnsi="Times New Roman" w:cs="Times New Roman"/>
          <w:b/>
          <w:bCs/>
        </w:rPr>
        <w:t>What improvements are needed in land use data, mapping, and modelling to support effective decision-making in the uplands? What training or other skill development options are needed to support this?</w:t>
      </w:r>
    </w:p>
    <w:p w:rsidR="009A41D7" w:rsidP="007B2C18">
      <w:pPr>
        <w:pStyle w:val="ListParagraph"/>
        <w:ind w:left="360"/>
        <w:jc w:val="both"/>
        <w:rPr>
          <w:rFonts w:ascii="Times New Roman" w:hAnsi="Times New Roman" w:cs="Times New Roman"/>
          <w:b/>
          <w:bCs/>
        </w:rPr>
      </w:pPr>
    </w:p>
    <w:p w:rsidR="009A41D7" w:rsidP="007B2C18">
      <w:pPr>
        <w:pStyle w:val="ListParagraph"/>
        <w:ind w:left="360"/>
        <w:jc w:val="both"/>
        <w:rPr>
          <w:rFonts w:ascii="Times New Roman" w:hAnsi="Times New Roman" w:cs="Times New Roman"/>
        </w:rPr>
      </w:pPr>
      <w:r>
        <w:rPr>
          <w:rFonts w:ascii="Times New Roman" w:hAnsi="Times New Roman" w:cs="Times New Roman"/>
        </w:rPr>
        <w:t xml:space="preserve">Up to date mapping by DEFRA / Natural England is required – the mapping software which informs so many decisions and oversimplifies them is out of date and provides wrong results and answers – this is seldom ‘ground truthed’ and can be very frustrating to applicants when they are told black is white. An overhaul of the records kept is required with suitable training provided. </w:t>
      </w:r>
    </w:p>
    <w:p w:rsidR="009A41D7" w:rsidP="007B2C18">
      <w:pPr>
        <w:pStyle w:val="ListParagraph"/>
        <w:ind w:left="360"/>
        <w:jc w:val="both"/>
        <w:rPr>
          <w:rFonts w:ascii="Times New Roman" w:hAnsi="Times New Roman" w:cs="Times New Roman"/>
        </w:rPr>
      </w:pPr>
    </w:p>
    <w:p w:rsidR="009A41D7" w:rsidRPr="007B2C18" w:rsidP="007B2C18">
      <w:pPr>
        <w:pStyle w:val="ListParagraph"/>
        <w:ind w:left="360"/>
        <w:jc w:val="both"/>
        <w:rPr>
          <w:rFonts w:ascii="Times New Roman" w:hAnsi="Times New Roman" w:cs="Times New Roman"/>
        </w:rPr>
      </w:pPr>
      <w:r>
        <w:rPr>
          <w:rFonts w:ascii="Times New Roman" w:hAnsi="Times New Roman" w:cs="Times New Roman"/>
        </w:rPr>
        <w:t xml:space="preserve">Natural England appear to have their own agenda which varies from advisor to advisor, however there are increasingly more advisors with the same preconceptions who have made their mind up without setting foot on a holding. These personal opinions are preventing improvement with stakeholders instead at logger heads resulting in a battle of wills where no one wins and the environment loses. </w:t>
      </w:r>
      <w:r>
        <w:rPr>
          <w:rFonts w:ascii="Times New Roman" w:hAnsi="Times New Roman" w:cs="Times New Roman"/>
        </w:rPr>
        <w:t>Government employed advisers should be impartial and subjective in their advice.</w:t>
      </w:r>
    </w:p>
    <w:p w:rsidR="009A41D7" w:rsidRPr="007B2C18" w:rsidP="007B2C18">
      <w:pPr>
        <w:pStyle w:val="ListParagraph"/>
        <w:ind w:left="360"/>
        <w:jc w:val="both"/>
        <w:rPr>
          <w:rFonts w:ascii="Times New Roman" w:hAnsi="Times New Roman" w:cs="Times New Roman"/>
          <w:b/>
          <w:bCs/>
        </w:rPr>
      </w:pPr>
    </w:p>
    <w:p w:rsidR="009A41D7" w:rsidRPr="007B2C18" w:rsidP="007B2C18">
      <w:pPr>
        <w:pStyle w:val="ListParagraph"/>
        <w:numPr>
          <w:ilvl w:val="0"/>
          <w:numId w:val="1"/>
        </w:numPr>
        <w:ind w:left="360"/>
        <w:jc w:val="both"/>
        <w:rPr>
          <w:rFonts w:ascii="Times New Roman" w:hAnsi="Times New Roman" w:cs="Times New Roman"/>
          <w:b/>
          <w:bCs/>
        </w:rPr>
      </w:pPr>
      <w:r w:rsidRPr="007B2C18">
        <w:rPr>
          <w:rFonts w:ascii="Times New Roman" w:hAnsi="Times New Roman" w:cs="Times New Roman"/>
          <w:b/>
          <w:bCs/>
        </w:rPr>
        <w:t>How might land use and business changes in the uplands impact rural communities?</w:t>
      </w:r>
    </w:p>
    <w:p w:rsidR="009A41D7" w:rsidP="007B2C18">
      <w:pPr>
        <w:pStyle w:val="ListParagraph"/>
        <w:ind w:left="360"/>
        <w:jc w:val="both"/>
        <w:rPr>
          <w:rFonts w:ascii="Times New Roman" w:hAnsi="Times New Roman" w:cs="Times New Roman"/>
          <w:b/>
          <w:bCs/>
        </w:rPr>
      </w:pPr>
    </w:p>
    <w:p w:rsidR="009A41D7" w:rsidRPr="00CC110F" w:rsidP="00CC110F">
      <w:pPr>
        <w:pStyle w:val="ListParagraph"/>
        <w:ind w:left="360"/>
        <w:jc w:val="both"/>
        <w:rPr>
          <w:rFonts w:ascii="Times New Roman" w:hAnsi="Times New Roman" w:cs="Times New Roman"/>
        </w:rPr>
      </w:pPr>
      <w:r>
        <w:rPr>
          <w:rFonts w:ascii="Times New Roman" w:hAnsi="Times New Roman" w:cs="Times New Roman"/>
        </w:rPr>
        <w:t>Many changes in land use are one directional without significant cost and damage. Wholescale loss of management will cost the environmental gain that was ever thought to have been achieved twice over. Meanwhile the loss of agriculturally productive land and production capability will lead to a reliance on imported food and a loss of jobs, skills and communities. With the change of land use also come the risks of wildfire and flooding – unmanaged land presents uncontrollable dangers to communities as well as</w:t>
      </w:r>
      <w:r>
        <w:rPr>
          <w:rFonts w:ascii="Times New Roman" w:hAnsi="Times New Roman" w:cs="Times New Roman"/>
        </w:rPr>
        <w:t xml:space="preserve"> a loss of rural identity through the loss of jobs and mass migration from the countryside in exchange for residents who do not understand and have no wish to understand the rural landscape. </w:t>
      </w:r>
    </w:p>
    <w:p w:rsidR="009A41D7" w:rsidRPr="007B2C18" w:rsidP="007B2C18">
      <w:pPr>
        <w:pStyle w:val="ListParagraph"/>
        <w:ind w:left="360"/>
        <w:jc w:val="both"/>
        <w:rPr>
          <w:rFonts w:ascii="Times New Roman" w:hAnsi="Times New Roman" w:cs="Times New Roman"/>
          <w:b/>
          <w:bCs/>
        </w:rPr>
      </w:pPr>
    </w:p>
    <w:p w:rsidR="009A41D7" w:rsidP="007B2C18">
      <w:pPr>
        <w:pStyle w:val="ListParagraph"/>
        <w:numPr>
          <w:ilvl w:val="0"/>
          <w:numId w:val="1"/>
        </w:numPr>
        <w:ind w:left="360"/>
        <w:jc w:val="both"/>
        <w:rPr>
          <w:rFonts w:ascii="Times New Roman" w:hAnsi="Times New Roman" w:cs="Times New Roman"/>
          <w:b/>
          <w:bCs/>
        </w:rPr>
      </w:pPr>
      <w:r w:rsidRPr="007B2C18">
        <w:rPr>
          <w:rFonts w:ascii="Times New Roman" w:hAnsi="Times New Roman" w:cs="Times New Roman"/>
          <w:b/>
          <w:bCs/>
        </w:rPr>
        <w:t>How can government policy ensure that rural communities in upland areas benefit from changes?</w:t>
      </w:r>
    </w:p>
    <w:p w:rsidR="009A41D7" w:rsidP="005E4302">
      <w:pPr>
        <w:pStyle w:val="ListParagraph"/>
        <w:ind w:left="360"/>
        <w:jc w:val="both"/>
        <w:rPr>
          <w:rFonts w:ascii="Times New Roman" w:hAnsi="Times New Roman" w:cs="Times New Roman"/>
          <w:b/>
          <w:bCs/>
        </w:rPr>
      </w:pPr>
    </w:p>
    <w:p w:rsidR="009A41D7" w:rsidP="005E4302">
      <w:pPr>
        <w:pStyle w:val="ListParagraph"/>
        <w:ind w:left="360"/>
        <w:jc w:val="both"/>
        <w:rPr>
          <w:rFonts w:ascii="Times New Roman" w:hAnsi="Times New Roman" w:cs="Times New Roman"/>
        </w:rPr>
      </w:pPr>
      <w:r>
        <w:rPr>
          <w:rFonts w:ascii="Times New Roman" w:hAnsi="Times New Roman" w:cs="Times New Roman"/>
        </w:rPr>
        <w:t xml:space="preserve">These environmental outcomes are not achieved through working in silos – a joint up approach with equal opportunities and adequate support for less able applicants is needed. Collaboration in the uplands is required where habitats are connected, offering diversity </w:t>
      </w:r>
      <w:r>
        <w:rPr>
          <w:rFonts w:ascii="Times New Roman" w:hAnsi="Times New Roman" w:cs="Times New Roman"/>
        </w:rPr>
        <w:t xml:space="preserve">across holdings to maximum gain. However, the answer to this is not a landscape recovery scheme in which participants have little control over the scheme design and where no flexibility is included in the scheme – not all eventualities can be planned for – </w:t>
      </w:r>
      <w:r>
        <w:rPr>
          <w:rFonts w:ascii="Times New Roman" w:hAnsi="Times New Roman" w:cs="Times New Roman"/>
        </w:rPr>
        <w:t xml:space="preserve">this is putting good, pragmatic farmers and land managers off entering schemes and opportunities are subsequently lost. </w:t>
      </w:r>
    </w:p>
    <w:p w:rsidR="004001F9" w:rsidP="005E4302">
      <w:pPr>
        <w:pStyle w:val="ListParagraph"/>
        <w:ind w:left="360"/>
        <w:jc w:val="both"/>
        <w:rPr>
          <w:rFonts w:ascii="Times New Roman" w:hAnsi="Times New Roman" w:cs="Times New Roman"/>
        </w:rPr>
      </w:pPr>
    </w:p>
    <w:p w:rsidR="004001F9" w:rsidRPr="004001F9" w:rsidP="005E4302">
      <w:pPr>
        <w:pStyle w:val="ListParagraph"/>
        <w:ind w:left="360"/>
        <w:jc w:val="both"/>
        <w:rPr>
          <w:rFonts w:ascii="Calibri" w:hAnsi="Calibri" w:cs="Calibri"/>
          <w:i/>
          <w:iCs/>
        </w:rPr>
      </w:pPr>
      <w:r w:rsidRPr="004001F9">
        <w:rPr>
          <w:rFonts w:ascii="Calibri" w:hAnsi="Calibri" w:cs="Calibri"/>
          <w:i/>
          <w:iCs/>
        </w:rPr>
        <w:t>June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2836711"/>
    <w:multiLevelType w:val="hybridMultilevel"/>
    <w:tmpl w:val="AD144D9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7B2C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2C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2C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2C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2C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2C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2C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2C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2C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C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2C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2C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2C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2C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2C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2C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2C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2C18"/>
    <w:rPr>
      <w:rFonts w:eastAsiaTheme="majorEastAsia" w:cstheme="majorBidi"/>
      <w:color w:val="272727" w:themeColor="text1" w:themeTint="D8"/>
    </w:rPr>
  </w:style>
  <w:style w:type="paragraph" w:styleId="Title">
    <w:name w:val="Title"/>
    <w:basedOn w:val="Normal"/>
    <w:next w:val="Normal"/>
    <w:link w:val="TitleChar"/>
    <w:uiPriority w:val="10"/>
    <w:qFormat/>
    <w:rsid w:val="007B2C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2C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2C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2C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2C18"/>
    <w:pPr>
      <w:spacing w:before="160"/>
      <w:jc w:val="center"/>
    </w:pPr>
    <w:rPr>
      <w:i/>
      <w:iCs/>
      <w:color w:val="404040" w:themeColor="text1" w:themeTint="BF"/>
    </w:rPr>
  </w:style>
  <w:style w:type="character" w:customStyle="1" w:styleId="QuoteChar">
    <w:name w:val="Quote Char"/>
    <w:basedOn w:val="DefaultParagraphFont"/>
    <w:link w:val="Quote"/>
    <w:uiPriority w:val="29"/>
    <w:rsid w:val="007B2C18"/>
    <w:rPr>
      <w:i/>
      <w:iCs/>
      <w:color w:val="404040" w:themeColor="text1" w:themeTint="BF"/>
    </w:rPr>
  </w:style>
  <w:style w:type="paragraph" w:styleId="ListParagraph">
    <w:name w:val="List Paragraph"/>
    <w:basedOn w:val="Normal"/>
    <w:uiPriority w:val="34"/>
    <w:qFormat/>
    <w:rsid w:val="007B2C18"/>
    <w:pPr>
      <w:ind w:left="720"/>
      <w:contextualSpacing/>
    </w:pPr>
  </w:style>
  <w:style w:type="character" w:styleId="IntenseEmphasis">
    <w:name w:val="Intense Emphasis"/>
    <w:basedOn w:val="DefaultParagraphFont"/>
    <w:uiPriority w:val="21"/>
    <w:qFormat/>
    <w:rsid w:val="007B2C18"/>
    <w:rPr>
      <w:i/>
      <w:iCs/>
      <w:color w:val="0F4761" w:themeColor="accent1" w:themeShade="BF"/>
    </w:rPr>
  </w:style>
  <w:style w:type="paragraph" w:styleId="IntenseQuote">
    <w:name w:val="Intense Quote"/>
    <w:basedOn w:val="Normal"/>
    <w:next w:val="Normal"/>
    <w:link w:val="IntenseQuoteChar"/>
    <w:uiPriority w:val="30"/>
    <w:qFormat/>
    <w:rsid w:val="007B2C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2C18"/>
    <w:rPr>
      <w:i/>
      <w:iCs/>
      <w:color w:val="0F4761" w:themeColor="accent1" w:themeShade="BF"/>
    </w:rPr>
  </w:style>
  <w:style w:type="character" w:styleId="IntenseReference">
    <w:name w:val="Intense Reference"/>
    <w:basedOn w:val="DefaultParagraphFont"/>
    <w:uiPriority w:val="32"/>
    <w:qFormat/>
    <w:rsid w:val="007B2C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LUN0025</dc:title>
  <cp:revision>0</cp:revision>
</cp:coreProperties>
</file>