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6ED1" w:rsidRPr="00396ED1" w:rsidP="00396ED1">
      <w:pPr>
        <w:jc w:val="center"/>
        <w:rPr>
          <w:rFonts w:ascii="Calibri" w:hAnsi="Calibri" w:cs="Calibri"/>
          <w:b/>
          <w:bCs/>
          <w:sz w:val="28"/>
          <w:szCs w:val="28"/>
        </w:rPr>
      </w:pPr>
      <w:r w:rsidRPr="00396ED1">
        <w:rPr>
          <w:rFonts w:ascii="Calibri" w:hAnsi="Calibri" w:cs="Calibri"/>
          <w:b/>
          <w:bCs/>
          <w:sz w:val="28"/>
          <w:szCs w:val="28"/>
        </w:rPr>
        <w:t>Written evidence submitted by The Earl Peel (LUN0024)</w:t>
      </w:r>
    </w:p>
    <w:p w:rsidR="00396ED1" w:rsidP="00A12E8B">
      <w:pPr>
        <w:rPr>
          <w:rFonts w:ascii="Times New Roman" w:hAnsi="Times New Roman" w:cs="Times New Roman"/>
          <w:b/>
          <w:bCs/>
          <w:sz w:val="24"/>
          <w:szCs w:val="24"/>
        </w:rPr>
      </w:pPr>
    </w:p>
    <w:p w:rsidR="00396ED1" w:rsidP="00A12E8B">
      <w:pPr>
        <w:rPr>
          <w:rFonts w:ascii="Times New Roman" w:hAnsi="Times New Roman" w:cs="Times New Roman"/>
          <w:b/>
          <w:bCs/>
          <w:sz w:val="24"/>
          <w:szCs w:val="24"/>
        </w:rPr>
      </w:pPr>
    </w:p>
    <w:p w:rsidR="00CC6373" w:rsidRPr="00A12E8B" w:rsidP="00A12E8B">
      <w:pPr>
        <w:rPr>
          <w:rFonts w:ascii="Times New Roman" w:hAnsi="Times New Roman" w:cs="Times New Roman"/>
          <w:sz w:val="24"/>
          <w:szCs w:val="24"/>
        </w:rPr>
      </w:pPr>
      <w:r w:rsidRPr="00A12E8B">
        <w:rPr>
          <w:rFonts w:ascii="Times New Roman" w:hAnsi="Times New Roman" w:cs="Times New Roman"/>
          <w:b/>
          <w:bCs/>
          <w:sz w:val="24"/>
          <w:szCs w:val="24"/>
        </w:rPr>
        <w:t>Submission to the Environment, Food and Rural Affairs Committee inquiry into the uplands</w:t>
      </w:r>
    </w:p>
    <w:p w:rsidR="00CC6373" w:rsidRPr="00A12E8B" w:rsidP="00A12E8B">
      <w:pPr>
        <w:rPr>
          <w:rFonts w:ascii="Times New Roman" w:hAnsi="Times New Roman" w:cs="Times New Roman"/>
          <w:sz w:val="24"/>
          <w:szCs w:val="24"/>
        </w:rPr>
      </w:pPr>
      <w:r w:rsidRPr="00A12E8B">
        <w:rPr>
          <w:rFonts w:ascii="Times New Roman" w:hAnsi="Times New Roman" w:cs="Times New Roman"/>
          <w:b/>
          <w:bCs/>
          <w:sz w:val="24"/>
          <w:szCs w:val="24"/>
        </w:rPr>
        <w:t>Personal evidence from The Earl Peel</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1. Introduction</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I submit this evidence in a personal capacity, drawing on more than 30 years’ involvement with upland land management</w:t>
      </w:r>
      <w:r>
        <w:rPr>
          <w:rFonts w:ascii="Times New Roman" w:hAnsi="Times New Roman" w:cs="Times New Roman"/>
          <w:sz w:val="24"/>
          <w:szCs w:val="24"/>
        </w:rPr>
        <w:t xml:space="preserve"> on</w:t>
      </w:r>
      <w:r w:rsidRPr="00A12E8B">
        <w:rPr>
          <w:rFonts w:ascii="Times New Roman" w:hAnsi="Times New Roman" w:cs="Times New Roman"/>
          <w:sz w:val="24"/>
          <w:szCs w:val="24"/>
        </w:rPr>
        <w:t xml:space="preserve"> the Gunnerside Estate, </w:t>
      </w:r>
      <w:r>
        <w:rPr>
          <w:rFonts w:ascii="Times New Roman" w:hAnsi="Times New Roman" w:cs="Times New Roman"/>
          <w:sz w:val="24"/>
          <w:szCs w:val="24"/>
        </w:rPr>
        <w:t>and more recently the Grinton Estate, in conjunction with</w:t>
      </w:r>
      <w:r w:rsidRPr="00A12E8B">
        <w:rPr>
          <w:rFonts w:ascii="Times New Roman" w:hAnsi="Times New Roman" w:cs="Times New Roman"/>
          <w:sz w:val="24"/>
          <w:szCs w:val="24"/>
        </w:rPr>
        <w:t xml:space="preserve"> the Game &amp; Wildlife Conservation Trust</w:t>
      </w:r>
      <w:r>
        <w:rPr>
          <w:rFonts w:ascii="Times New Roman" w:hAnsi="Times New Roman" w:cs="Times New Roman"/>
          <w:sz w:val="24"/>
          <w:szCs w:val="24"/>
        </w:rPr>
        <w:t>, of which I was Chairman for 7 years.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 xml:space="preserve">My evidence focuses on the practical relationship between land management, grouse moor economics, habitat condition, predator control, heather management, public funding and biodiversity outcomes. I do not pretend that </w:t>
      </w:r>
      <w:r>
        <w:rPr>
          <w:rFonts w:ascii="Times New Roman" w:hAnsi="Times New Roman" w:cs="Times New Roman"/>
          <w:sz w:val="24"/>
          <w:szCs w:val="24"/>
        </w:rPr>
        <w:t xml:space="preserve">all </w:t>
      </w:r>
      <w:r w:rsidRPr="00A12E8B">
        <w:rPr>
          <w:rFonts w:ascii="Times New Roman" w:hAnsi="Times New Roman" w:cs="Times New Roman"/>
          <w:sz w:val="24"/>
          <w:szCs w:val="24"/>
        </w:rPr>
        <w:t xml:space="preserve">upland </w:t>
      </w:r>
      <w:r>
        <w:rPr>
          <w:rFonts w:ascii="Times New Roman" w:hAnsi="Times New Roman" w:cs="Times New Roman"/>
          <w:sz w:val="24"/>
          <w:szCs w:val="24"/>
        </w:rPr>
        <w:t>areas are uniform</w:t>
      </w:r>
      <w:r w:rsidRPr="00A12E8B">
        <w:rPr>
          <w:rFonts w:ascii="Times New Roman" w:hAnsi="Times New Roman" w:cs="Times New Roman"/>
          <w:sz w:val="24"/>
          <w:szCs w:val="24"/>
        </w:rPr>
        <w:t xml:space="preserve">, or that one model of management should be applied everywhere. My central point is that upland policy will fail if it is </w:t>
      </w:r>
      <w:r>
        <w:rPr>
          <w:rFonts w:ascii="Times New Roman" w:hAnsi="Times New Roman" w:cs="Times New Roman"/>
          <w:sz w:val="24"/>
          <w:szCs w:val="24"/>
        </w:rPr>
        <w:t>devised</w:t>
      </w:r>
      <w:r w:rsidRPr="00A12E8B">
        <w:rPr>
          <w:rFonts w:ascii="Times New Roman" w:hAnsi="Times New Roman" w:cs="Times New Roman"/>
          <w:sz w:val="24"/>
          <w:szCs w:val="24"/>
        </w:rPr>
        <w:t xml:space="preserve"> without those who manage the land</w:t>
      </w:r>
      <w:r>
        <w:rPr>
          <w:rFonts w:ascii="Times New Roman" w:hAnsi="Times New Roman" w:cs="Times New Roman"/>
          <w:sz w:val="24"/>
          <w:szCs w:val="24"/>
        </w:rPr>
        <w:t>,</w:t>
      </w:r>
      <w:r w:rsidRPr="00A12E8B">
        <w:rPr>
          <w:rFonts w:ascii="Times New Roman" w:hAnsi="Times New Roman" w:cs="Times New Roman"/>
          <w:sz w:val="24"/>
          <w:szCs w:val="24"/>
        </w:rPr>
        <w:t xml:space="preserve"> and without a clear test of whether policy is delivering </w:t>
      </w:r>
      <w:r>
        <w:rPr>
          <w:rFonts w:ascii="Times New Roman" w:hAnsi="Times New Roman" w:cs="Times New Roman"/>
          <w:sz w:val="24"/>
          <w:szCs w:val="24"/>
        </w:rPr>
        <w:t xml:space="preserve">positive results </w:t>
      </w:r>
      <w:r w:rsidRPr="00A12E8B">
        <w:rPr>
          <w:rFonts w:ascii="Times New Roman" w:hAnsi="Times New Roman" w:cs="Times New Roman"/>
          <w:sz w:val="24"/>
          <w:szCs w:val="24"/>
        </w:rPr>
        <w:t>on the ground.</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uplands are not unmanaged wildernesses. They are living, working landscapes shaped by farming, grazing, keepering, heather management, sporting interests, conservation work, water management and private investment over many generations. Their future depends on policy that understands that reality.</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2. Summary of evidence</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My evidence can be summarised as follows.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First, public policy has previously damaged upland habitats, including through incentives that encouraged overgrazing. Policymakers should be cautious about imposing broad prescriptions without understanding their practical consequences.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Second, active land management has often been essential to maintaining heather moorland, ground-nesting birds and the economic basis for conservation work in the uplands.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Third, habitat restoration alone will not necessarily deliver wildlife recovery. It must be accompanied by proper monitoring, clear targets and, where necessary, lawful predator control and vegetation management.</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Fourth, grouse moor management has provided a private financial incentive to maintain valuable habitats and skilled people on the land. That contribution should be recognised and improved where necessary, not dismissed.</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Fifth, agri-environment and restoration schemes should be judged by measurable outcomes, not simply by the existence of prescriptions, agreements or expenditure.</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Sixth, future policy should be science-led, practical, locally informed and developed with land managers and farmers rather than imposed upon them.</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3. Public policy and unintended consequences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My early experience at Gunnerside taught me that public policy can have serious unintended consequences in the uplands. When I inherited the estate, farming rents alone were not sufficient to maintain the moorland economy. Grouse shooting appeared to be the only viable financial basis for managing the heather moorland, yet the heather was being severely damaged by overgrazing.</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That overgrazing was not simply the fault of individual land managers. It was encouraged by the policy framework of the time, including public subsidy arrangements that rewarded stocking levels which the habitat could not sustain. The result was a perverse situation: private individuals were trying to protect what they understood to be internationally important habitat, while public money was helping to damage it. Later, further public money was needed to reduce the damage caused by the earlier incentive st</w:t>
      </w:r>
      <w:r w:rsidRPr="00A12E8B">
        <w:rPr>
          <w:rFonts w:ascii="Times New Roman" w:hAnsi="Times New Roman" w:cs="Times New Roman"/>
          <w:sz w:val="24"/>
          <w:szCs w:val="24"/>
        </w:rPr>
        <w:t>ructure.</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That history matters. It shows that well-intentioned policy can produce harmful environmental results if it is not grounded in practical land-management knowledge. It also shows why upland policy should be assessed not only by intention, but by its actual consequences for vegetation, wildlife, businesses and the people who manage the land.</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Committee should therefore be wary of any policy approach that assumes central prescription will automatically improve upland outcomes. The uplands are too varied, too economically fragile and too operationally complex for that.</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4. The importance of practical science</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One of the reasons I became involved with what is now the Game &amp; Wildlife Conservation Trust was that the practical questions facing moorland managers were not abstract. Grouse cycles, disease, predation, grazing pressure and heather condition all affected whether a moor could be managed successfully.</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North of England Grouse Research Project was important because it brought scientific attention to practical management questions arising on the ground. That is the sort of research which upland policy still needs: applied, field-based, honest about trade-offs, and capable of informing decisions that land managers can actually implement.</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Science should not be used merely to justify a predetermined policy direction. It should test what works, where it works, under what conditions, and at what cost. In the uplands, the same intervention may have different consequences depending on soil, slope, rainfall, grazing, vegetation age, access, wildfire risk, species present and the economic system supporting management.</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For that reason, practical land managers should not be treated simply as consultees at the end of a process. They should be involved from the start in framing the questions, identifying the risks and testing whether proposed policy can work in real landscapes.</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5. Habitat prescriptions are not enough</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Good habitat is essential, but habitat alone is not always sufficient. I have seen places where money was being spent on habitat management, yet the expected bird life was absent. That should concern anyone interested in value for money, biodiversity recovery or public confidence in agri-environment spending.</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A restoration scheme may look satisfactory on paper. It may have prescriptions, payments and compliance checks. But the real question is whether it delivers. Are breeding birds present? Are they breeding successfully? Is the vegetation in the right condition? Is predator pressure being addressed? Is wildfire risk being reduced or increased? Are the people needed to maintain the work still present on the land?</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Public schemes should therefore be monitored against outcomes, not just activities. Government should not be satisfied because a plan has been written, a payment has been made or a prescription has been followed. It should ask whether the scheme has delivered wildlife, habitat condition, resilience and long-term stewardship.</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This is particularly important in the uplands, where the withdrawal or dilution of management can have serious consequences. Tall, rank or degenerate vegetation may not provide the conditions needed by key species. Accumulated vegetation can also increase wildfire risk. The absence of management should not be treated as a neutral baseline.</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6. Predator control and ground-nesting birds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Predator control remains one of the most difficult issues in conservation policy, but it should be discussed honestly. In my experience, and from the practical research with which I have been associated, habitat management alone will often not deliver the wildlife potential of the countryside, particularly for ground-nesting birds.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Where the objective is to recover species such as curlew, lapwing, golden plover and other ground-nesting birds, policy must consider breeding success. If birds do not survive to breed successfully, the presence of apparently suitable habitat will not by itself deliver recovery.</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 xml:space="preserve">The Committee should recommend that government treats predator control as a legitimate </w:t>
      </w:r>
      <w:r>
        <w:rPr>
          <w:rFonts w:ascii="Times New Roman" w:hAnsi="Times New Roman" w:cs="Times New Roman"/>
          <w:sz w:val="24"/>
          <w:szCs w:val="24"/>
        </w:rPr>
        <w:t xml:space="preserve">and vital </w:t>
      </w:r>
      <w:r w:rsidRPr="00A12E8B">
        <w:rPr>
          <w:rFonts w:ascii="Times New Roman" w:hAnsi="Times New Roman" w:cs="Times New Roman"/>
          <w:sz w:val="24"/>
          <w:szCs w:val="24"/>
        </w:rPr>
        <w:t>conservation tool where evidence supports its use and where it is carried out lawfully and responsibly.</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7. Heather management and active moorland stewardship</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Heather moorland is a managed habitat. Its condition depends on grazing, cutting, burning where appropriate, control of scrub and bracken, access management and the presence of skilled people on the land.</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debate about heather management is too often framed as though intervention is inherently harmful and non-intervention is inherently beneficial. That is too simple. There are circumstances where burning is inappropriate, and there are circumstances where cutting, grazing, rewetting or other methods may be preferable. But it is equally wrong to assume that removing traditional management tools will automatically improve the condition of the uplands.</w:t>
      </w:r>
      <w:r>
        <w:rPr>
          <w:rFonts w:ascii="Times New Roman" w:hAnsi="Times New Roman" w:cs="Times New Roman"/>
          <w:sz w:val="24"/>
          <w:szCs w:val="24"/>
        </w:rPr>
        <w:t xml:space="preserve">  It is worth remembering that the original SSSI designations were formed on the basis of scientists such as Derek Yalden who showed the importance of burning as a means of providing the vegetation mosaic</w:t>
      </w:r>
      <w:r>
        <w:rPr>
          <w:rFonts w:ascii="Times New Roman" w:hAnsi="Times New Roman" w:cs="Times New Roman"/>
          <w:sz w:val="24"/>
          <w:szCs w:val="24"/>
        </w:rPr>
        <w:t xml:space="preserve"> that supported such birds as golden plover and curlew.</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 xml:space="preserve">A varied vegetation structure can provide ecological benefits, support grouse and other species, reduce fuel continuity and maintain access for management and fire response. Policy should therefore retain a </w:t>
      </w:r>
      <w:r>
        <w:rPr>
          <w:rFonts w:ascii="Times New Roman" w:hAnsi="Times New Roman" w:cs="Times New Roman"/>
          <w:sz w:val="24"/>
          <w:szCs w:val="24"/>
        </w:rPr>
        <w:t>multiple</w:t>
      </w:r>
      <w:r w:rsidRPr="00A12E8B">
        <w:rPr>
          <w:rFonts w:ascii="Times New Roman" w:hAnsi="Times New Roman" w:cs="Times New Roman"/>
          <w:sz w:val="24"/>
          <w:szCs w:val="24"/>
        </w:rPr>
        <w:t xml:space="preserve"> approach. Land managers should be able to use the method most appropriate to the site, subject to safeguards, evidence and proper oversight.</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key question should not be whether a particular practice is favoured or disliked in the abstract. The question should be whether, in a given place, it helps deliver better outcomes for habitat, wildlife, wildfire resilience and long-term management capacity.</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8. Managed and unmanaged moorland: a practical comparison</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One practical comparison has stayed with me. On one visit to a heather moor in North Wales, I found very little bird life despite the existence of a stewardship arrangement. The moor was no longer actively keepered for grouse. The heather was tall and degenerate, and there was little obvious sign that the scheme was delivering the bird life one might have expected from such a landscape.</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 xml:space="preserve">Shortly afterwards, </w:t>
      </w:r>
      <w:r>
        <w:rPr>
          <w:rFonts w:ascii="Times New Roman" w:hAnsi="Times New Roman" w:cs="Times New Roman"/>
          <w:sz w:val="24"/>
          <w:szCs w:val="24"/>
        </w:rPr>
        <w:t xml:space="preserve">when </w:t>
      </w:r>
      <w:r w:rsidRPr="00A12E8B">
        <w:rPr>
          <w:rFonts w:ascii="Times New Roman" w:hAnsi="Times New Roman" w:cs="Times New Roman"/>
          <w:sz w:val="24"/>
          <w:szCs w:val="24"/>
        </w:rPr>
        <w:t xml:space="preserve">back on </w:t>
      </w:r>
      <w:r>
        <w:rPr>
          <w:rFonts w:ascii="Times New Roman" w:hAnsi="Times New Roman" w:cs="Times New Roman"/>
          <w:sz w:val="24"/>
          <w:szCs w:val="24"/>
        </w:rPr>
        <w:t xml:space="preserve">my own patch high up in the </w:t>
      </w:r>
      <w:r w:rsidRPr="00A12E8B">
        <w:rPr>
          <w:rFonts w:ascii="Times New Roman" w:hAnsi="Times New Roman" w:cs="Times New Roman"/>
          <w:sz w:val="24"/>
          <w:szCs w:val="24"/>
        </w:rPr>
        <w:t>Pennine</w:t>
      </w:r>
      <w:r>
        <w:rPr>
          <w:rFonts w:ascii="Times New Roman" w:hAnsi="Times New Roman" w:cs="Times New Roman"/>
          <w:sz w:val="24"/>
          <w:szCs w:val="24"/>
        </w:rPr>
        <w:t xml:space="preserve">s, </w:t>
      </w:r>
      <w:r w:rsidRPr="00A12E8B">
        <w:rPr>
          <w:rFonts w:ascii="Times New Roman" w:hAnsi="Times New Roman" w:cs="Times New Roman"/>
          <w:sz w:val="24"/>
          <w:szCs w:val="24"/>
        </w:rPr>
        <w:t>the contrast was striking. The abundance of bird song and displaying pairs demonstrated what active management can help sustain</w:t>
      </w:r>
      <w:r>
        <w:rPr>
          <w:rFonts w:ascii="Times New Roman" w:hAnsi="Times New Roman" w:cs="Times New Roman"/>
          <w:sz w:val="24"/>
          <w:szCs w:val="24"/>
        </w:rPr>
        <w:t xml:space="preserve"> and it is worth reflecting on the fact that there is no longer a viable population of upland waders outside of the managed grouse moors.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I offer that comparison not as a substitute for scientific evidence, but as practical experience consistent with a wider point: habitat condition, predator control, vegetation structure and active management can determine whether upland habitat supports birds in practice.</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This is why policy should be tested against real-world outcomes. It is not enough for a scheme to appear environmentally desirable in theory. It must deliver nature in fact.</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9. Economic viability and private investment</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economic basis of upland management matters. Grouse moor management has provided one of the few private financial incentives to improve and maintain valuable upland habitats without relying entirely on public money.</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That does not mean every aspect of grouse moor management should be beyond scrutiny. No land use should be. But it does mean government should recognise the conservation value that can flow from economically viable management systems: keepers on the ground, habitat work, predator control, wildfire response, monitoring, access maintenance, peatland restoration and rural employment.</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If policy removes the economic basis for that work without replacing the capacity it supports, the result may not be better conservation. It may be fewer skilled people, less private investment, weaker local knowledge, reduced management and poorer outcomes.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Committee should therefore ask not only what government wishes to restrict, but what capacity would be lost as a result, who would replace it, who would pay for it, and whether the replacement would be as effective.</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10. Hen harrier and conflict resolution</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hen harrier illustrates the wider challenge of conservation in working landscapes. The species should be respected and protected as part of the upland ecosystem. At the same time, policy must recognise the wider ecological and economic benefits associated with managed grouse moors.</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The answer is not to pretend that conflict does not exist. Nor is it to allow one species issue to undermine all the benefits that can arise from active management. Lasting recovery requires practical conflict-resolution mechanisms that maintain confidence among land managers while protecting the species and supporting its recovery.</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That principle applies more widely. Conservation policy succeeds when it creates conditions in which those who manage the land are willing and able to deliver recovery. It fails when it treats them as obstacles.</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11. Recommendations to the Committee</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I invite the Committee to recommend that government:</w:t>
      </w:r>
    </w:p>
    <w:p w:rsidR="00CC6373" w:rsidRPr="00A12E8B" w:rsidP="00A12E8B">
      <w:pPr>
        <w:numPr>
          <w:ilvl w:val="0"/>
          <w:numId w:val="1"/>
        </w:numPr>
        <w:rPr>
          <w:rFonts w:ascii="Times New Roman" w:hAnsi="Times New Roman" w:cs="Times New Roman"/>
          <w:sz w:val="24"/>
          <w:szCs w:val="24"/>
        </w:rPr>
      </w:pPr>
      <w:r w:rsidRPr="00A12E8B">
        <w:rPr>
          <w:rFonts w:ascii="Times New Roman" w:hAnsi="Times New Roman" w:cs="Times New Roman"/>
          <w:sz w:val="24"/>
          <w:szCs w:val="24"/>
        </w:rPr>
        <w:t>Treat the uplands as living, working landscapes requiring active management, not as passive wilderness.</w:t>
      </w:r>
    </w:p>
    <w:p w:rsidR="00CC6373" w:rsidRPr="00A12E8B" w:rsidP="00A12E8B">
      <w:pPr>
        <w:numPr>
          <w:ilvl w:val="0"/>
          <w:numId w:val="1"/>
        </w:numPr>
        <w:rPr>
          <w:rFonts w:ascii="Times New Roman" w:hAnsi="Times New Roman" w:cs="Times New Roman"/>
          <w:sz w:val="24"/>
          <w:szCs w:val="24"/>
        </w:rPr>
      </w:pPr>
      <w:r w:rsidRPr="00A12E8B">
        <w:rPr>
          <w:rFonts w:ascii="Times New Roman" w:hAnsi="Times New Roman" w:cs="Times New Roman"/>
          <w:sz w:val="24"/>
          <w:szCs w:val="24"/>
        </w:rPr>
        <w:t>Ensure agri-environment and restoration schemes are judged by measurable outcomes, including breeding birds, habitat condition, vegetation structure, wildfire resilience and long-term stewardship capacity.</w:t>
      </w:r>
    </w:p>
    <w:p w:rsidR="00CC6373" w:rsidRPr="00A12E8B" w:rsidP="00A12E8B">
      <w:pPr>
        <w:numPr>
          <w:ilvl w:val="0"/>
          <w:numId w:val="1"/>
        </w:numPr>
        <w:rPr>
          <w:rFonts w:ascii="Times New Roman" w:hAnsi="Times New Roman" w:cs="Times New Roman"/>
          <w:sz w:val="24"/>
          <w:szCs w:val="24"/>
        </w:rPr>
      </w:pPr>
      <w:r w:rsidRPr="00A12E8B">
        <w:rPr>
          <w:rFonts w:ascii="Times New Roman" w:hAnsi="Times New Roman" w:cs="Times New Roman"/>
          <w:sz w:val="24"/>
          <w:szCs w:val="24"/>
        </w:rPr>
        <w:t>Recognise lawful predator control, grazing, heather management, keepering and controlled burning where appropriate as potential conservation tools, rather than treating them as problems in themselves.</w:t>
      </w:r>
    </w:p>
    <w:p w:rsidR="00CC6373" w:rsidRPr="00A12E8B" w:rsidP="00A12E8B">
      <w:pPr>
        <w:numPr>
          <w:ilvl w:val="0"/>
          <w:numId w:val="1"/>
        </w:numPr>
        <w:rPr>
          <w:rFonts w:ascii="Times New Roman" w:hAnsi="Times New Roman" w:cs="Times New Roman"/>
          <w:sz w:val="24"/>
          <w:szCs w:val="24"/>
        </w:rPr>
      </w:pPr>
      <w:r w:rsidRPr="00A12E8B">
        <w:rPr>
          <w:rFonts w:ascii="Times New Roman" w:hAnsi="Times New Roman" w:cs="Times New Roman"/>
          <w:sz w:val="24"/>
          <w:szCs w:val="24"/>
        </w:rPr>
        <w:t xml:space="preserve">Require public bodies to assess the practical consequences of restricting established land-management </w:t>
      </w:r>
      <w:r>
        <w:rPr>
          <w:rFonts w:ascii="Times New Roman" w:hAnsi="Times New Roman" w:cs="Times New Roman"/>
          <w:sz w:val="24"/>
          <w:szCs w:val="24"/>
        </w:rPr>
        <w:t>practices</w:t>
      </w:r>
      <w:r w:rsidRPr="00A12E8B">
        <w:rPr>
          <w:rFonts w:ascii="Times New Roman" w:hAnsi="Times New Roman" w:cs="Times New Roman"/>
          <w:sz w:val="24"/>
          <w:szCs w:val="24"/>
        </w:rPr>
        <w:t>, including effects on wildfire risk, rural employment, private investment and species outcomes.</w:t>
      </w:r>
    </w:p>
    <w:p w:rsidR="00CC6373" w:rsidRPr="00A12E8B" w:rsidP="00A12E8B">
      <w:pPr>
        <w:numPr>
          <w:ilvl w:val="0"/>
          <w:numId w:val="1"/>
        </w:numPr>
        <w:rPr>
          <w:rFonts w:ascii="Times New Roman" w:hAnsi="Times New Roman" w:cs="Times New Roman"/>
          <w:sz w:val="24"/>
          <w:szCs w:val="24"/>
        </w:rPr>
      </w:pPr>
      <w:r w:rsidRPr="00A12E8B">
        <w:rPr>
          <w:rFonts w:ascii="Times New Roman" w:hAnsi="Times New Roman" w:cs="Times New Roman"/>
          <w:sz w:val="24"/>
          <w:szCs w:val="24"/>
        </w:rPr>
        <w:t>Support applied research that tests land-management interventions in real upland conditions and involves land managers from the outset.</w:t>
      </w:r>
    </w:p>
    <w:p w:rsidR="00CC6373" w:rsidRPr="00A12E8B" w:rsidP="00A12E8B">
      <w:pPr>
        <w:numPr>
          <w:ilvl w:val="0"/>
          <w:numId w:val="1"/>
        </w:numPr>
        <w:rPr>
          <w:rFonts w:ascii="Times New Roman" w:hAnsi="Times New Roman" w:cs="Times New Roman"/>
          <w:sz w:val="24"/>
          <w:szCs w:val="24"/>
        </w:rPr>
      </w:pPr>
      <w:r w:rsidRPr="00A12E8B">
        <w:rPr>
          <w:rFonts w:ascii="Times New Roman" w:hAnsi="Times New Roman" w:cs="Times New Roman"/>
          <w:sz w:val="24"/>
          <w:szCs w:val="24"/>
        </w:rPr>
        <w:t>Ensure funding schemes support the people and businesses needed to deliver long-term management, not only capital works or short-term restoration activity.</w:t>
      </w:r>
    </w:p>
    <w:p w:rsidR="00CC6373" w:rsidRPr="00A12E8B" w:rsidP="00A12E8B">
      <w:pPr>
        <w:numPr>
          <w:ilvl w:val="0"/>
          <w:numId w:val="1"/>
        </w:numPr>
        <w:rPr>
          <w:rFonts w:ascii="Times New Roman" w:hAnsi="Times New Roman" w:cs="Times New Roman"/>
          <w:sz w:val="24"/>
          <w:szCs w:val="24"/>
        </w:rPr>
      </w:pPr>
      <w:r w:rsidRPr="00A12E8B">
        <w:rPr>
          <w:rFonts w:ascii="Times New Roman" w:hAnsi="Times New Roman" w:cs="Times New Roman"/>
          <w:sz w:val="24"/>
          <w:szCs w:val="24"/>
        </w:rPr>
        <w:t>Develop upland policy with farmers, gamekeepers, landowners, tenants, commoners, applied scientists, fire services and local authorities as delivery partners.</w:t>
      </w:r>
    </w:p>
    <w:p w:rsidR="00CC6373" w:rsidRPr="00A12E8B" w:rsidP="00A12E8B">
      <w:pPr>
        <w:numPr>
          <w:ilvl w:val="0"/>
          <w:numId w:val="1"/>
        </w:numPr>
        <w:rPr>
          <w:rFonts w:ascii="Times New Roman" w:hAnsi="Times New Roman" w:cs="Times New Roman"/>
          <w:sz w:val="24"/>
          <w:szCs w:val="24"/>
        </w:rPr>
      </w:pPr>
      <w:r w:rsidRPr="00A12E8B">
        <w:rPr>
          <w:rFonts w:ascii="Times New Roman" w:hAnsi="Times New Roman" w:cs="Times New Roman"/>
          <w:sz w:val="24"/>
          <w:szCs w:val="24"/>
        </w:rPr>
        <w:t>Make outcome monitoring central to upland policy, so that public funding and regulation are assessed by what they achieve, not by the process they create.</w:t>
      </w:r>
    </w:p>
    <w:p w:rsidR="00CC6373" w:rsidRPr="00A12E8B" w:rsidP="00A12E8B">
      <w:pPr>
        <w:rPr>
          <w:rFonts w:ascii="Times New Roman" w:hAnsi="Times New Roman" w:cs="Times New Roman"/>
          <w:b/>
          <w:bCs/>
          <w:sz w:val="24"/>
          <w:szCs w:val="24"/>
        </w:rPr>
      </w:pPr>
      <w:r w:rsidRPr="00A12E8B">
        <w:rPr>
          <w:rFonts w:ascii="Times New Roman" w:hAnsi="Times New Roman" w:cs="Times New Roman"/>
          <w:b/>
          <w:bCs/>
          <w:sz w:val="24"/>
          <w:szCs w:val="24"/>
        </w:rPr>
        <w:t>12. Conclusion</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My central point is simple. The uplands will not be improved by policy that ignores practical land management. They need science, monitoring, common sense, economic viability and the confidence of those who manage them every day.</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A non-interventionist approach may sound attractive, but in many parts of the British countryside it is not a route to recovery. We live in a man-made environment. If we want more wildlife, better habitats, resilient moorlands and thriving rural communities, we must remain proactive.</w:t>
      </w:r>
    </w:p>
    <w:p w:rsidR="00CC6373" w:rsidRPr="00A12E8B" w:rsidP="00A12E8B">
      <w:pPr>
        <w:rPr>
          <w:rFonts w:ascii="Times New Roman" w:hAnsi="Times New Roman" w:cs="Times New Roman"/>
          <w:sz w:val="24"/>
          <w:szCs w:val="24"/>
        </w:rPr>
      </w:pPr>
      <w:r w:rsidRPr="00A12E8B">
        <w:rPr>
          <w:rFonts w:ascii="Times New Roman" w:hAnsi="Times New Roman" w:cs="Times New Roman"/>
          <w:sz w:val="24"/>
          <w:szCs w:val="24"/>
        </w:rPr>
        <w:t>Government should work with land managers and farmers, not against them. It should be prepared to follow the evidence even where the conclusions are uncomfortable. Above all, it should judge policy by the condition of the land and the wildlife it supports.</w:t>
      </w:r>
    </w:p>
    <w:p w:rsidR="00CC6373">
      <w:pPr>
        <w:rPr>
          <w:rFonts w:ascii="Times New Roman" w:hAnsi="Times New Roman" w:cs="Times New Roman"/>
          <w:sz w:val="24"/>
          <w:szCs w:val="24"/>
        </w:rPr>
      </w:pPr>
      <w:r>
        <w:rPr>
          <w:rFonts w:ascii="Times New Roman" w:hAnsi="Times New Roman" w:cs="Times New Roman"/>
          <w:sz w:val="24"/>
          <w:szCs w:val="24"/>
        </w:rPr>
        <w:t>I hope you find my submission of some use in coming to your recommendations.</w:t>
      </w:r>
    </w:p>
    <w:p w:rsidR="00396ED1">
      <w:pPr>
        <w:rPr>
          <w:rFonts w:ascii="Times New Roman" w:hAnsi="Times New Roman" w:cs="Times New Roman"/>
          <w:sz w:val="24"/>
          <w:szCs w:val="24"/>
        </w:rPr>
      </w:pPr>
    </w:p>
    <w:p w:rsidR="00396ED1" w:rsidRPr="00396ED1">
      <w:pPr>
        <w:rPr>
          <w:rFonts w:ascii="Times New Roman" w:hAnsi="Times New Roman" w:cs="Times New Roman"/>
          <w:i/>
          <w:iCs/>
          <w:sz w:val="24"/>
          <w:szCs w:val="24"/>
        </w:rPr>
      </w:pPr>
      <w:r w:rsidRPr="00396ED1">
        <w:rPr>
          <w:rFonts w:ascii="Times New Roman" w:hAnsi="Times New Roman" w:cs="Times New Roman"/>
          <w:i/>
          <w:iCs/>
          <w:sz w:val="24"/>
          <w:szCs w:val="24"/>
        </w:rP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14F44C7"/>
    <w:multiLevelType w:val="multilevel"/>
    <w:tmpl w:val="7C229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12E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2E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2E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2E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2E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2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E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2E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2E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2E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2E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2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E8B"/>
    <w:rPr>
      <w:rFonts w:eastAsiaTheme="majorEastAsia" w:cstheme="majorBidi"/>
      <w:color w:val="272727" w:themeColor="text1" w:themeTint="D8"/>
    </w:rPr>
  </w:style>
  <w:style w:type="paragraph" w:styleId="Title">
    <w:name w:val="Title"/>
    <w:basedOn w:val="Normal"/>
    <w:next w:val="Normal"/>
    <w:link w:val="TitleChar"/>
    <w:uiPriority w:val="10"/>
    <w:qFormat/>
    <w:rsid w:val="00A12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E8B"/>
    <w:pPr>
      <w:spacing w:before="160"/>
      <w:jc w:val="center"/>
    </w:pPr>
    <w:rPr>
      <w:i/>
      <w:iCs/>
      <w:color w:val="404040" w:themeColor="text1" w:themeTint="BF"/>
    </w:rPr>
  </w:style>
  <w:style w:type="character" w:customStyle="1" w:styleId="QuoteChar">
    <w:name w:val="Quote Char"/>
    <w:basedOn w:val="DefaultParagraphFont"/>
    <w:link w:val="Quote"/>
    <w:uiPriority w:val="29"/>
    <w:rsid w:val="00A12E8B"/>
    <w:rPr>
      <w:i/>
      <w:iCs/>
      <w:color w:val="404040" w:themeColor="text1" w:themeTint="BF"/>
    </w:rPr>
  </w:style>
  <w:style w:type="paragraph" w:styleId="ListParagraph">
    <w:name w:val="List Paragraph"/>
    <w:basedOn w:val="Normal"/>
    <w:uiPriority w:val="34"/>
    <w:qFormat/>
    <w:rsid w:val="00A12E8B"/>
    <w:pPr>
      <w:ind w:left="720"/>
      <w:contextualSpacing/>
    </w:pPr>
  </w:style>
  <w:style w:type="character" w:styleId="IntenseEmphasis">
    <w:name w:val="Intense Emphasis"/>
    <w:basedOn w:val="DefaultParagraphFont"/>
    <w:uiPriority w:val="21"/>
    <w:qFormat/>
    <w:rsid w:val="00A12E8B"/>
    <w:rPr>
      <w:i/>
      <w:iCs/>
      <w:color w:val="2F5496" w:themeColor="accent1" w:themeShade="BF"/>
    </w:rPr>
  </w:style>
  <w:style w:type="paragraph" w:styleId="IntenseQuote">
    <w:name w:val="Intense Quote"/>
    <w:basedOn w:val="Normal"/>
    <w:next w:val="Normal"/>
    <w:link w:val="IntenseQuoteChar"/>
    <w:uiPriority w:val="30"/>
    <w:qFormat/>
    <w:rsid w:val="00A12E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2E8B"/>
    <w:rPr>
      <w:i/>
      <w:iCs/>
      <w:color w:val="2F5496" w:themeColor="accent1" w:themeShade="BF"/>
    </w:rPr>
  </w:style>
  <w:style w:type="character" w:styleId="IntenseReference">
    <w:name w:val="Intense Reference"/>
    <w:basedOn w:val="DefaultParagraphFont"/>
    <w:uiPriority w:val="32"/>
    <w:qFormat/>
    <w:rsid w:val="00A12E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LUN0024</dc:title>
  <cp:revision>0</cp:revision>
</cp:coreProperties>
</file>