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105D0" w:rsidRPr="00A105D0" w:rsidP="00A105D0">
      <w:pPr>
        <w:spacing w:before="100" w:beforeAutospacing="1" w:after="100" w:afterAutospacing="1"/>
        <w:jc w:val="center"/>
        <w:rPr>
          <w:rFonts w:ascii="Aptos" w:eastAsia="Times New Roman" w:hAnsi="Aptos" w:cs="Times New Roman"/>
          <w:b/>
          <w:bCs/>
          <w:color w:val="000000"/>
          <w:kern w:val="0"/>
          <w:sz w:val="26"/>
          <w:szCs w:val="26"/>
          <w:lang w:eastAsia="en-GB"/>
        </w:rPr>
      </w:pPr>
      <w:r w:rsidRPr="00A105D0">
        <w:rPr>
          <w:rFonts w:ascii="Aptos" w:eastAsia="Times New Roman" w:hAnsi="Aptos" w:cs="Times New Roman"/>
          <w:b/>
          <w:bCs/>
          <w:color w:val="000000"/>
          <w:kern w:val="0"/>
          <w:sz w:val="26"/>
          <w:szCs w:val="26"/>
          <w:lang w:eastAsia="en-GB"/>
        </w:rPr>
        <w:t>Written evidence submitted by Drusilla Butterfield (LUN0023)</w:t>
      </w:r>
    </w:p>
    <w:p w:rsidR="00A105D0" w:rsidP="00820088">
      <w:pPr>
        <w:spacing w:before="100" w:beforeAutospacing="1" w:after="100" w:afterAutospacing="1"/>
        <w:rPr>
          <w:rFonts w:ascii="Aptos" w:eastAsia="Times New Roman" w:hAnsi="Aptos" w:cs="Times New Roman"/>
          <w:b/>
          <w:bCs/>
          <w:color w:val="000000"/>
          <w:kern w:val="0"/>
          <w:lang w:eastAsia="en-GB"/>
        </w:rPr>
      </w:pPr>
    </w:p>
    <w:p w:rsidR="001A5C09" w:rsidRPr="00820088" w:rsidP="00820088">
      <w:pPr>
        <w:spacing w:before="100" w:beforeAutospacing="1" w:after="100" w:afterAutospacing="1"/>
        <w:rPr>
          <w:rFonts w:ascii="Aptos" w:eastAsia="Times New Roman" w:hAnsi="Aptos" w:cs="Times New Roman"/>
          <w:color w:val="000000"/>
          <w:kern w:val="0"/>
          <w:lang w:eastAsia="en-GB"/>
        </w:rPr>
      </w:pPr>
      <w:r w:rsidRPr="00820088">
        <w:rPr>
          <w:rFonts w:ascii="Aptos" w:eastAsia="Times New Roman" w:hAnsi="Aptos" w:cs="Times New Roman"/>
          <w:b/>
          <w:bCs/>
          <w:color w:val="000000"/>
          <w:kern w:val="0"/>
          <w:lang w:eastAsia="en-GB"/>
        </w:rPr>
        <w:t xml:space="preserve">Evidence submission: </w:t>
      </w:r>
      <w:r>
        <w:rPr>
          <w:rFonts w:ascii="Aptos" w:eastAsia="Times New Roman" w:hAnsi="Aptos" w:cs="Times New Roman"/>
          <w:b/>
          <w:bCs/>
          <w:color w:val="000000"/>
          <w:kern w:val="0"/>
          <w:lang w:eastAsia="en-GB"/>
        </w:rPr>
        <w:t xml:space="preserve">The Future of </w:t>
      </w:r>
      <w:r w:rsidRPr="00820088">
        <w:rPr>
          <w:rFonts w:ascii="Aptos" w:eastAsia="Times New Roman" w:hAnsi="Aptos" w:cs="Times New Roman"/>
          <w:b/>
          <w:bCs/>
          <w:color w:val="000000"/>
          <w:kern w:val="0"/>
          <w:lang w:eastAsia="en-GB"/>
        </w:rPr>
        <w:t xml:space="preserve">England’s </w:t>
      </w:r>
      <w:r>
        <w:rPr>
          <w:rFonts w:ascii="Aptos" w:eastAsia="Times New Roman" w:hAnsi="Aptos" w:cs="Times New Roman"/>
          <w:b/>
          <w:bCs/>
          <w:color w:val="000000"/>
          <w:kern w:val="0"/>
          <w:lang w:eastAsia="en-GB"/>
        </w:rPr>
        <w:t>U</w:t>
      </w:r>
      <w:r w:rsidRPr="00820088">
        <w:rPr>
          <w:rFonts w:ascii="Aptos" w:eastAsia="Times New Roman" w:hAnsi="Aptos" w:cs="Times New Roman"/>
          <w:b/>
          <w:bCs/>
          <w:color w:val="000000"/>
          <w:kern w:val="0"/>
          <w:lang w:eastAsia="en-GB"/>
        </w:rPr>
        <w:t>plands</w:t>
      </w:r>
    </w:p>
    <w:p w:rsidR="001A5C09" w:rsidRPr="00820088" w:rsidP="00820088">
      <w:p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color w:val="000000"/>
          <w:kern w:val="0"/>
          <w:lang w:eastAsia="en-GB"/>
        </w:rPr>
        <w:t>I submit this evidence as someone who lives and works on Dartmoor and is deeply committed to systemic change in the uplands. My concern is that upland policy is still being designed in separate boxes: food, nature, climate, water, access, heritage and rural life. On the ground, these are not separate. They are one living system.</w:t>
      </w:r>
    </w:p>
    <w:p w:rsidR="001A5C09" w:rsidRPr="00820088" w:rsidP="00820088">
      <w:p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b/>
          <w:bCs/>
          <w:color w:val="000000"/>
          <w:kern w:val="0"/>
          <w:lang w:eastAsia="en-GB"/>
        </w:rPr>
        <w:t>1. How effectively do current policies balance competing demands in the uplands?</w:t>
      </w:r>
    </w:p>
    <w:p w:rsidR="001A5C09" w:rsidRPr="00820088" w:rsidP="00820088">
      <w:p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color w:val="000000"/>
          <w:kern w:val="0"/>
          <w:lang w:eastAsia="en-GB"/>
        </w:rPr>
        <w:t>Current policies do not yet balance these demands effectively. They often create competition between food production, nature recovery, climate mitigation, water management and public access, rather than designing policy around how these functions can support one another.</w:t>
      </w:r>
    </w:p>
    <w:p w:rsidR="001A5C09" w:rsidRPr="00820088" w:rsidP="00820088">
      <w:p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color w:val="000000"/>
          <w:kern w:val="0"/>
          <w:lang w:eastAsia="en-GB"/>
        </w:rPr>
        <w:t>The key tension is that farming is often treated as the problem, rather than as part of the solution. On Dartmoor, grazing, commoning, cultural heritage, biodiversity, tourism, public access and water are all interdependent. Remove the farming system and you do not simply gain nature; you risk losing the people, knowledge, livestock management, local economy and cultural structure that hold the landscape together.</w:t>
      </w:r>
    </w:p>
    <w:p w:rsidR="001A5C09" w:rsidRPr="00820088" w:rsidP="00820088">
      <w:p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color w:val="000000"/>
          <w:kern w:val="0"/>
          <w:lang w:eastAsia="en-GB"/>
        </w:rPr>
        <w:t>Policy needs to move from single-outcome targets to place-based systems thinking.</w:t>
      </w:r>
    </w:p>
    <w:p w:rsidR="001A5C09" w:rsidRPr="00820088" w:rsidP="00820088">
      <w:p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b/>
          <w:bCs/>
          <w:color w:val="000000"/>
          <w:kern w:val="0"/>
          <w:lang w:eastAsia="en-GB"/>
        </w:rPr>
        <w:t>2. Impact of agricultural policy changes on upland farming businesses and profitability</w:t>
      </w:r>
    </w:p>
    <w:p w:rsidR="001A5C09" w:rsidRPr="00820088" w:rsidP="00820088">
      <w:p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color w:val="000000"/>
          <w:kern w:val="0"/>
          <w:lang w:eastAsia="en-GB"/>
        </w:rPr>
        <w:t>The transition away from direct payments has created deep instability. Many upland farms were already operating on tight margins, with high labour demands, poor market returns and limited ability to absorb risk. The removal of direct payments before replacement schemes are fully trusted, accessible and predictable has damaged confidence.</w:t>
      </w:r>
    </w:p>
    <w:p w:rsidR="001A5C09" w:rsidRPr="00820088" w:rsidP="00820088">
      <w:p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color w:val="000000"/>
          <w:kern w:val="0"/>
          <w:lang w:eastAsia="en-GB"/>
        </w:rPr>
        <w:t>For many upland businesses, profitability is not simply about subsidy. It is about whether food production, environmental work, public access, landscape management and cultural stewardship are properly valued. At present, too much responsibility sits with the farmer, while too little value returns to the farm gate.</w:t>
      </w:r>
    </w:p>
    <w:p w:rsidR="001A5C09" w:rsidRPr="00820088" w:rsidP="00820088">
      <w:p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b/>
          <w:bCs/>
          <w:color w:val="000000"/>
          <w:kern w:val="0"/>
          <w:lang w:eastAsia="en-GB"/>
        </w:rPr>
        <w:t>3. Do ELM, SFI, Countryside Stewardship and FiPL support sustainable upland management?</w:t>
      </w:r>
    </w:p>
    <w:p w:rsidR="001A5C09" w:rsidRPr="00820088" w:rsidP="00820088">
      <w:p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color w:val="000000"/>
          <w:kern w:val="0"/>
          <w:lang w:eastAsia="en-GB"/>
        </w:rPr>
        <w:t>They help, but they are not yet enough.</w:t>
      </w:r>
    </w:p>
    <w:p w:rsidR="001A5C09" w:rsidRPr="00820088" w:rsidP="00820088">
      <w:p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color w:val="000000"/>
          <w:kern w:val="0"/>
          <w:lang w:eastAsia="en-GB"/>
        </w:rPr>
        <w:t xml:space="preserve">FiPL has been one of the better models because it is more local, more flexible and better able to support practical projects. However, it is still project-based and time-limited. </w:t>
      </w:r>
      <w:r w:rsidRPr="00820088">
        <w:rPr>
          <w:rFonts w:ascii="Aptos" w:eastAsia="Times New Roman" w:hAnsi="Aptos" w:cs="Times New Roman"/>
          <w:color w:val="000000"/>
          <w:kern w:val="0"/>
          <w:lang w:eastAsia="en-GB"/>
        </w:rPr>
        <w:t>ELM and SFI have been too uncertain, too complex and too vulnerable to sudden changes.</w:t>
      </w:r>
    </w:p>
    <w:p w:rsidR="001A5C09" w:rsidRPr="00820088" w:rsidP="00820088">
      <w:p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color w:val="000000"/>
          <w:kern w:val="0"/>
          <w:lang w:eastAsia="en-GB"/>
        </w:rPr>
        <w:t>Upland farmers need long-term, reliable support that recognises:</w:t>
      </w:r>
    </w:p>
    <w:p w:rsidR="001A5C09" w:rsidRPr="00820088" w:rsidP="00820088">
      <w:pPr>
        <w:numPr>
          <w:ilvl w:val="0"/>
          <w:numId w:val="1"/>
        </w:num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color w:val="000000"/>
          <w:kern w:val="0"/>
          <w:lang w:eastAsia="en-GB"/>
        </w:rPr>
        <w:t>active food production;</w:t>
      </w:r>
    </w:p>
    <w:p w:rsidR="001A5C09" w:rsidRPr="00820088" w:rsidP="00820088">
      <w:pPr>
        <w:numPr>
          <w:ilvl w:val="0"/>
          <w:numId w:val="1"/>
        </w:num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color w:val="000000"/>
          <w:kern w:val="0"/>
          <w:lang w:eastAsia="en-GB"/>
        </w:rPr>
        <w:t>common land systems;</w:t>
      </w:r>
    </w:p>
    <w:p w:rsidR="001A5C09" w:rsidRPr="00820088" w:rsidP="00820088">
      <w:pPr>
        <w:numPr>
          <w:ilvl w:val="0"/>
          <w:numId w:val="1"/>
        </w:num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color w:val="000000"/>
          <w:kern w:val="0"/>
          <w:lang w:eastAsia="en-GB"/>
        </w:rPr>
        <w:t>livestock as a management tool;</w:t>
      </w:r>
    </w:p>
    <w:p w:rsidR="001A5C09" w:rsidRPr="00820088" w:rsidP="00820088">
      <w:pPr>
        <w:numPr>
          <w:ilvl w:val="0"/>
          <w:numId w:val="1"/>
        </w:num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color w:val="000000"/>
          <w:kern w:val="0"/>
          <w:lang w:eastAsia="en-GB"/>
        </w:rPr>
        <w:t>local knowledge;</w:t>
      </w:r>
    </w:p>
    <w:p w:rsidR="001A5C09" w:rsidRPr="00820088" w:rsidP="00820088">
      <w:pPr>
        <w:numPr>
          <w:ilvl w:val="0"/>
          <w:numId w:val="1"/>
        </w:num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color w:val="000000"/>
          <w:kern w:val="0"/>
          <w:lang w:eastAsia="en-GB"/>
        </w:rPr>
        <w:t>cultural heritage;</w:t>
      </w:r>
    </w:p>
    <w:p w:rsidR="001A5C09" w:rsidRPr="00820088" w:rsidP="00820088">
      <w:pPr>
        <w:numPr>
          <w:ilvl w:val="0"/>
          <w:numId w:val="1"/>
        </w:num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color w:val="000000"/>
          <w:kern w:val="0"/>
          <w:lang w:eastAsia="en-GB"/>
        </w:rPr>
        <w:t>public access pressures;</w:t>
      </w:r>
    </w:p>
    <w:p w:rsidR="001A5C09" w:rsidRPr="00820088" w:rsidP="00820088">
      <w:pPr>
        <w:numPr>
          <w:ilvl w:val="0"/>
          <w:numId w:val="1"/>
        </w:num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color w:val="000000"/>
          <w:kern w:val="0"/>
          <w:lang w:eastAsia="en-GB"/>
        </w:rPr>
        <w:t>water, carbon and biodiversity outcomes.</w:t>
      </w:r>
    </w:p>
    <w:p w:rsidR="001A5C09" w:rsidRPr="00820088" w:rsidP="00820088">
      <w:p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color w:val="000000"/>
          <w:kern w:val="0"/>
          <w:lang w:eastAsia="en-GB"/>
        </w:rPr>
        <w:t>Support should not only pay for environmental actions. It should support the whole farm and whole landscape system.</w:t>
      </w:r>
    </w:p>
    <w:p w:rsidR="001A5C09" w:rsidRPr="00820088" w:rsidP="00820088">
      <w:p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b/>
          <w:bCs/>
          <w:color w:val="000000"/>
          <w:kern w:val="0"/>
          <w:lang w:eastAsia="en-GB"/>
        </w:rPr>
        <w:t>4. Impact of legal protections and designations</w:t>
      </w:r>
    </w:p>
    <w:p w:rsidR="001A5C09" w:rsidRPr="00820088" w:rsidP="00820088">
      <w:p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color w:val="000000"/>
          <w:kern w:val="0"/>
          <w:lang w:eastAsia="en-GB"/>
        </w:rPr>
        <w:t>Designations such as National Park, SSSI and SAC can protect important landscapes, but they can also make decision-making slow, defensive and fragmented.</w:t>
      </w:r>
    </w:p>
    <w:p w:rsidR="001A5C09" w:rsidRPr="00820088" w:rsidP="00820088">
      <w:p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color w:val="000000"/>
          <w:kern w:val="0"/>
          <w:lang w:eastAsia="en-GB"/>
        </w:rPr>
        <w:t>On Dartmoor, multiple protections overlap. That creates complexity for farmers, commoners, landowners, regulators and public bodies. Legal protections are necessary, but they must be implemented with practical understanding of farming systems and local conditions.</w:t>
      </w:r>
    </w:p>
    <w:p w:rsidR="001A5C09" w:rsidRPr="00820088" w:rsidP="00820088">
      <w:p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color w:val="000000"/>
          <w:kern w:val="0"/>
          <w:lang w:eastAsia="en-GB"/>
        </w:rPr>
        <w:t>The risk is that designation becomes a constraint rather than a framework for better stewardship. Protected landscapes should not become museum landscapes. They must remain living, working places.</w:t>
      </w:r>
    </w:p>
    <w:p w:rsidR="001A5C09" w:rsidRPr="00820088" w:rsidP="00820088">
      <w:p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b/>
          <w:bCs/>
          <w:color w:val="000000"/>
          <w:kern w:val="0"/>
          <w:lang w:eastAsia="en-GB"/>
        </w:rPr>
        <w:t>5. Improvements needed in data, mapping, modelling and skills</w:t>
      </w:r>
    </w:p>
    <w:p w:rsidR="001A5C09" w:rsidRPr="00820088" w:rsidP="00820088">
      <w:p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color w:val="000000"/>
          <w:kern w:val="0"/>
          <w:lang w:eastAsia="en-GB"/>
        </w:rPr>
        <w:t>The uplands need better shared data, but data must not replace local knowledge.</w:t>
      </w:r>
    </w:p>
    <w:p w:rsidR="001A5C09" w:rsidRPr="00820088" w:rsidP="00820088">
      <w:p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color w:val="000000"/>
          <w:kern w:val="0"/>
          <w:lang w:eastAsia="en-GB"/>
        </w:rPr>
        <w:t>We need:</w:t>
      </w:r>
    </w:p>
    <w:p w:rsidR="001A5C09" w:rsidRPr="00820088" w:rsidP="00820088">
      <w:pPr>
        <w:numPr>
          <w:ilvl w:val="0"/>
          <w:numId w:val="2"/>
        </w:num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color w:val="000000"/>
          <w:kern w:val="0"/>
          <w:lang w:eastAsia="en-GB"/>
        </w:rPr>
        <w:t>accessible mapping of land use, grazing, habitat, water, peat, wildfire risk and public access pressure;</w:t>
      </w:r>
    </w:p>
    <w:p w:rsidR="001A5C09" w:rsidRPr="00820088" w:rsidP="00820088">
      <w:pPr>
        <w:numPr>
          <w:ilvl w:val="0"/>
          <w:numId w:val="2"/>
        </w:num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color w:val="000000"/>
          <w:kern w:val="0"/>
          <w:lang w:eastAsia="en-GB"/>
        </w:rPr>
        <w:t>common digital platforms that farmers can actually use;</w:t>
      </w:r>
    </w:p>
    <w:p w:rsidR="001A5C09" w:rsidRPr="00820088" w:rsidP="00820088">
      <w:pPr>
        <w:numPr>
          <w:ilvl w:val="0"/>
          <w:numId w:val="2"/>
        </w:num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color w:val="000000"/>
          <w:kern w:val="0"/>
          <w:lang w:eastAsia="en-GB"/>
        </w:rPr>
        <w:t>better modelling of whole-system impacts, not single outcomes;</w:t>
      </w:r>
    </w:p>
    <w:p w:rsidR="001A5C09" w:rsidRPr="00820088" w:rsidP="00820088">
      <w:pPr>
        <w:numPr>
          <w:ilvl w:val="0"/>
          <w:numId w:val="2"/>
        </w:num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color w:val="000000"/>
          <w:kern w:val="0"/>
          <w:lang w:eastAsia="en-GB"/>
        </w:rPr>
        <w:t>better evidence on what different grazing levels, restoration methods and access pressures actually do over time;</w:t>
      </w:r>
    </w:p>
    <w:p w:rsidR="001A5C09" w:rsidRPr="00820088" w:rsidP="00820088">
      <w:pPr>
        <w:numPr>
          <w:ilvl w:val="0"/>
          <w:numId w:val="2"/>
        </w:num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color w:val="000000"/>
          <w:kern w:val="0"/>
          <w:lang w:eastAsia="en-GB"/>
        </w:rPr>
        <w:t>local monitoring led with farmers, not imposed on them.</w:t>
      </w:r>
    </w:p>
    <w:p w:rsidR="001A5C09" w:rsidRPr="00820088" w:rsidP="00820088">
      <w:p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color w:val="000000"/>
          <w:kern w:val="0"/>
          <w:lang w:eastAsia="en-GB"/>
        </w:rPr>
        <w:t>Training is needed in digital mapping, evidence gathering, environmental monitoring, business planning, facilitation, conflict resolution and governance. Peer-to-peer learning will be more effective than top-down instruction.</w:t>
      </w:r>
    </w:p>
    <w:p w:rsidR="001A5C09" w:rsidRPr="00820088" w:rsidP="00820088">
      <w:p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b/>
          <w:bCs/>
          <w:color w:val="000000"/>
          <w:kern w:val="0"/>
          <w:lang w:eastAsia="en-GB"/>
        </w:rPr>
        <w:t>6. How might land use and business changes impact rural communities?</w:t>
      </w:r>
    </w:p>
    <w:p w:rsidR="001A5C09" w:rsidRPr="00820088" w:rsidP="00820088">
      <w:p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color w:val="000000"/>
          <w:kern w:val="0"/>
          <w:lang w:eastAsia="en-GB"/>
        </w:rPr>
        <w:t>Land use change could either strengthen or hollow out upland communities.</w:t>
      </w:r>
    </w:p>
    <w:p w:rsidR="001A5C09" w:rsidRPr="00820088" w:rsidP="00820088">
      <w:p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color w:val="000000"/>
          <w:kern w:val="0"/>
          <w:lang w:eastAsia="en-GB"/>
        </w:rPr>
        <w:t>If policy removes livestock, reduces active farming, encourages large-scale land acquisition, or prioritises carbon and nature markets without community safeguards, the result could be fewer working farms, fewer local jobs, fewer young people, loss of skills, weaker schools, weaker local services and more second homes or absentee ownership.</w:t>
      </w:r>
    </w:p>
    <w:p w:rsidR="001A5C09" w:rsidRPr="00820088" w:rsidP="00820088">
      <w:p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color w:val="000000"/>
          <w:kern w:val="0"/>
          <w:lang w:eastAsia="en-GB"/>
        </w:rPr>
        <w:t>But if change is designed well, it could create new rural livelihoods: local food, fibre, woodland work, water management, conservation grazing, rural skills, tourism that gives back, and nature recovery led by people who live there.</w:t>
      </w:r>
    </w:p>
    <w:p w:rsidR="001A5C09" w:rsidRPr="00820088" w:rsidP="00820088">
      <w:p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color w:val="000000"/>
          <w:kern w:val="0"/>
          <w:lang w:eastAsia="en-GB"/>
        </w:rPr>
        <w:t>The question is not whether land use should change. It is who benefits, who decides, and whether rural communities are strengthened or displaced.</w:t>
      </w:r>
    </w:p>
    <w:p w:rsidR="001A5C09" w:rsidRPr="00820088" w:rsidP="00820088">
      <w:p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b/>
          <w:bCs/>
          <w:color w:val="000000"/>
          <w:kern w:val="0"/>
          <w:lang w:eastAsia="en-GB"/>
        </w:rPr>
        <w:t>7. How can government ensure rural communities benefit?</w:t>
      </w:r>
    </w:p>
    <w:p w:rsidR="001A5C09" w:rsidRPr="00820088" w:rsidP="00820088">
      <w:p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color w:val="000000"/>
          <w:kern w:val="0"/>
          <w:lang w:eastAsia="en-GB"/>
        </w:rPr>
        <w:t>Government policy must make upland communities co-designers, not consultees after the event.</w:t>
      </w:r>
    </w:p>
    <w:p w:rsidR="001A5C09" w:rsidRPr="00820088" w:rsidP="00820088">
      <w:p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color w:val="000000"/>
          <w:kern w:val="0"/>
          <w:lang w:eastAsia="en-GB"/>
        </w:rPr>
        <w:t>Policy should:</w:t>
      </w:r>
    </w:p>
    <w:p w:rsidR="001A5C09" w:rsidRPr="00820088" w:rsidP="00820088">
      <w:pPr>
        <w:numPr>
          <w:ilvl w:val="0"/>
          <w:numId w:val="3"/>
        </w:num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color w:val="000000"/>
          <w:kern w:val="0"/>
          <w:lang w:eastAsia="en-GB"/>
        </w:rPr>
        <w:t>keep farming families and young people on the land;</w:t>
      </w:r>
    </w:p>
    <w:p w:rsidR="001A5C09" w:rsidRPr="00820088" w:rsidP="00820088">
      <w:pPr>
        <w:numPr>
          <w:ilvl w:val="0"/>
          <w:numId w:val="3"/>
        </w:num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color w:val="000000"/>
          <w:kern w:val="0"/>
          <w:lang w:eastAsia="en-GB"/>
        </w:rPr>
        <w:t>support local food economies and shorter supply chains;</w:t>
      </w:r>
    </w:p>
    <w:p w:rsidR="001A5C09" w:rsidRPr="00820088" w:rsidP="00820088">
      <w:pPr>
        <w:numPr>
          <w:ilvl w:val="0"/>
          <w:numId w:val="3"/>
        </w:num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color w:val="000000"/>
          <w:kern w:val="0"/>
          <w:lang w:eastAsia="en-GB"/>
        </w:rPr>
        <w:t>reward active management, not passive ownership;</w:t>
      </w:r>
    </w:p>
    <w:p w:rsidR="001A5C09" w:rsidRPr="00820088" w:rsidP="00820088">
      <w:pPr>
        <w:numPr>
          <w:ilvl w:val="0"/>
          <w:numId w:val="3"/>
        </w:num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color w:val="000000"/>
          <w:kern w:val="0"/>
          <w:lang w:eastAsia="en-GB"/>
        </w:rPr>
        <w:t>ensure public money reaches working farmers and communities;</w:t>
      </w:r>
    </w:p>
    <w:p w:rsidR="001A5C09" w:rsidRPr="00820088" w:rsidP="00820088">
      <w:pPr>
        <w:numPr>
          <w:ilvl w:val="0"/>
          <w:numId w:val="3"/>
        </w:num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color w:val="000000"/>
          <w:kern w:val="0"/>
          <w:lang w:eastAsia="en-GB"/>
        </w:rPr>
        <w:t>create long-term funding, not stop-start schemes;</w:t>
      </w:r>
    </w:p>
    <w:p w:rsidR="001A5C09" w:rsidRPr="00820088" w:rsidP="00820088">
      <w:pPr>
        <w:numPr>
          <w:ilvl w:val="0"/>
          <w:numId w:val="3"/>
        </w:num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color w:val="000000"/>
          <w:kern w:val="0"/>
          <w:lang w:eastAsia="en-GB"/>
        </w:rPr>
        <w:t>invest in rural housing, transport, broadband, skills and local services;</w:t>
      </w:r>
    </w:p>
    <w:p w:rsidR="001A5C09" w:rsidRPr="00820088" w:rsidP="00820088">
      <w:pPr>
        <w:numPr>
          <w:ilvl w:val="0"/>
          <w:numId w:val="3"/>
        </w:num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color w:val="000000"/>
          <w:kern w:val="0"/>
          <w:lang w:eastAsia="en-GB"/>
        </w:rPr>
        <w:t>support commons governance and local collaboration;</w:t>
      </w:r>
    </w:p>
    <w:p w:rsidR="001A5C09" w:rsidRPr="00820088" w:rsidP="00820088">
      <w:pPr>
        <w:numPr>
          <w:ilvl w:val="0"/>
          <w:numId w:val="3"/>
        </w:num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color w:val="000000"/>
          <w:kern w:val="0"/>
          <w:lang w:eastAsia="en-GB"/>
        </w:rPr>
        <w:t>make tourism contribute financially to the places it depends on;</w:t>
      </w:r>
    </w:p>
    <w:p w:rsidR="001A5C09" w:rsidRPr="00820088" w:rsidP="00820088">
      <w:pPr>
        <w:numPr>
          <w:ilvl w:val="0"/>
          <w:numId w:val="3"/>
        </w:num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color w:val="000000"/>
          <w:kern w:val="0"/>
          <w:lang w:eastAsia="en-GB"/>
        </w:rPr>
        <w:t>protect tenants and small farmers from being pushed out by large-scale environmental finance.</w:t>
      </w:r>
    </w:p>
    <w:p w:rsidR="001A5C09" w:rsidRPr="00820088" w:rsidP="00820088">
      <w:p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color w:val="000000"/>
          <w:kern w:val="0"/>
          <w:lang w:eastAsia="en-GB"/>
        </w:rPr>
        <w:t>The uplands are at a tipping point. If government treats them as carbon stores, visitor destinations or nature recovery zones without equal regard for people and food, it will fail. If government treats them as living systems, they can become models of resilience.</w:t>
      </w:r>
    </w:p>
    <w:p w:rsidR="001A5C09" w:rsidRPr="00820088" w:rsidP="00820088">
      <w:pPr>
        <w:spacing w:before="100" w:beforeAutospacing="1" w:after="100" w:afterAutospacing="1"/>
        <w:jc w:val="both"/>
        <w:rPr>
          <w:rFonts w:ascii="Aptos" w:eastAsia="Times New Roman" w:hAnsi="Aptos" w:cs="Times New Roman"/>
          <w:color w:val="000000"/>
          <w:kern w:val="0"/>
          <w:lang w:eastAsia="en-GB"/>
        </w:rPr>
      </w:pPr>
      <w:r w:rsidRPr="00820088">
        <w:rPr>
          <w:rFonts w:ascii="Aptos" w:eastAsia="Times New Roman" w:hAnsi="Aptos" w:cs="Times New Roman"/>
          <w:color w:val="000000"/>
          <w:kern w:val="0"/>
          <w:lang w:eastAsia="en-GB"/>
        </w:rPr>
        <w:t>A flourishing uplands policy must put food, nature and people on a par.</w:t>
      </w:r>
    </w:p>
    <w:p w:rsidR="00A105D0">
      <w:pPr>
        <w:rPr>
          <w:i/>
          <w:iCs/>
        </w:rPr>
      </w:pPr>
    </w:p>
    <w:p w:rsidR="001A5C09" w:rsidRPr="00A105D0">
      <w:pPr>
        <w:rPr>
          <w:i/>
          <w:iCs/>
        </w:rPr>
      </w:pPr>
      <w:r w:rsidRPr="00A105D0">
        <w:rPr>
          <w:i/>
          <w:iCs/>
        </w:rPr>
        <w:t>June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1978D5"/>
    <w:multiLevelType w:val="multilevel"/>
    <w:tmpl w:val="8BBAF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9B74685"/>
    <w:multiLevelType w:val="multilevel"/>
    <w:tmpl w:val="5A165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06B5982"/>
    <w:multiLevelType w:val="multilevel"/>
    <w:tmpl w:val="3D123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link w:val="Heading1Char"/>
    <w:uiPriority w:val="9"/>
    <w:qFormat/>
    <w:rsid w:val="00820088"/>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820088"/>
    <w:pPr>
      <w:spacing w:before="100" w:beforeAutospacing="1" w:after="100" w:afterAutospacing="1"/>
    </w:pPr>
    <w:rPr>
      <w:rFonts w:ascii="Times New Roman" w:eastAsia="Times New Roman" w:hAnsi="Times New Roman" w:cs="Times New Roman"/>
      <w:kern w:val="0"/>
      <w:lang w:eastAsia="en-GB"/>
    </w:rPr>
  </w:style>
  <w:style w:type="character" w:styleId="Strong">
    <w:name w:val="Strong"/>
    <w:basedOn w:val="DefaultParagraphFont"/>
    <w:uiPriority w:val="22"/>
    <w:qFormat/>
    <w:rsid w:val="00820088"/>
    <w:rPr>
      <w:b/>
      <w:bCs/>
    </w:rPr>
  </w:style>
  <w:style w:type="paragraph" w:styleId="NormalWeb">
    <w:name w:val="Normal (Web)"/>
    <w:basedOn w:val="Normal"/>
    <w:uiPriority w:val="99"/>
    <w:semiHidden/>
    <w:unhideWhenUsed/>
    <w:rsid w:val="00820088"/>
    <w:pPr>
      <w:spacing w:before="100" w:beforeAutospacing="1" w:after="100" w:afterAutospacing="1"/>
    </w:pPr>
    <w:rPr>
      <w:rFonts w:ascii="Times New Roman" w:eastAsia="Times New Roman" w:hAnsi="Times New Roman" w:cs="Times New Roman"/>
      <w:kern w:val="0"/>
      <w:lang w:eastAsia="en-GB"/>
    </w:rPr>
  </w:style>
  <w:style w:type="character" w:customStyle="1" w:styleId="Heading1Char">
    <w:name w:val="Heading 1 Char"/>
    <w:basedOn w:val="DefaultParagraphFont"/>
    <w:link w:val="Heading1"/>
    <w:uiPriority w:val="9"/>
    <w:rsid w:val="00820088"/>
    <w:rPr>
      <w:rFonts w:ascii="Times New Roman" w:eastAsia="Times New Roman" w:hAnsi="Times New Roman" w:cs="Times New Roman"/>
      <w:b/>
      <w:bCs/>
      <w:kern w:val="36"/>
      <w:sz w:val="48"/>
      <w:szCs w:val="48"/>
      <w:lang w:eastAsia="en-GB"/>
    </w:rPr>
  </w:style>
  <w:style w:type="paragraph" w:customStyle="1" w:styleId="sub-heading">
    <w:name w:val="sub-heading"/>
    <w:basedOn w:val="Normal"/>
    <w:rsid w:val="00820088"/>
    <w:pPr>
      <w:spacing w:before="100" w:beforeAutospacing="1" w:after="100" w:afterAutospacing="1"/>
    </w:pPr>
    <w:rPr>
      <w:rFonts w:ascii="Times New Roman" w:eastAsia="Times New Roman" w:hAnsi="Times New Roman" w:cs="Times New Roman"/>
      <w:kern w:val="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LUN0023</dc:title>
  <cp:revision>0</cp:revision>
</cp:coreProperties>
</file>