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1545E" w:rsidRPr="00C5302E">
      <w:pPr>
        <w:rPr>
          <w:rFonts w:ascii="Verdana" w:hAnsi="Verdana"/>
          <w:b/>
          <w:bCs/>
          <w:sz w:val="28"/>
          <w:szCs w:val="28"/>
        </w:rPr>
      </w:pPr>
      <w:r w:rsidRPr="00C5302E">
        <w:rPr>
          <w:rFonts w:ascii="Verdana" w:hAnsi="Verdana"/>
          <w:b/>
          <w:bCs/>
          <w:sz w:val="28"/>
          <w:szCs w:val="28"/>
        </w:rPr>
        <w:t xml:space="preserve">Cyrus Rowshangohar – Written </w:t>
      </w:r>
      <w:r w:rsidR="0054675B">
        <w:rPr>
          <w:rFonts w:ascii="Verdana" w:hAnsi="Verdana"/>
          <w:b/>
          <w:bCs/>
          <w:sz w:val="28"/>
          <w:szCs w:val="28"/>
        </w:rPr>
        <w:t>evidence</w:t>
      </w:r>
      <w:r w:rsidRPr="00C5302E">
        <w:rPr>
          <w:rFonts w:ascii="Verdana" w:hAnsi="Verdana"/>
          <w:b/>
          <w:bCs/>
          <w:sz w:val="28"/>
          <w:szCs w:val="28"/>
        </w:rPr>
        <w:t xml:space="preserve"> (ART000</w:t>
      </w:r>
      <w:r w:rsidRPr="00C5302E" w:rsidR="00C5302E">
        <w:rPr>
          <w:rFonts w:ascii="Verdana" w:hAnsi="Verdana"/>
          <w:b/>
          <w:bCs/>
          <w:sz w:val="28"/>
          <w:szCs w:val="28"/>
        </w:rPr>
        <w:t>7)</w:t>
      </w:r>
    </w:p>
    <w:p w:rsidR="0001545E">
      <w:pPr>
        <w:rPr>
          <w:rFonts w:ascii="Verdana" w:hAnsi="Verdana"/>
          <w:b/>
          <w:bCs/>
          <w:sz w:val="22"/>
          <w:szCs w:val="22"/>
        </w:rPr>
      </w:pPr>
    </w:p>
    <w:p w:rsidR="00EC5765" w:rsidRPr="0001545E">
      <w:pPr>
        <w:rPr>
          <w:rFonts w:ascii="Verdana" w:hAnsi="Verdana"/>
          <w:b/>
          <w:bCs/>
          <w:sz w:val="22"/>
          <w:szCs w:val="22"/>
        </w:rPr>
      </w:pPr>
      <w:r w:rsidRPr="0001545E">
        <w:rPr>
          <w:rFonts w:ascii="Verdana" w:hAnsi="Verdana"/>
          <w:b/>
          <w:bCs/>
          <w:sz w:val="22"/>
          <w:szCs w:val="22"/>
        </w:rPr>
        <w:t xml:space="preserve">Declaration: This submission was drafted with the assistance of artificial intelligence, with its final context being reviewed, edited, and structured by the author. </w:t>
      </w:r>
    </w:p>
    <w:p w:rsidR="00EC5765" w:rsidRPr="0001545E">
      <w:pPr>
        <w:rPr>
          <w:rFonts w:ascii="Verdana" w:hAnsi="Verdana"/>
          <w:b/>
          <w:bCs/>
          <w:sz w:val="22"/>
          <w:szCs w:val="22"/>
        </w:rPr>
      </w:pPr>
    </w:p>
    <w:p w:rsidR="00EC5765" w:rsidRPr="0001545E">
      <w:pPr>
        <w:rPr>
          <w:rFonts w:ascii="Verdana" w:hAnsi="Verdana"/>
          <w:b/>
          <w:bCs/>
          <w:sz w:val="22"/>
          <w:szCs w:val="22"/>
        </w:rPr>
      </w:pPr>
      <w:r w:rsidRPr="0001545E">
        <w:rPr>
          <w:rFonts w:ascii="Verdana" w:hAnsi="Verdana"/>
          <w:b/>
          <w:bCs/>
          <w:sz w:val="22"/>
          <w:szCs w:val="22"/>
        </w:rPr>
        <w:t>9. What is your overall assessment as to the success of Article 2 WF in ensuring the protection of rights following the UK’s exit from the European Union?</w:t>
      </w:r>
    </w:p>
    <w:p w:rsidR="00EC5765" w:rsidRPr="0001545E">
      <w:pPr>
        <w:rPr>
          <w:rFonts w:ascii="Verdana" w:hAnsi="Verdana"/>
          <w:sz w:val="22"/>
          <w:szCs w:val="22"/>
        </w:rPr>
      </w:pPr>
    </w:p>
    <w:p w:rsidR="00EC5765" w:rsidRPr="0001545E">
      <w:pPr>
        <w:rPr>
          <w:rFonts w:ascii="Verdana" w:hAnsi="Verdana"/>
          <w:sz w:val="22"/>
          <w:szCs w:val="22"/>
          <w:u w:val="single"/>
        </w:rPr>
      </w:pPr>
      <w:r w:rsidRPr="0001545E">
        <w:rPr>
          <w:rFonts w:ascii="Verdana" w:hAnsi="Verdana"/>
          <w:sz w:val="22"/>
          <w:szCs w:val="22"/>
          <w:u w:val="single"/>
        </w:rPr>
        <w:t>Introduction and Context: Article 2 of the Windsor Framework.</w:t>
      </w:r>
    </w:p>
    <w:p w:rsidR="00EC5765" w:rsidRPr="0001545E">
      <w:pPr>
        <w:rPr>
          <w:rFonts w:ascii="Verdana" w:hAnsi="Verdana"/>
          <w:sz w:val="22"/>
          <w:szCs w:val="22"/>
        </w:rPr>
      </w:pPr>
      <w:r w:rsidRPr="0001545E">
        <w:rPr>
          <w:rFonts w:ascii="Verdana" w:hAnsi="Verdana"/>
          <w:sz w:val="22"/>
          <w:szCs w:val="22"/>
        </w:rPr>
        <w:t xml:space="preserve">Article 2 of the Windsor Framework establishes a commitment under the UK-EU post-Brexit arrangements for Northern Ireland that there should be no diminution of the right and equality of opportunity set out in the Belfast/Good Friday Agreement. In effect, it requires that existing standards of right protection, particularly in relation to anti-discrimination law, are maintained in Northern Ireland following Brexit. </w:t>
      </w:r>
    </w:p>
    <w:p w:rsidR="00EC5765" w:rsidRPr="0001545E">
      <w:pPr>
        <w:rPr>
          <w:rFonts w:ascii="Verdana" w:hAnsi="Verdana"/>
          <w:sz w:val="22"/>
          <w:szCs w:val="22"/>
        </w:rPr>
      </w:pPr>
      <w:r w:rsidRPr="0001545E">
        <w:rPr>
          <w:rFonts w:ascii="Verdana" w:hAnsi="Verdana"/>
          <w:sz w:val="22"/>
          <w:szCs w:val="22"/>
        </w:rPr>
        <w:t xml:space="preserve">Article 2 operates by reference to specific provisions of retained EU law listed in Annex 1 of the Windsor Framework and is given practical effect through a system of mechanisms intended to ensure enforcement. These mechanisms include the Equality Commission for Northern Ireland and the Northern Ireland Human Rights Commission, alongside the availability of judicial enforcement through domestic courts depending on the context. </w:t>
      </w:r>
    </w:p>
    <w:p w:rsidR="00EC5765" w:rsidRPr="0001545E">
      <w:pPr>
        <w:rPr>
          <w:rFonts w:ascii="Verdana" w:hAnsi="Verdana"/>
          <w:sz w:val="22"/>
          <w:szCs w:val="22"/>
        </w:rPr>
      </w:pPr>
      <w:r w:rsidRPr="0001545E">
        <w:rPr>
          <w:rFonts w:ascii="Verdana" w:hAnsi="Verdana"/>
          <w:sz w:val="22"/>
          <w:szCs w:val="22"/>
        </w:rPr>
        <w:t xml:space="preserve">This submission assesses the extent to which Article 2 has been effective in </w:t>
      </w:r>
      <w:r w:rsidRPr="0001545E">
        <w:rPr>
          <w:rFonts w:ascii="Verdana" w:hAnsi="Verdana"/>
          <w:sz w:val="22"/>
          <w:szCs w:val="22"/>
        </w:rPr>
        <w:t>maintaining  rights</w:t>
      </w:r>
      <w:r w:rsidRPr="0001545E">
        <w:rPr>
          <w:rFonts w:ascii="Verdana" w:hAnsi="Verdana"/>
          <w:sz w:val="22"/>
          <w:szCs w:val="22"/>
        </w:rPr>
        <w:t xml:space="preserve"> protections in Northern Ireland post-Brexit and evaluates whether the existing institutional and legal framework provides sufficient clarity and de facto effectiveness. </w:t>
      </w:r>
    </w:p>
    <w:p w:rsidR="00EC5765" w:rsidRPr="0001545E">
      <w:pPr>
        <w:rPr>
          <w:rFonts w:ascii="Verdana" w:hAnsi="Verdana"/>
          <w:sz w:val="22"/>
          <w:szCs w:val="22"/>
        </w:rPr>
      </w:pPr>
    </w:p>
    <w:p w:rsidR="00EC5765" w:rsidRPr="0001545E">
      <w:pPr>
        <w:rPr>
          <w:rFonts w:ascii="Verdana" w:hAnsi="Verdana"/>
          <w:sz w:val="22"/>
          <w:szCs w:val="22"/>
          <w:u w:val="single"/>
        </w:rPr>
      </w:pPr>
      <w:r w:rsidRPr="0001545E">
        <w:rPr>
          <w:rFonts w:ascii="Verdana" w:hAnsi="Verdana"/>
          <w:sz w:val="22"/>
          <w:szCs w:val="22"/>
          <w:u w:val="single"/>
        </w:rPr>
        <w:t>Legal Basis and Operation of Article 2.</w:t>
      </w:r>
    </w:p>
    <w:p w:rsidR="00EC5765" w:rsidRPr="0001545E">
      <w:pPr>
        <w:rPr>
          <w:rFonts w:ascii="Verdana" w:hAnsi="Verdana"/>
          <w:sz w:val="22"/>
          <w:szCs w:val="22"/>
        </w:rPr>
      </w:pPr>
      <w:r w:rsidRPr="0001545E">
        <w:rPr>
          <w:rFonts w:ascii="Verdana" w:hAnsi="Verdana"/>
          <w:sz w:val="22"/>
          <w:szCs w:val="22"/>
        </w:rPr>
        <w:t xml:space="preserve">Article 2 of the Windsor Framework operates through a combination of legal enforceability and institutional oversight. At its core, the provision establishes a ‘no diminution’ commitment, meaning that relevant rights and equality protections in Northern Ireland must not be reduced because of Brexit, in relation to the areas of EU equality law listed in Annex 1. </w:t>
      </w:r>
    </w:p>
    <w:p w:rsidR="00EC5765" w:rsidRPr="0001545E">
      <w:pPr>
        <w:rPr>
          <w:rFonts w:ascii="Verdana" w:hAnsi="Verdana"/>
          <w:sz w:val="22"/>
          <w:szCs w:val="22"/>
        </w:rPr>
      </w:pPr>
      <w:r w:rsidRPr="0001545E">
        <w:rPr>
          <w:rFonts w:ascii="Verdana" w:hAnsi="Verdana"/>
          <w:sz w:val="22"/>
          <w:szCs w:val="22"/>
        </w:rPr>
        <w:t xml:space="preserve">In practice, this standard is not applied in the abstract but is assessed through comparison with the level of protection that existed at the end of the transition period. This creates a legal benchmark against domestic legislation and action can be measured. </w:t>
      </w:r>
    </w:p>
    <w:p w:rsidR="00EC5765" w:rsidRPr="0001545E">
      <w:pPr>
        <w:rPr>
          <w:rFonts w:ascii="Verdana" w:hAnsi="Verdana"/>
          <w:sz w:val="22"/>
          <w:szCs w:val="22"/>
        </w:rPr>
      </w:pPr>
      <w:r w:rsidRPr="0001545E">
        <w:rPr>
          <w:rFonts w:ascii="Verdana" w:hAnsi="Verdana"/>
          <w:sz w:val="22"/>
          <w:szCs w:val="22"/>
        </w:rPr>
        <w:t xml:space="preserve">A key feature of Article 2 is that is it not purely political or </w:t>
      </w:r>
      <w:r w:rsidRPr="0001545E">
        <w:rPr>
          <w:rFonts w:ascii="Verdana" w:hAnsi="Verdana"/>
          <w:sz w:val="22"/>
          <w:szCs w:val="22"/>
        </w:rPr>
        <w:t>declaratory, but</w:t>
      </w:r>
      <w:r w:rsidRPr="0001545E">
        <w:rPr>
          <w:rFonts w:ascii="Verdana" w:hAnsi="Verdana"/>
          <w:sz w:val="22"/>
          <w:szCs w:val="22"/>
        </w:rPr>
        <w:t xml:space="preserve"> can be given legal effect in certain circumstances. The UK Supreme Court in </w:t>
      </w:r>
      <w:r w:rsidRPr="0001545E">
        <w:rPr>
          <w:rFonts w:ascii="Verdana" w:hAnsi="Verdana"/>
          <w:i/>
          <w:iCs/>
          <w:sz w:val="22"/>
          <w:szCs w:val="22"/>
        </w:rPr>
        <w:t>Dillon</w:t>
      </w:r>
      <w:r w:rsidRPr="0001545E">
        <w:rPr>
          <w:rFonts w:ascii="Verdana" w:hAnsi="Verdana"/>
          <w:sz w:val="22"/>
          <w:szCs w:val="22"/>
        </w:rPr>
        <w:t xml:space="preserve"> confirmed that elements of Article 2(1) may be directly effective, meaning individuals can rely on it during domestic courts where relevant conditions are met. This gives Article 2 a degree of judicial enforceability, rather than relying solely on political or administrative compliance. </w:t>
      </w:r>
    </w:p>
    <w:p w:rsidR="00EC5765" w:rsidRPr="0001545E">
      <w:pPr>
        <w:rPr>
          <w:rFonts w:ascii="Verdana" w:hAnsi="Verdana"/>
          <w:sz w:val="22"/>
          <w:szCs w:val="22"/>
        </w:rPr>
      </w:pPr>
    </w:p>
    <w:p w:rsidR="00EC5765" w:rsidRPr="0001545E">
      <w:pPr>
        <w:rPr>
          <w:rFonts w:ascii="Verdana" w:hAnsi="Verdana"/>
          <w:sz w:val="22"/>
          <w:szCs w:val="22"/>
        </w:rPr>
      </w:pPr>
      <w:r w:rsidRPr="0001545E">
        <w:rPr>
          <w:rFonts w:ascii="Verdana" w:hAnsi="Verdana"/>
          <w:sz w:val="22"/>
          <w:szCs w:val="22"/>
        </w:rPr>
        <w:t xml:space="preserve">Alongside the courts, enforcement is also supported by the ‘dedicated mechanisms’ framework, primarily the Northern Ireland Human Rights Commission and the Equality Commission for Northern Ireland. These bodies play a monitoring and an advisory role, in identifying potential areas where legislative or policy changes may risk breaching the non-diminution commitment. </w:t>
      </w:r>
    </w:p>
    <w:p w:rsidR="00EC5765" w:rsidRPr="0001545E">
      <w:pPr>
        <w:rPr>
          <w:rFonts w:ascii="Verdana" w:hAnsi="Verdana"/>
          <w:sz w:val="22"/>
          <w:szCs w:val="22"/>
        </w:rPr>
      </w:pPr>
      <w:r w:rsidRPr="0001545E">
        <w:rPr>
          <w:rFonts w:ascii="Verdana" w:hAnsi="Verdana"/>
          <w:sz w:val="22"/>
          <w:szCs w:val="22"/>
        </w:rPr>
        <w:t xml:space="preserve">Article 2 therefore functions as a hybrid mechanism. Part treaty obligation and part domestic legal standard, with enforcement ultimately depending on both judicial interpretation and ongoing scrutiny of UK and Northern Irish legislation. </w:t>
      </w:r>
    </w:p>
    <w:p w:rsidR="00EC5765" w:rsidRPr="0001545E">
      <w:pPr>
        <w:rPr>
          <w:rFonts w:ascii="Verdana" w:hAnsi="Verdana"/>
          <w:sz w:val="22"/>
          <w:szCs w:val="22"/>
        </w:rPr>
      </w:pPr>
    </w:p>
    <w:p w:rsidR="00EC5765" w:rsidRPr="0001545E">
      <w:pPr>
        <w:rPr>
          <w:rFonts w:ascii="Verdana" w:hAnsi="Verdana"/>
          <w:sz w:val="22"/>
          <w:szCs w:val="22"/>
          <w:u w:val="single"/>
        </w:rPr>
      </w:pPr>
      <w:r w:rsidRPr="0001545E">
        <w:rPr>
          <w:rFonts w:ascii="Verdana" w:hAnsi="Verdana"/>
          <w:sz w:val="22"/>
          <w:szCs w:val="22"/>
          <w:u w:val="single"/>
        </w:rPr>
        <w:t xml:space="preserve">Evidence of Effectiveness in Protecting Rights After Brexit. </w:t>
      </w:r>
    </w:p>
    <w:p w:rsidR="00EC5765" w:rsidRPr="0001545E">
      <w:pPr>
        <w:rPr>
          <w:rFonts w:ascii="Verdana" w:hAnsi="Verdana"/>
          <w:sz w:val="22"/>
          <w:szCs w:val="22"/>
        </w:rPr>
      </w:pPr>
      <w:r w:rsidRPr="0001545E">
        <w:rPr>
          <w:rFonts w:ascii="Verdana" w:hAnsi="Verdana"/>
          <w:sz w:val="22"/>
          <w:szCs w:val="22"/>
        </w:rPr>
        <w:t xml:space="preserve">There is evidence that Article 2 of the Windsor Framework has had a meaningful impact in maintaining rights protections in Northern Ireland following Brexit, mainly by embedding a legally enforceable ‘non-diminution’ standard into domestic and international arrangements. </w:t>
      </w:r>
    </w:p>
    <w:p w:rsidR="00EC5765" w:rsidRPr="0001545E">
      <w:pPr>
        <w:rPr>
          <w:rFonts w:ascii="Verdana" w:hAnsi="Verdana"/>
          <w:sz w:val="22"/>
          <w:szCs w:val="22"/>
        </w:rPr>
      </w:pPr>
      <w:r w:rsidRPr="0001545E">
        <w:rPr>
          <w:rFonts w:ascii="Verdana" w:hAnsi="Verdana"/>
          <w:sz w:val="22"/>
          <w:szCs w:val="22"/>
        </w:rPr>
        <w:t xml:space="preserve">A key strength of Article 2 is that it provides continuity of rights protection by ensuring that core equality and anti-discrimination standards, previously underpinned by EU law, are not weakened due to Brexit. This has created a clear legal benchmark against which legislative and policy developments in Northern Ireland can be assessed. </w:t>
      </w:r>
    </w:p>
    <w:p w:rsidR="00EC5765" w:rsidRPr="0001545E">
      <w:pPr>
        <w:rPr>
          <w:rFonts w:ascii="Verdana" w:hAnsi="Verdana"/>
          <w:sz w:val="22"/>
          <w:szCs w:val="22"/>
        </w:rPr>
      </w:pPr>
      <w:r w:rsidRPr="0001545E">
        <w:rPr>
          <w:rFonts w:ascii="Verdana" w:hAnsi="Verdana"/>
          <w:sz w:val="22"/>
          <w:szCs w:val="22"/>
        </w:rPr>
        <w:t xml:space="preserve">The provision has also demonstrated practical legal significance. The UK Supreme Court’s decision in </w:t>
      </w:r>
      <w:r w:rsidRPr="0001545E">
        <w:rPr>
          <w:rFonts w:ascii="Verdana" w:hAnsi="Verdana"/>
          <w:i/>
          <w:iCs/>
          <w:sz w:val="22"/>
          <w:szCs w:val="22"/>
        </w:rPr>
        <w:t>Dillon</w:t>
      </w:r>
      <w:r w:rsidRPr="0001545E">
        <w:rPr>
          <w:rFonts w:ascii="Verdana" w:hAnsi="Verdana"/>
          <w:sz w:val="22"/>
          <w:szCs w:val="22"/>
        </w:rPr>
        <w:t xml:space="preserve"> confirmed that Article 2(1) may (context dependent) be directly effective in allowing citizens to rely on its protections in domestic courts. This strengthens its role beyond a purely political commitment. </w:t>
      </w:r>
    </w:p>
    <w:p w:rsidR="00EC5765" w:rsidRPr="0001545E">
      <w:pPr>
        <w:rPr>
          <w:rFonts w:ascii="Verdana" w:hAnsi="Verdana"/>
          <w:sz w:val="22"/>
          <w:szCs w:val="22"/>
        </w:rPr>
      </w:pPr>
      <w:r w:rsidRPr="0001545E">
        <w:rPr>
          <w:rFonts w:ascii="Verdana" w:hAnsi="Verdana"/>
          <w:sz w:val="22"/>
          <w:szCs w:val="22"/>
        </w:rPr>
        <w:t xml:space="preserve">In addition, Article 2 has played a growing role in parliamentary and institutional scrutiny of legislation affecting Northern Ireland. It has been used as a reference point in the examination of a range of UK Bills, such as, Nationality and Borders Act (2022), Illegal Migration Act (2023), and the Troubles Act (2023). All of which have raised considerations relevant to equality and rights protections within scope of Article 2. </w:t>
      </w:r>
    </w:p>
    <w:p w:rsidR="00EC5765" w:rsidRPr="0001545E">
      <w:pPr>
        <w:rPr>
          <w:rFonts w:ascii="Verdana" w:hAnsi="Verdana"/>
          <w:sz w:val="22"/>
          <w:szCs w:val="22"/>
        </w:rPr>
      </w:pPr>
      <w:r w:rsidRPr="0001545E">
        <w:rPr>
          <w:rFonts w:ascii="Verdana" w:hAnsi="Verdana"/>
          <w:sz w:val="22"/>
          <w:szCs w:val="22"/>
        </w:rPr>
        <w:t>Overall, these factors suggest that Article 2 contributed to maintaining a baseline of rights protection following Brexit, while also increasing the visibility of rights considerations in UK legislative development relating to Northern Ireland.</w:t>
      </w:r>
    </w:p>
    <w:p w:rsidR="00EC5765" w:rsidRPr="0001545E">
      <w:pPr>
        <w:rPr>
          <w:rFonts w:ascii="Verdana" w:hAnsi="Verdana"/>
          <w:sz w:val="22"/>
          <w:szCs w:val="22"/>
        </w:rPr>
      </w:pPr>
    </w:p>
    <w:p w:rsidR="00EC5765" w:rsidRPr="0001545E">
      <w:pPr>
        <w:rPr>
          <w:rFonts w:ascii="Verdana" w:hAnsi="Verdana"/>
          <w:sz w:val="22"/>
          <w:szCs w:val="22"/>
          <w:u w:val="single"/>
        </w:rPr>
      </w:pPr>
      <w:r w:rsidRPr="0001545E">
        <w:rPr>
          <w:rFonts w:ascii="Verdana" w:hAnsi="Verdana"/>
          <w:sz w:val="22"/>
          <w:szCs w:val="22"/>
          <w:u w:val="single"/>
        </w:rPr>
        <w:t>Challenges and Limitations in Implementation.</w:t>
      </w:r>
    </w:p>
    <w:p w:rsidR="00EC5765" w:rsidRPr="0001545E">
      <w:pPr>
        <w:rPr>
          <w:rFonts w:ascii="Verdana" w:hAnsi="Verdana"/>
          <w:sz w:val="22"/>
          <w:szCs w:val="22"/>
        </w:rPr>
      </w:pPr>
      <w:r w:rsidRPr="0001545E">
        <w:rPr>
          <w:rFonts w:ascii="Verdana" w:hAnsi="Verdana"/>
          <w:sz w:val="22"/>
          <w:szCs w:val="22"/>
        </w:rPr>
        <w:t>Despite its significance, Article 2 of the Windsor Framework presents several practical and constitutional challenges which affect the clarity and consistency of its application in practice.</w:t>
      </w:r>
    </w:p>
    <w:p w:rsidR="00EC5765" w:rsidRPr="0001545E">
      <w:pPr>
        <w:rPr>
          <w:rFonts w:ascii="Verdana" w:hAnsi="Verdana"/>
          <w:sz w:val="22"/>
          <w:szCs w:val="22"/>
        </w:rPr>
      </w:pPr>
      <w:r w:rsidRPr="0001545E">
        <w:rPr>
          <w:rFonts w:ascii="Verdana" w:hAnsi="Verdana"/>
          <w:sz w:val="22"/>
          <w:szCs w:val="22"/>
        </w:rPr>
        <w:t xml:space="preserve">A key limitation is the complexity of the framework itself, Article 2 operates through a combination of treaty obligations, retained EU law, domestic legal principles, and institutional mechanisms. This layered structure makes it difficult for policymakers and the public to clearly understand the scope of the rights being protected. Conversely, the continued application of selected EU provisions under Article 2 raises broader constitutional questions surrounding the relationship between Brexit and parliamentary sovereignty, creating constitutional tension between sovereignty and rights. This also raises the issue of institutional consistency, as understanding the non-diminution obligation may vary across departments. This can create a challenge when non-diminution policies are drafted into new Bills. </w:t>
      </w:r>
    </w:p>
    <w:p w:rsidR="00EC5765" w:rsidRPr="0001545E">
      <w:pPr>
        <w:rPr>
          <w:rFonts w:ascii="Verdana" w:hAnsi="Verdana"/>
          <w:sz w:val="22"/>
          <w:szCs w:val="22"/>
        </w:rPr>
      </w:pPr>
      <w:r w:rsidRPr="0001545E">
        <w:rPr>
          <w:rFonts w:ascii="Verdana" w:hAnsi="Verdana"/>
          <w:sz w:val="22"/>
          <w:szCs w:val="22"/>
        </w:rPr>
        <w:t xml:space="preserve">A further challenge relates to legal interpretation, particularly around what constitutes a ‘diminution’ of rights. This is not always uniform and may depend on judicial interpretation in individual cases. For example, in </w:t>
      </w:r>
      <w:r w:rsidRPr="0001545E">
        <w:rPr>
          <w:rFonts w:ascii="Verdana" w:hAnsi="Verdana"/>
          <w:i/>
          <w:iCs/>
          <w:sz w:val="22"/>
          <w:szCs w:val="22"/>
        </w:rPr>
        <w:t>Dillon</w:t>
      </w:r>
      <w:r w:rsidRPr="0001545E">
        <w:rPr>
          <w:rFonts w:ascii="Verdana" w:hAnsi="Verdana"/>
          <w:sz w:val="22"/>
          <w:szCs w:val="22"/>
        </w:rPr>
        <w:t xml:space="preserve">, the Supreme Court confirmed aspects of direct effect under Article 2(1), but the judgement also illustrates that the scope and application of the provision </w:t>
      </w:r>
      <w:r w:rsidRPr="0001545E">
        <w:rPr>
          <w:rFonts w:ascii="Verdana" w:hAnsi="Verdana"/>
          <w:sz w:val="22"/>
          <w:szCs w:val="22"/>
        </w:rPr>
        <w:t>remains</w:t>
      </w:r>
      <w:r w:rsidRPr="0001545E">
        <w:rPr>
          <w:rFonts w:ascii="Verdana" w:hAnsi="Verdana"/>
          <w:sz w:val="22"/>
          <w:szCs w:val="22"/>
        </w:rPr>
        <w:t xml:space="preserve"> likely to be further shaped by future litigation. </w:t>
      </w:r>
    </w:p>
    <w:p w:rsidR="00EC5765" w:rsidRPr="0001545E">
      <w:pPr>
        <w:rPr>
          <w:rFonts w:ascii="Verdana" w:hAnsi="Verdana"/>
          <w:sz w:val="22"/>
          <w:szCs w:val="22"/>
        </w:rPr>
      </w:pPr>
      <w:r w:rsidRPr="0001545E">
        <w:rPr>
          <w:rFonts w:ascii="Verdana" w:hAnsi="Verdana"/>
          <w:sz w:val="22"/>
          <w:szCs w:val="22"/>
        </w:rPr>
        <w:t xml:space="preserve">There are also practical limitations in enforcement. While mechanisms provide monitoring and advisory functions, they do not have binding enforcement powers. As a result, enforcement in practice may depend on either political compliance or litigation through domestic courts. For instance, where challenges arise in relation to UK legislation such as the Nationality and Borders Act or the Illegal Migration Act, where rights-based arguments have been raised in the context of equality and non-discrimination considerations. </w:t>
      </w:r>
    </w:p>
    <w:p w:rsidR="00EC5765" w:rsidRPr="0001545E">
      <w:pPr>
        <w:rPr>
          <w:rFonts w:ascii="Verdana" w:hAnsi="Verdana"/>
          <w:sz w:val="22"/>
          <w:szCs w:val="22"/>
        </w:rPr>
      </w:pPr>
      <w:r w:rsidRPr="0001545E">
        <w:rPr>
          <w:rFonts w:ascii="Verdana" w:hAnsi="Verdana"/>
          <w:sz w:val="22"/>
          <w:szCs w:val="22"/>
        </w:rPr>
        <w:t xml:space="preserve">Overall, while Article 2 provides a strong legal framework in principle, its effectiveness in practice is shaped by interpretative uncertainty and the complexity of its implementation. </w:t>
      </w:r>
    </w:p>
    <w:p w:rsidR="00EC5765" w:rsidRPr="0001545E">
      <w:pPr>
        <w:rPr>
          <w:rFonts w:ascii="Verdana" w:hAnsi="Verdana"/>
          <w:sz w:val="22"/>
          <w:szCs w:val="22"/>
        </w:rPr>
      </w:pPr>
    </w:p>
    <w:p w:rsidR="00EC5765" w:rsidRPr="0001545E">
      <w:pPr>
        <w:rPr>
          <w:rFonts w:ascii="Verdana" w:hAnsi="Verdana"/>
          <w:sz w:val="22"/>
          <w:szCs w:val="22"/>
          <w:u w:val="single"/>
        </w:rPr>
      </w:pPr>
      <w:r w:rsidRPr="0001545E">
        <w:rPr>
          <w:rFonts w:ascii="Verdana" w:hAnsi="Verdana"/>
          <w:sz w:val="22"/>
          <w:szCs w:val="22"/>
          <w:u w:val="single"/>
        </w:rPr>
        <w:t>Conclusion: Overall Assessment.</w:t>
      </w:r>
    </w:p>
    <w:p w:rsidR="00EC5765" w:rsidRPr="0001545E">
      <w:pPr>
        <w:rPr>
          <w:rFonts w:ascii="Verdana" w:hAnsi="Verdana"/>
          <w:sz w:val="22"/>
          <w:szCs w:val="22"/>
        </w:rPr>
      </w:pPr>
      <w:r w:rsidRPr="0001545E">
        <w:rPr>
          <w:rFonts w:ascii="Verdana" w:hAnsi="Verdana"/>
          <w:sz w:val="22"/>
          <w:szCs w:val="22"/>
        </w:rPr>
        <w:t xml:space="preserve">In conclusion, Article 2 of the Windsor Framework can be assessed as a significant and largely effective mechanisms for maintaining rights and equality protections in Northern Ireland following Brexit. Its primary strength lies in providing a legally enforceable ‘non-diminution’ commitment, anchored in both retained EU equality law and the rights provision of the Belfast/Good Friday Agreement, supported through domestic courts and oversight bodies. </w:t>
      </w:r>
    </w:p>
    <w:p w:rsidR="00EC5765" w:rsidRPr="0001545E">
      <w:pPr>
        <w:rPr>
          <w:rFonts w:ascii="Verdana" w:hAnsi="Verdana"/>
          <w:sz w:val="22"/>
          <w:szCs w:val="22"/>
        </w:rPr>
      </w:pPr>
      <w:r w:rsidRPr="0001545E">
        <w:rPr>
          <w:rFonts w:ascii="Verdana" w:hAnsi="Verdana"/>
          <w:sz w:val="22"/>
          <w:szCs w:val="22"/>
        </w:rPr>
        <w:t xml:space="preserve">However, its effectiveness in. practice is shaped by </w:t>
      </w:r>
      <w:r w:rsidRPr="0001545E">
        <w:rPr>
          <w:rFonts w:ascii="Verdana" w:hAnsi="Verdana"/>
          <w:sz w:val="22"/>
          <w:szCs w:val="22"/>
        </w:rPr>
        <w:t>a number of</w:t>
      </w:r>
      <w:r w:rsidRPr="0001545E">
        <w:rPr>
          <w:rFonts w:ascii="Verdana" w:hAnsi="Verdana"/>
          <w:sz w:val="22"/>
          <w:szCs w:val="22"/>
        </w:rPr>
        <w:t xml:space="preserve"> limitations including uncertainty of the definition of ‘diminution’ and reliance on interpretation for enforcement. This creates challenges in clarity and consistency across government. </w:t>
      </w:r>
    </w:p>
    <w:p w:rsidR="00EC5765" w:rsidRPr="0001545E">
      <w:pPr>
        <w:rPr>
          <w:rFonts w:ascii="Verdana" w:hAnsi="Verdana"/>
          <w:sz w:val="22"/>
          <w:szCs w:val="22"/>
        </w:rPr>
      </w:pPr>
      <w:r w:rsidRPr="0001545E">
        <w:rPr>
          <w:rFonts w:ascii="Verdana" w:hAnsi="Verdana"/>
          <w:sz w:val="22"/>
          <w:szCs w:val="22"/>
        </w:rPr>
        <w:t xml:space="preserve">On balance, Article 2 represents a meaningful but evolving framework, which strengthens rights protections also reflecting broader constitutional tensions arising from Brexit and the continued use of EU standards in domestic contexts.  </w:t>
      </w:r>
    </w:p>
    <w:p w:rsidR="00EC5765" w:rsidRPr="00C5302E">
      <w:pPr>
        <w:rPr>
          <w:rFonts w:ascii="Verdana" w:hAnsi="Verdana"/>
          <w:b/>
          <w:bCs/>
          <w:i/>
          <w:iCs/>
          <w:sz w:val="22"/>
          <w:szCs w:val="22"/>
        </w:rPr>
      </w:pPr>
      <w:r w:rsidRPr="00C5302E">
        <w:rPr>
          <w:rFonts w:ascii="Verdana" w:hAnsi="Verdana"/>
          <w:b/>
          <w:bCs/>
          <w:i/>
          <w:iCs/>
          <w:sz w:val="22"/>
          <w:szCs w:val="22"/>
        </w:rPr>
        <w:t>22 June 2026</w:t>
      </w:r>
    </w:p>
    <w:sectPr w:rsidSect="00BE36CE">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oNotTrackMove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1544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44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44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44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44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44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44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44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44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4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44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44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44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44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44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44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44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44D3"/>
    <w:rPr>
      <w:rFonts w:eastAsiaTheme="majorEastAsia" w:cstheme="majorBidi"/>
      <w:color w:val="272727" w:themeColor="text1" w:themeTint="D8"/>
    </w:rPr>
  </w:style>
  <w:style w:type="paragraph" w:styleId="Title">
    <w:name w:val="Title"/>
    <w:basedOn w:val="Normal"/>
    <w:next w:val="Normal"/>
    <w:link w:val="TitleChar"/>
    <w:uiPriority w:val="10"/>
    <w:qFormat/>
    <w:rsid w:val="001544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44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44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44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44D3"/>
    <w:pPr>
      <w:spacing w:before="160"/>
      <w:jc w:val="center"/>
    </w:pPr>
    <w:rPr>
      <w:i/>
      <w:iCs/>
      <w:color w:val="404040" w:themeColor="text1" w:themeTint="BF"/>
    </w:rPr>
  </w:style>
  <w:style w:type="character" w:customStyle="1" w:styleId="QuoteChar">
    <w:name w:val="Quote Char"/>
    <w:basedOn w:val="DefaultParagraphFont"/>
    <w:link w:val="Quote"/>
    <w:uiPriority w:val="29"/>
    <w:rsid w:val="001544D3"/>
    <w:rPr>
      <w:i/>
      <w:iCs/>
      <w:color w:val="404040" w:themeColor="text1" w:themeTint="BF"/>
    </w:rPr>
  </w:style>
  <w:style w:type="paragraph" w:styleId="ListParagraph">
    <w:name w:val="List Paragraph"/>
    <w:basedOn w:val="Normal"/>
    <w:uiPriority w:val="34"/>
    <w:qFormat/>
    <w:rsid w:val="001544D3"/>
    <w:pPr>
      <w:ind w:left="720"/>
      <w:contextualSpacing/>
    </w:pPr>
  </w:style>
  <w:style w:type="character" w:styleId="IntenseEmphasis">
    <w:name w:val="Intense Emphasis"/>
    <w:basedOn w:val="DefaultParagraphFont"/>
    <w:uiPriority w:val="21"/>
    <w:qFormat/>
    <w:rsid w:val="001544D3"/>
    <w:rPr>
      <w:i/>
      <w:iCs/>
      <w:color w:val="0F4761" w:themeColor="accent1" w:themeShade="BF"/>
    </w:rPr>
  </w:style>
  <w:style w:type="paragraph" w:styleId="IntenseQuote">
    <w:name w:val="Intense Quote"/>
    <w:basedOn w:val="Normal"/>
    <w:next w:val="Normal"/>
    <w:link w:val="IntenseQuoteChar"/>
    <w:uiPriority w:val="30"/>
    <w:qFormat/>
    <w:rsid w:val="001544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44D3"/>
    <w:rPr>
      <w:i/>
      <w:iCs/>
      <w:color w:val="0F4761" w:themeColor="accent1" w:themeShade="BF"/>
    </w:rPr>
  </w:style>
  <w:style w:type="character" w:styleId="IntenseReference">
    <w:name w:val="Intense Reference"/>
    <w:basedOn w:val="DefaultParagraphFont"/>
    <w:uiPriority w:val="32"/>
    <w:qFormat/>
    <w:rsid w:val="001544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ART0007</dc:title>
  <cp:revision>0</cp:revision>
</cp:coreProperties>
</file>