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C6CEC" w:rsidRPr="00EC6CEC" w:rsidP="0001596E">
      <w:pPr>
        <w:ind w:left="720" w:hanging="360"/>
        <w:jc w:val="center"/>
        <w:rPr>
          <w:b/>
          <w:bCs/>
          <w:sz w:val="26"/>
          <w:szCs w:val="26"/>
        </w:rPr>
      </w:pPr>
      <w:r w:rsidRPr="00EC6CEC">
        <w:rPr>
          <w:b/>
          <w:bCs/>
          <w:sz w:val="26"/>
          <w:szCs w:val="26"/>
        </w:rPr>
        <w:t xml:space="preserve">Written evidence submitted by the </w:t>
      </w:r>
      <w:r w:rsidRPr="00EC6CEC">
        <w:rPr>
          <w:b/>
          <w:bCs/>
          <w:sz w:val="26"/>
          <w:szCs w:val="26"/>
        </w:rPr>
        <w:t>Centre for Rural Policy Research, University of Exeter</w:t>
      </w:r>
      <w:r w:rsidRPr="00EC6CEC">
        <w:rPr>
          <w:b/>
          <w:bCs/>
          <w:sz w:val="26"/>
          <w:szCs w:val="26"/>
        </w:rPr>
        <w:t xml:space="preserve"> (LUN0014)</w:t>
      </w:r>
    </w:p>
    <w:p w:rsidR="00EC6CEC" w:rsidP="0001596E">
      <w:pPr>
        <w:ind w:left="720" w:hanging="360"/>
        <w:jc w:val="center"/>
        <w:rPr>
          <w:b/>
          <w:bCs/>
        </w:rPr>
      </w:pPr>
    </w:p>
    <w:p w:rsidR="009C6606" w:rsidRPr="0001596E" w:rsidP="0001596E">
      <w:pPr>
        <w:ind w:left="720" w:hanging="360"/>
        <w:jc w:val="center"/>
        <w:rPr>
          <w:b/>
          <w:bCs/>
        </w:rPr>
      </w:pPr>
      <w:r w:rsidRPr="0001596E">
        <w:rPr>
          <w:b/>
          <w:bCs/>
        </w:rPr>
        <w:t>Call for evidence</w:t>
      </w:r>
    </w:p>
    <w:p w:rsidR="009C6606" w:rsidRPr="0001596E" w:rsidP="0001596E">
      <w:pPr>
        <w:ind w:left="720" w:hanging="360"/>
        <w:jc w:val="center"/>
      </w:pPr>
      <w:r w:rsidRPr="0001596E">
        <w:t>The future of England's uplands</w:t>
      </w:r>
    </w:p>
    <w:p w:rsidR="009C6606" w:rsidP="00671338">
      <w:pPr>
        <w:ind w:left="720" w:hanging="360"/>
        <w:jc w:val="both"/>
      </w:pPr>
    </w:p>
    <w:p w:rsidR="009C6606" w:rsidRPr="00B67E3D" w:rsidP="00CC0154">
      <w:pPr>
        <w:ind w:left="720" w:hanging="360"/>
        <w:jc w:val="center"/>
      </w:pPr>
      <w:r w:rsidRPr="00B67E3D">
        <w:t>Response by</w:t>
      </w:r>
      <w:r>
        <w:t xml:space="preserve"> Dr. Charles Masquelier, Dr. Steve Emery, and Prof. Matt Lobley on behalf of</w:t>
      </w:r>
      <w:r w:rsidRPr="00B67E3D">
        <w:t xml:space="preserve"> the Centre for Rural Policy Research, </w:t>
      </w:r>
      <w:r w:rsidRPr="00B67E3D">
        <w:rPr>
          <w:i/>
          <w:iCs/>
        </w:rPr>
        <w:t>University of Exeter</w:t>
      </w:r>
    </w:p>
    <w:p w:rsidR="009C6606" w:rsidP="0001596E">
      <w:pPr>
        <w:jc w:val="both"/>
        <w:rPr>
          <w:b/>
          <w:bCs/>
        </w:rPr>
      </w:pPr>
    </w:p>
    <w:p w:rsidR="009C6606" w:rsidRPr="0001596E" w:rsidP="0001596E">
      <w:pPr>
        <w:jc w:val="both"/>
        <w:rPr>
          <w:b/>
          <w:bCs/>
        </w:rPr>
      </w:pPr>
    </w:p>
    <w:p w:rsidR="009C6606" w:rsidP="00B67E3D">
      <w:r w:rsidRPr="00A73569">
        <w:rPr>
          <w:b/>
          <w:bCs/>
        </w:rPr>
        <w:t>1.</w:t>
      </w:r>
      <w:r>
        <w:rPr>
          <w:b/>
          <w:bCs/>
        </w:rPr>
        <w:t xml:space="preserve"> </w:t>
      </w:r>
      <w:r w:rsidRPr="00B67E3D">
        <w:rPr>
          <w:b/>
          <w:bCs/>
        </w:rPr>
        <w:t xml:space="preserve">How effectively do current policies balance competing demands in the uplands, including food production, nature recovery, climate mitigation, water management, and public access, and where do the key tensions remain? </w:t>
      </w:r>
    </w:p>
    <w:p w:rsidR="009C6606" w:rsidP="00570DAE">
      <w:pPr>
        <w:jc w:val="both"/>
      </w:pPr>
    </w:p>
    <w:p w:rsidR="009C6606" w:rsidP="00B67E3D">
      <w:pPr>
        <w:jc w:val="both"/>
      </w:pPr>
      <w:r>
        <w:t xml:space="preserve">1.1. </w:t>
      </w:r>
      <w:r w:rsidRPr="00E33E95">
        <w:t>Current policies are moving in broadly the right direction, but the balance between competing demands, such as food production, nature recovery, climate mitigation, water management, and public access, is not yet being struck effectively, and several key tensions remain under-resolved.</w:t>
      </w:r>
    </w:p>
    <w:p w:rsidR="009C6606" w:rsidRPr="00E33E95" w:rsidP="00B67E3D">
      <w:pPr>
        <w:pStyle w:val="ListParagraph"/>
        <w:ind w:left="0"/>
        <w:jc w:val="both"/>
      </w:pPr>
    </w:p>
    <w:p w:rsidR="009C6606" w:rsidP="00B67E3D">
      <w:pPr>
        <w:jc w:val="both"/>
      </w:pPr>
      <w:r>
        <w:t xml:space="preserve">1.2. </w:t>
      </w:r>
      <w:r w:rsidRPr="00E33E95">
        <w:t>Farmers often experience environmental policies as barriers to food production rather than enablers of it. There is growing demand for mechanisms that better align farming with environmental outcomes, and a results-based approach to environmental land management is increasingly cited as a more effective alternative to the current prescriptive model. Rather than requiring farmers to follow prescribed actions regardless of local conditions, a devolved approach empowering farmers in the delivery of environmental outcomes would allow for greater flexibility while maintaining accountability.</w:t>
      </w:r>
    </w:p>
    <w:p w:rsidR="009C6606" w:rsidP="00B67E3D">
      <w:pPr>
        <w:pStyle w:val="ListParagraph"/>
        <w:ind w:left="360"/>
        <w:jc w:val="both"/>
      </w:pPr>
    </w:p>
    <w:p w:rsidR="009C6606" w:rsidP="00B67E3D">
      <w:pPr>
        <w:jc w:val="both"/>
      </w:pPr>
      <w:r>
        <w:t xml:space="preserve">1.3. </w:t>
      </w:r>
      <w:r w:rsidRPr="00E33E95">
        <w:t>There is significant remaining tension between the protection of cultural heritage and nature in upland landscapes. Academics have argued that we are witnessing a process of 'cultural severance' in the uplands and that the Commons are under renewed pressures for 'virtual enclosure</w:t>
      </w:r>
      <w:r>
        <w:t>,’</w:t>
      </w:r>
      <w:r w:rsidRPr="00E33E95">
        <w:t xml:space="preserve"> whereby Commons holders lose their ability to exercise their rights because it is rendered impossible by economic and policy restrictions. The Land Use Framework has identified the most significant moves away from food production in upland areas, in favour of nature recovery and climate mitigation land-uses. Options remain to balance these competing demands but, together, the current suite of policy signals point to a significant threat to the cultural heritage value of upland landscapes.</w:t>
      </w:r>
    </w:p>
    <w:p w:rsidR="009C6606" w:rsidP="00B67E3D">
      <w:pPr>
        <w:jc w:val="both"/>
      </w:pPr>
    </w:p>
    <w:p w:rsidR="009C6606" w:rsidP="00B67E3D">
      <w:pPr>
        <w:jc w:val="both"/>
      </w:pPr>
      <w:r>
        <w:t xml:space="preserve">1.4. </w:t>
      </w:r>
      <w:r w:rsidRPr="00E33E95">
        <w:t>Key tensions remain over the increasing privatisation and financialisation of upland landscapes. The 'growth agenda' has too readily come to pervade every area of policy, including food production, environmental protection and climate mitigation. Whilst there are some opportunities for greater involvement from the private sector and new investors, some of the policy aspirations are chimeric and possibly detrimental. Early indications are that private finance will not provide reliable and long-term security for nature recovery and climate targets. There is therefore a significant tension with government resource and funding, if genuine progress is to be made in enhancing nature, protecting cultural heritage and food production, and enabling upland communities to flourish.</w:t>
      </w:r>
    </w:p>
    <w:p w:rsidR="009C6606" w:rsidRPr="00E33E95" w:rsidP="00B67E3D">
      <w:pPr>
        <w:jc w:val="both"/>
      </w:pPr>
    </w:p>
    <w:p w:rsidR="009C6606" w:rsidP="00B67E3D">
      <w:pPr>
        <w:pStyle w:val="ListParagraph"/>
        <w:ind w:left="0"/>
        <w:jc w:val="both"/>
      </w:pPr>
      <w:r>
        <w:t xml:space="preserve">1.5. </w:t>
      </w:r>
      <w:r w:rsidRPr="00E33E95">
        <w:t>Public access presents a further area of tension. While many farmers and land managers recognise the value of National Parks and the broader public benefit of access to upland landscapes, concerns are mounting about the risks associated with increased visitor numbers, particularly in the context of climate change and the growing incidence of wildfires on moorland. This tension between recreational access and responsible land management has yet to be addressed adequately in policy.</w:t>
      </w:r>
    </w:p>
    <w:p w:rsidR="009C6606" w:rsidRPr="00E33E95" w:rsidP="00B67E3D">
      <w:pPr>
        <w:pStyle w:val="ListParagraph"/>
        <w:ind w:left="0"/>
        <w:jc w:val="both"/>
      </w:pPr>
    </w:p>
    <w:p w:rsidR="009C6606" w:rsidP="00570DAE">
      <w:pPr>
        <w:jc w:val="both"/>
      </w:pPr>
      <w:r>
        <w:t xml:space="preserve">1.6. </w:t>
      </w:r>
      <w:r w:rsidRPr="00E33E95">
        <w:t>A significant additional challenge is the sheer volume and pace of recent policy development and lack of policy stability. A significant number of strategies, frameworks and reviews have been published in quick succession, including the Land Use Framework, Natural England's Strategy, the Environmental Improvement Plan 2025, the Food Strategy, Local Nature Recovery Strategies, the Farming Profitability Review, and Hilary Cottam's work in the uplands. Considerable work will be needed to ensure they are mutually reinforcing rather than pulling in different directions.</w:t>
      </w:r>
    </w:p>
    <w:p w:rsidR="009C6606" w:rsidP="00B67E3D">
      <w:pPr>
        <w:jc w:val="both"/>
      </w:pPr>
    </w:p>
    <w:p w:rsidR="009C6606" w:rsidRPr="00E33E95" w:rsidP="00B67E3D">
      <w:pPr>
        <w:pStyle w:val="ListParagraph"/>
        <w:ind w:left="0"/>
        <w:jc w:val="both"/>
      </w:pPr>
      <w:r>
        <w:t xml:space="preserve">1.7. </w:t>
      </w:r>
      <w:r w:rsidRPr="00E33E95">
        <w:t>Perhaps the most acute and entrenched tensions are those found in areas like the Dark Peak, where grouse moor managers, Natural England, and environmental NGOs remain in sharp disagreement. Grouse moor managers argue that their habitat management practices, including heather burning and predator control, are net positive for nature. Many NGOs contend, conversely, that these practices cause lasting damage to moorland ecosystems, particularly blanket bog. Very little progress is currently being made to resolve these opposing positions. This matters beyond the immediate dispute, since grouse moors cover a vast expanse of the English uplands and the land management decisions made on them have significant consequences for carbon storage, water regulation, and biodiversity. A place-based approach to environmental land management could encourage greater engagement from grouse moor managers in nature recovery, while providing an objective basis on which competing claims about environmental impact can be assessed. This would not resolve the underlying disagreements overnight, but it would shift the terms of the debate from assertion to evidence, and give local land managers a meaningful opportunity to demonstrate what they know and can deliver.</w:t>
      </w:r>
    </w:p>
    <w:p w:rsidR="009C6606" w:rsidP="006C3A1F"/>
    <w:p w:rsidR="009C6606" w:rsidP="009C2FDF">
      <w:pPr>
        <w:rPr>
          <w:b/>
          <w:bCs/>
        </w:rPr>
      </w:pPr>
    </w:p>
    <w:p w:rsidR="009C6606" w:rsidRPr="00AE6ED2" w:rsidP="00AE6ED2"/>
    <w:p w:rsidR="009C6606" w:rsidRPr="00B67E3D" w:rsidP="00B67E3D">
      <w:pPr>
        <w:rPr>
          <w:b/>
          <w:bCs/>
        </w:rPr>
      </w:pPr>
      <w:r>
        <w:rPr>
          <w:b/>
          <w:bCs/>
        </w:rPr>
        <w:t xml:space="preserve">2. </w:t>
      </w:r>
      <w:r w:rsidRPr="00B67E3D">
        <w:rPr>
          <w:b/>
          <w:bCs/>
        </w:rPr>
        <w:t xml:space="preserve">What has been the impact of agricultural policy changes (including the transition away from direct payments) on upland farming businesses, and the impact of these changes on farming profitability? </w:t>
      </w:r>
    </w:p>
    <w:p w:rsidR="009C6606" w:rsidP="006306CD"/>
    <w:p w:rsidR="009C6606" w:rsidRPr="00E33E95" w:rsidP="00FD7D27"/>
    <w:p w:rsidR="009C6606" w:rsidP="00B67E3D">
      <w:pPr>
        <w:jc w:val="both"/>
      </w:pPr>
      <w:r w:rsidRPr="00E33E95">
        <w:t>2.1. Upland farming businesses are under severe financial pressure. They are highly dependent on state payments to remain viable and often struggle to make ends meet. The Basic Payment Scheme (BPS), while a lifeline for many, was deeply flawed: it disproportionately benefited large farms, and there is little evidence that the shift to Environmental Land Management schemes has meaningfully changed this outcome.</w:t>
      </w:r>
    </w:p>
    <w:p w:rsidR="009C6606" w:rsidRPr="00E33E95" w:rsidP="00B67E3D">
      <w:pPr>
        <w:jc w:val="both"/>
      </w:pPr>
    </w:p>
    <w:p w:rsidR="009C6606" w:rsidP="00B67E3D">
      <w:pPr>
        <w:jc w:val="both"/>
      </w:pPr>
      <w:r w:rsidRPr="00E33E95">
        <w:t>2.2. Despite these pressures, many upland farmers recognise the importance of farming with nature and have actively sought to join agri-environment schemes (AES), in large part to compensate for the loss of direct payment income. Most now hold an AES agreement such as the Higher Level Stewardship (HLS) scheme, reflecting both environmental commitment and financial necessity. However, since many upland farmers were already in receipt of environmental stewardship payments, they are not able to recoup monies lost from the BPS. Perversely, the greater opportunity to recoup BPS monies through the SFI falls on larger, lowland farmers who had hitherto engaged less in environmental stewardship. The result appears like punishment rather than reward for good prior environmental performance.</w:t>
      </w:r>
    </w:p>
    <w:p w:rsidR="009C6606" w:rsidRPr="00E33E95" w:rsidP="00B67E3D">
      <w:pPr>
        <w:jc w:val="both"/>
      </w:pPr>
    </w:p>
    <w:p w:rsidR="009C6606" w:rsidP="00B67E3D">
      <w:pPr>
        <w:jc w:val="both"/>
      </w:pPr>
      <w:r w:rsidRPr="00E33E95">
        <w:t>2.3. The risk is that ELM schemes are being used to plug an income gap rather than to drive genuine environmental ambition, and that the structural inequity of the BPS era is being quietly replicated rather than corrected. Ensuring that scheme payments reach those managing the most environmentally sensitive upland land, rather than concentrating benefit among larger holdings, remains an unresolved challenge.</w:t>
      </w:r>
    </w:p>
    <w:p w:rsidR="009C6606" w:rsidP="00B67E3D">
      <w:pPr>
        <w:jc w:val="both"/>
      </w:pPr>
    </w:p>
    <w:p w:rsidR="009C6606" w:rsidP="00B67E3D">
      <w:pPr>
        <w:jc w:val="both"/>
      </w:pPr>
      <w:r w:rsidRPr="00E33E95">
        <w:t>2.4. The policy changes, and the way in which they have been implemented, have introduced considerable uncertainty for upland farmers, making future planning and investment very difficult — leading to desperation and stagnation rather than hope and innovation. The current inability of commons to participate in SFI (which account for a significant proportion of upland SSSIs) is a prime example of this policy mismanagement.</w:t>
      </w:r>
    </w:p>
    <w:p w:rsidR="009C6606" w:rsidRPr="00E33E95" w:rsidP="00B67E3D">
      <w:pPr>
        <w:jc w:val="both"/>
      </w:pPr>
    </w:p>
    <w:p w:rsidR="009C6606" w:rsidP="00B67E3D">
      <w:pPr>
        <w:jc w:val="both"/>
      </w:pPr>
    </w:p>
    <w:p w:rsidR="009C6606" w:rsidRPr="00B67E3D" w:rsidP="00B67E3D">
      <w:pPr>
        <w:jc w:val="both"/>
        <w:rPr>
          <w:b/>
          <w:bCs/>
        </w:rPr>
      </w:pPr>
      <w:r w:rsidRPr="00B67E3D">
        <w:rPr>
          <w:b/>
          <w:bCs/>
        </w:rPr>
        <w:t xml:space="preserve">3. To what extent do the current Environmental Land Management (ELM) schemes and other support like the Farming in Protected Landscapes (FiPL) schemes support financially and environmentally sustainable land management in the uplands? </w:t>
      </w:r>
    </w:p>
    <w:p w:rsidR="009C6606" w:rsidP="00B67E3D">
      <w:pPr>
        <w:jc w:val="both"/>
      </w:pPr>
    </w:p>
    <w:p w:rsidR="009C6606" w:rsidP="00B67E3D">
      <w:pPr>
        <w:jc w:val="both"/>
      </w:pPr>
      <w:r>
        <w:t>3.1. Due to an apparent technical error, Commons holders are currently not able to claim SFI or Countryside stewardship for their common land. This poses an existential threat to the sustainability of commons grazing and the survival of upland farmers, especially when combined with the point in Section 2 that many upland farmers were already in receipt of agri-environmental payments providing reduced scope for additionality following withdrawal of BPS.</w:t>
      </w:r>
    </w:p>
    <w:p w:rsidR="009C6606" w:rsidP="00B67E3D">
      <w:pPr>
        <w:jc w:val="both"/>
      </w:pPr>
    </w:p>
    <w:p w:rsidR="009C6606" w:rsidP="00B67E3D">
      <w:pPr>
        <w:jc w:val="both"/>
      </w:pPr>
      <w:r>
        <w:t xml:space="preserve">3.2. </w:t>
      </w:r>
      <w:r w:rsidRPr="00671338">
        <w:t>Current ELM schemes and the Farming in Protected Landscapes programme provide meaningful support for upland farmers, but they fall short of what is needed to secure the long-term financial and environmental sustainability of upland farming.</w:t>
      </w:r>
    </w:p>
    <w:p w:rsidR="009C6606" w:rsidRPr="00671338" w:rsidP="00B67E3D">
      <w:pPr>
        <w:jc w:val="both"/>
      </w:pPr>
    </w:p>
    <w:p w:rsidR="009C6606" w:rsidP="00671338">
      <w:pPr>
        <w:jc w:val="both"/>
      </w:pPr>
      <w:r>
        <w:t xml:space="preserve">3.3. </w:t>
      </w:r>
      <w:r w:rsidRPr="00671338">
        <w:t>The extension of FiPL funding has been widely welcomed. Many upland farmers rely on it to collaborate on a range of productive and environmental activities, and alongside ELM schemes and the forthcoming Farmer Collaboration Fund, it has real potential to foster the kind of joint working that isolated upland businesses struggle to achieve alone. Collaboration matters in this context not only for environmental reasons but for economic survival.</w:t>
      </w:r>
      <w:r>
        <w:t xml:space="preserve"> Regionally targeted schemes such as FiPL tend to be popular among farmers, giving them a greater degree of ownership, an understanding of the local objectives, and greater opportunity to liaise with local agri-environmental advisors.</w:t>
      </w:r>
      <w:r w:rsidRPr="00671338">
        <w:t xml:space="preserve"> The economic fragility of upland farming, its sustained dependence on state subsidy, and the pressures of market competition mean that individual farms often lack the scale and resilience to navigate an increasingly demanding policy and commercial environment.</w:t>
      </w:r>
    </w:p>
    <w:p w:rsidR="009C6606" w:rsidRPr="00671338" w:rsidP="00671338">
      <w:pPr>
        <w:jc w:val="both"/>
      </w:pPr>
    </w:p>
    <w:p w:rsidR="009C6606" w:rsidP="00671338">
      <w:pPr>
        <w:jc w:val="both"/>
      </w:pPr>
      <w:r>
        <w:t xml:space="preserve">3.4. </w:t>
      </w:r>
      <w:r w:rsidRPr="00671338">
        <w:t xml:space="preserve">As the </w:t>
      </w:r>
      <w:r>
        <w:t>Farming Profitability</w:t>
      </w:r>
      <w:r w:rsidRPr="00671338">
        <w:t xml:space="preserve"> Review suggests, supporting the creation of farming cooperatives could be one important avenue for addressing this. Cooperatives offer strength in numbers, providing both moral and material support to farmers operating in difficult conditions. They also create the conditions for knowledge exchange, whether on farming techniques, </w:t>
      </w:r>
      <w:r>
        <w:t>AES</w:t>
      </w:r>
      <w:r w:rsidRPr="00671338">
        <w:t xml:space="preserve"> management, or nature recovery practices. Incentivising greater collaboration of this kind could therefore be instrumental in improving both </w:t>
      </w:r>
      <w:r>
        <w:t>farmers’</w:t>
      </w:r>
      <w:r w:rsidRPr="00671338">
        <w:t xml:space="preserve"> livelihoods and environmental outcomes simultaneously.</w:t>
      </w:r>
      <w:r>
        <w:t xml:space="preserve"> This is something the Defra-funded Collaboration Fund recognises.</w:t>
      </w:r>
    </w:p>
    <w:p w:rsidR="009C6606" w:rsidRPr="00671338" w:rsidP="00671338">
      <w:pPr>
        <w:jc w:val="both"/>
      </w:pPr>
    </w:p>
    <w:p w:rsidR="009C6606" w:rsidRPr="00671338" w:rsidP="00671338">
      <w:pPr>
        <w:jc w:val="both"/>
      </w:pPr>
      <w:r>
        <w:t xml:space="preserve">3.5. </w:t>
      </w:r>
      <w:r w:rsidRPr="00671338">
        <w:t xml:space="preserve">Many upland farmers have expressed strong interest in the Landscape Recovery scheme as a potential route to longer-term financial stability. However, significant concerns persist. The application process is widely regarded as time-consuming and resource-intensive, placing a disproportionate burden on smaller or less well-resourced farm businesses. Farmers are also wary of the risks associated with relying on </w:t>
      </w:r>
      <w:r>
        <w:t>under-developed nature</w:t>
      </w:r>
      <w:r w:rsidRPr="00671338">
        <w:t xml:space="preserve"> markets. Until these markets mature and the governance frameworks around them are strengthened, Landscape Recovery is likely to remain out of reach for many of the upland farmers who could benefit most from it</w:t>
      </w:r>
      <w:r>
        <w:t xml:space="preserve"> and instead provide individuals and organisations outside of farming with funding that had previously been allocated to the agricultural sector</w:t>
      </w:r>
    </w:p>
    <w:p w:rsidR="009C6606" w:rsidP="007C698F"/>
    <w:p w:rsidR="009C6606" w:rsidP="007C698F"/>
    <w:p w:rsidR="009C6606" w:rsidP="007C698F"/>
    <w:p w:rsidR="009C6606" w:rsidRPr="00AE6ED2" w:rsidP="009C2FDF"/>
    <w:p w:rsidR="009C6606" w:rsidRPr="00B67E3D" w:rsidP="00B67E3D">
      <w:pPr>
        <w:rPr>
          <w:b/>
          <w:bCs/>
        </w:rPr>
      </w:pPr>
      <w:r>
        <w:rPr>
          <w:b/>
          <w:bCs/>
        </w:rPr>
        <w:t xml:space="preserve">4. </w:t>
      </w:r>
      <w:r w:rsidRPr="00B67E3D">
        <w:rPr>
          <w:b/>
          <w:bCs/>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9C6606" w:rsidP="00140C1C"/>
    <w:p w:rsidR="009C6606" w:rsidP="006A2F87">
      <w:pPr>
        <w:jc w:val="both"/>
      </w:pPr>
      <w:r>
        <w:t xml:space="preserve">4.1. </w:t>
      </w:r>
      <w:r w:rsidRPr="00671338">
        <w:t>Legal designations such as National Parks, Areas of Outstanding Natural Beauty, Sites of Special Scientific Interest, and Special Areas of Conservation play a significant role in shaping land management decisions and outcomes in the uplands. Their influence is, however, a double-edged one. While they provide important protections for some of England's most ecologically sensitive landscapes, they also generate friction with the farming communities who manage that land day to day.</w:t>
      </w:r>
    </w:p>
    <w:p w:rsidR="009C6606" w:rsidRPr="00671338" w:rsidP="00671338">
      <w:pPr>
        <w:jc w:val="both"/>
      </w:pPr>
    </w:p>
    <w:p w:rsidR="009C6606" w:rsidP="00671338">
      <w:pPr>
        <w:jc w:val="both"/>
      </w:pPr>
      <w:r>
        <w:t xml:space="preserve">4.2. </w:t>
      </w:r>
      <w:r w:rsidRPr="00671338">
        <w:t>Many upland farmers whose land falls within designated areas, particularly SSSIs, have extensive practical experience of delivering nature recovery and climate mitigation outcomes. They are not</w:t>
      </w:r>
      <w:r>
        <w:t>, for the most part,</w:t>
      </w:r>
      <w:r w:rsidRPr="00671338">
        <w:t xml:space="preserve"> indifferent to environmental goals. What many object to is the heavily top-down character of the designation system and the way it is administered. Farmers frequently describe feeling that decisions are imposed upon them rather than developed with them, and this experience of being managed from above rather than engaged as partners has </w:t>
      </w:r>
      <w:r>
        <w:t>led to</w:t>
      </w:r>
      <w:r w:rsidRPr="00671338">
        <w:t xml:space="preserve"> a degree of resentment that can undermine the cooperative spirit that effective land management requires.</w:t>
      </w:r>
      <w:r>
        <w:t xml:space="preserve"> Under the Land Use Framework it is designated areas that are most clearly earmarked for larger-scale ‘spared nature’ and more dramatic declines in farming.</w:t>
      </w:r>
      <w:r w:rsidRPr="00671338">
        <w:t xml:space="preserve"> This may help explain why so many upland farmers express a strong desire for greater autonomy in </w:t>
      </w:r>
      <w:r>
        <w:t>AES</w:t>
      </w:r>
      <w:r w:rsidRPr="00671338">
        <w:t xml:space="preserve">, which they currently regard as excessively prescriptive and insufficiently responsive to </w:t>
      </w:r>
      <w:r>
        <w:t>place-based knowledge.</w:t>
      </w:r>
    </w:p>
    <w:p w:rsidR="009C6606" w:rsidRPr="00671338" w:rsidP="00671338">
      <w:pPr>
        <w:jc w:val="both"/>
      </w:pPr>
    </w:p>
    <w:p w:rsidR="009C6606" w:rsidP="00671338">
      <w:pPr>
        <w:jc w:val="both"/>
      </w:pPr>
      <w:r>
        <w:t xml:space="preserve">4.3. </w:t>
      </w:r>
      <w:r w:rsidRPr="00671338">
        <w:t xml:space="preserve">Designation also shapes farmers' perceptions of their own environmental contribution in ways that have important implications for policy. Upland farmers whose land </w:t>
      </w:r>
      <w:r>
        <w:t>is designated</w:t>
      </w:r>
      <w:r w:rsidRPr="00671338">
        <w:t xml:space="preserve"> express the view that they already do a great deal for nature, and that </w:t>
      </w:r>
      <w:r>
        <w:t>AES</w:t>
      </w:r>
      <w:r w:rsidRPr="00671338">
        <w:t xml:space="preserve"> payments should primarily serve to finance practices they are already carrying out rather than to incentivise significant changes in behaviour. This sense that little further change is required is reinforced by the fact that many have been enrolled in higher-level stewardship agreements such as HLS for many years, giving them a legitimate basis for feeling that their environmental credentials are established. The risk, however, is that this perception can become a barrier to further ambition, discouraging engagement with more demanding or innovative approaches to nature recovery. </w:t>
      </w:r>
    </w:p>
    <w:p w:rsidR="009C6606" w:rsidRPr="00671338" w:rsidP="00671338">
      <w:pPr>
        <w:jc w:val="both"/>
      </w:pPr>
    </w:p>
    <w:p w:rsidR="009C6606" w:rsidP="00A83589"/>
    <w:p w:rsidR="009C6606" w:rsidRPr="00B67E3D" w:rsidP="00B67E3D">
      <w:pPr>
        <w:rPr>
          <w:b/>
          <w:bCs/>
        </w:rPr>
      </w:pPr>
      <w:r>
        <w:rPr>
          <w:b/>
          <w:bCs/>
        </w:rPr>
        <w:t xml:space="preserve">5. </w:t>
      </w:r>
      <w:r w:rsidRPr="00B67E3D">
        <w:rPr>
          <w:b/>
          <w:bCs/>
        </w:rPr>
        <w:t xml:space="preserve">What improvements are needed in land use data, mapping, and modelling to support effective decision-making in the uplands? What training or other skill development options are needed to support this? </w:t>
      </w:r>
    </w:p>
    <w:p w:rsidR="009C6606" w:rsidP="00671338">
      <w:pPr>
        <w:pStyle w:val="ListParagraph"/>
      </w:pPr>
    </w:p>
    <w:p w:rsidR="009C6606" w:rsidP="006A2F87">
      <w:pPr>
        <w:jc w:val="both"/>
      </w:pPr>
      <w:r>
        <w:t>5.1. The UK is</w:t>
      </w:r>
      <w:r w:rsidRPr="00671338">
        <w:t xml:space="preserve"> not short of decision-support tools. A wide range of data, mapping, and modelling resources already exists, and it is far from clear that developing new ones should be the priority. Time, effort, and funding might be better invested in identifying how existing tools can be </w:t>
      </w:r>
      <w:r>
        <w:t>combined</w:t>
      </w:r>
      <w:r w:rsidRPr="00671338">
        <w:t xml:space="preserve">, refined, and made more accessible to those who need them, rather than adding further complexity to an already crowded landscape of </w:t>
      </w:r>
      <w:r>
        <w:t xml:space="preserve">decision-making </w:t>
      </w:r>
      <w:r w:rsidRPr="00671338">
        <w:t>instruments and frameworks.</w:t>
      </w:r>
    </w:p>
    <w:p w:rsidR="009C6606" w:rsidRPr="00671338" w:rsidP="00671338">
      <w:pPr>
        <w:jc w:val="both"/>
      </w:pPr>
    </w:p>
    <w:p w:rsidR="009C6606" w:rsidP="00671338">
      <w:pPr>
        <w:jc w:val="both"/>
      </w:pPr>
      <w:r>
        <w:t xml:space="preserve">5.2. </w:t>
      </w:r>
      <w:r w:rsidRPr="00671338">
        <w:t xml:space="preserve">The more fundamental point, however, is that transformative change in land use cannot be delivered by better data or more sophisticated modelling alone. The decisions that shape upland landscapes are ultimately made by people, and those people's behaviour is governed far more by values, identity, and social norms than by the availability of decision-support tools. Shifting land use </w:t>
      </w:r>
      <w:r w:rsidRPr="00671338">
        <w:t>practice at the scale and pace that climate and nature goals demand requires long-term attitudinal change, and that kind of change is not fostered by technical instruments. It requires a different approach entirely.</w:t>
      </w:r>
    </w:p>
    <w:p w:rsidR="009C6606" w:rsidRPr="00671338" w:rsidP="00671338">
      <w:pPr>
        <w:jc w:val="both"/>
      </w:pPr>
    </w:p>
    <w:p w:rsidR="009C6606" w:rsidP="00671338">
      <w:pPr>
        <w:jc w:val="both"/>
      </w:pPr>
      <w:r>
        <w:t xml:space="preserve">5.3. </w:t>
      </w:r>
      <w:r w:rsidRPr="00671338">
        <w:t xml:space="preserve">Legal restrictions and financial incentives can play a role in </w:t>
      </w:r>
      <w:r>
        <w:t>directing</w:t>
      </w:r>
      <w:r w:rsidRPr="00671338">
        <w:t xml:space="preserve"> behaviour in the right direction, but the evidence consistently suggests that empowering those whose behaviour is expected to change is considerably more effective than compelling or incentivising them from the outside. For upland farmers in particular, this means creating genuine opportunities for them to draw on their deep knowledge of the land, to express and affirm their identity as farmers and to feel genuine ownership over the changes being asked of them. A bottom-up approach, in which farmers are active participants in shaping the direction of land management rather than passive recipients of policy, is likely to be far more effective than one driven primarily by technical solutions and top-down prescription.</w:t>
      </w:r>
    </w:p>
    <w:p w:rsidR="009C6606" w:rsidRPr="00671338" w:rsidP="00671338">
      <w:pPr>
        <w:jc w:val="both"/>
      </w:pPr>
    </w:p>
    <w:p w:rsidR="009C6606" w:rsidP="00671338">
      <w:pPr>
        <w:jc w:val="both"/>
      </w:pPr>
      <w:r>
        <w:t xml:space="preserve">5.4. </w:t>
      </w:r>
      <w:r w:rsidRPr="00671338">
        <w:t xml:space="preserve">The social sciences have an essential and currently undervalued role to play in this. Understanding which decision-making mechanisms most effectively support land use change, how different communities of land managers respond to different kinds of intervention, and how trust between farmers, policymakers, and conservation bodies can be built and sustained, are questions that require social scientific expertise every bit as much as ecological knowledge. Social science also has a contribution to make in developing the human skills needed to engage meaningfully with data tools, artificial intelligence, and modelling outputs, ensuring that these resources are used </w:t>
      </w:r>
      <w:r>
        <w:t>effectively by users. Incorporating social science into periodic surveys such as UKCEH’s long running Countryside Survey would be a good start.</w:t>
      </w:r>
    </w:p>
    <w:p w:rsidR="009C6606" w:rsidRPr="00671338" w:rsidP="00671338">
      <w:pPr>
        <w:jc w:val="both"/>
      </w:pPr>
    </w:p>
    <w:p w:rsidR="009C6606" w:rsidP="00A83589"/>
    <w:p w:rsidR="009C6606" w:rsidRPr="00B67E3D" w:rsidP="00B67E3D">
      <w:pPr>
        <w:rPr>
          <w:b/>
          <w:bCs/>
        </w:rPr>
      </w:pPr>
      <w:r>
        <w:rPr>
          <w:b/>
          <w:bCs/>
        </w:rPr>
        <w:t xml:space="preserve">6. </w:t>
      </w:r>
      <w:r w:rsidRPr="00B67E3D">
        <w:rPr>
          <w:b/>
          <w:bCs/>
        </w:rPr>
        <w:t xml:space="preserve">How might land use and business changes in the uplands impact rural communities? </w:t>
      </w:r>
    </w:p>
    <w:p w:rsidR="009C6606" w:rsidP="007208AA"/>
    <w:p w:rsidR="009C6606" w:rsidP="006A2F87">
      <w:pPr>
        <w:jc w:val="both"/>
      </w:pPr>
      <w:r>
        <w:t xml:space="preserve">6.1. </w:t>
      </w:r>
      <w:r w:rsidRPr="00671338">
        <w:t>Land use and business changes in the uplands carry profound implications for the rural communities that depend on them. Many communities in areas such as the Lake District</w:t>
      </w:r>
      <w:r>
        <w:t>, Dartmoor</w:t>
      </w:r>
      <w:r w:rsidRPr="00671338">
        <w:t xml:space="preserve"> and the Peak District face an existential challenge. </w:t>
      </w:r>
      <w:r>
        <w:t>D</w:t>
      </w:r>
      <w:r w:rsidRPr="00671338">
        <w:t xml:space="preserve">eclining agricultural viability, </w:t>
      </w:r>
      <w:r>
        <w:t>the spread of</w:t>
      </w:r>
      <w:r w:rsidRPr="00671338">
        <w:t xml:space="preserve"> second home ownership, and an economy increasingly </w:t>
      </w:r>
      <w:r>
        <w:t>dependent on</w:t>
      </w:r>
      <w:r w:rsidRPr="00671338">
        <w:t xml:space="preserve"> tourism</w:t>
      </w:r>
      <w:r>
        <w:t xml:space="preserve"> all</w:t>
      </w:r>
      <w:r w:rsidRPr="00671338">
        <w:t xml:space="preserve"> risk </w:t>
      </w:r>
      <w:r>
        <w:t>causing the disappearance of vibrant rural communities</w:t>
      </w:r>
      <w:r w:rsidRPr="00671338">
        <w:t>. Farming sits at the heart of upland community life, providing livelihoods</w:t>
      </w:r>
      <w:r>
        <w:t xml:space="preserve">, </w:t>
      </w:r>
      <w:r w:rsidRPr="00671338">
        <w:t>identity, social networks, and the kind of working relationship with the land that gives these places their character. Ensuring that upland farming continues to thrive is therefore not simply an agricultural</w:t>
      </w:r>
      <w:r>
        <w:t>, economic,</w:t>
      </w:r>
      <w:r w:rsidRPr="00671338">
        <w:t xml:space="preserve"> or environmental goal but a social and cultural one.</w:t>
      </w:r>
    </w:p>
    <w:p w:rsidR="009C6606" w:rsidRPr="00671338" w:rsidP="006737D3">
      <w:pPr>
        <w:jc w:val="both"/>
      </w:pPr>
    </w:p>
    <w:p w:rsidR="009C6606" w:rsidP="006737D3">
      <w:pPr>
        <w:jc w:val="both"/>
      </w:pPr>
      <w:r>
        <w:t xml:space="preserve">6.2. </w:t>
      </w:r>
      <w:r w:rsidRPr="00671338">
        <w:t>At the same time, securing genuine reciprocity between land use change and local communities requires more than goodwill. It requires a fundamentally place-based approach to decision-making. While upland communities across England share many of the same pressures, including economically fragile farming sectors, acute housing affordability problems, and the distorting effects of tourism, the solutions to those problems cannot be designed and delivered from the centre. Decisions made at the local level are more likely to reflect the actual concerns and priorities of residents, more likely to command their support, and more likely to be sustained over time. Top-down solutions, however well intentioned, tend to miss the texture of local circumstance and can generate resistance that undermines their effectiveness.</w:t>
      </w:r>
    </w:p>
    <w:p w:rsidR="009C6606" w:rsidRPr="00671338" w:rsidP="006737D3">
      <w:pPr>
        <w:jc w:val="both"/>
      </w:pPr>
    </w:p>
    <w:p w:rsidR="009C6606" w:rsidP="007312B5"/>
    <w:p w:rsidR="009C6606" w:rsidRPr="00B67E3D" w:rsidP="00B67E3D">
      <w:pPr>
        <w:rPr>
          <w:b/>
          <w:bCs/>
        </w:rPr>
      </w:pPr>
      <w:r>
        <w:rPr>
          <w:b/>
          <w:bCs/>
        </w:rPr>
        <w:t xml:space="preserve">7. </w:t>
      </w:r>
      <w:r w:rsidRPr="00B67E3D">
        <w:rPr>
          <w:b/>
          <w:bCs/>
        </w:rPr>
        <w:t>How can government policy ensure that rural communities in upland areas benefit from changes?</w:t>
      </w:r>
    </w:p>
    <w:p w:rsidR="009C6606" w:rsidRPr="00364720" w:rsidP="000E42DD">
      <w:pPr>
        <w:rPr>
          <w:b/>
          <w:bCs/>
        </w:rPr>
      </w:pPr>
    </w:p>
    <w:p w:rsidR="009C6606" w:rsidP="006A2F87">
      <w:pPr>
        <w:jc w:val="both"/>
      </w:pPr>
      <w:r>
        <w:t xml:space="preserve">7.1. </w:t>
      </w:r>
      <w:r w:rsidRPr="006737D3">
        <w:t xml:space="preserve">The question of how government policy can ensure that rural communities benefit from land use changes in the uplands is closely connected to the issues raised in relation to the previous question. </w:t>
      </w:r>
      <w:r w:rsidRPr="006737D3">
        <w:t>The central principle is the same: benefit does not flow automatically from change, and deliberate mechanisms are needed to ensure that the gains from land use transformation are shared broadly across local communities rather than captured by a narrow set of landowners or external investors.</w:t>
      </w:r>
      <w:r>
        <w:t xml:space="preserve"> Moreover, national policy interventions often disproportionately affect rural communities by virtue of their dispersed and often isolated nature. Policies should be rural-proofed to ensure justice and resilience for rural communities and an acceptance that greater public resources are required to maintain the vitality of rural services and communities.</w:t>
      </w:r>
    </w:p>
    <w:p w:rsidR="009C6606" w:rsidRPr="006737D3" w:rsidP="006737D3">
      <w:pPr>
        <w:jc w:val="both"/>
      </w:pPr>
    </w:p>
    <w:p w:rsidR="009C6606" w:rsidP="006737D3">
      <w:pPr>
        <w:jc w:val="both"/>
      </w:pPr>
      <w:r>
        <w:t xml:space="preserve">7.2. </w:t>
      </w:r>
      <w:r w:rsidRPr="006737D3">
        <w:t xml:space="preserve">The Landscape Recovery Scheme offers one important vehicle for this. By enabling farmers, land managers, and conservation organisations to draw direct financial returns from nature recovery activities, it creates the conditions for economically sustainable land use change. But scheme payments to land managers are not sufficient on their own. Local businesses and residents who do not hold land also need to see tangible benefits if land use change is to command genuine local support and contribute to community </w:t>
      </w:r>
      <w:r>
        <w:t>life.</w:t>
      </w:r>
    </w:p>
    <w:p w:rsidR="009C6606" w:rsidRPr="006737D3" w:rsidP="006737D3">
      <w:pPr>
        <w:jc w:val="both"/>
      </w:pPr>
    </w:p>
    <w:p w:rsidR="009C6606" w:rsidP="006737D3">
      <w:pPr>
        <w:jc w:val="both"/>
      </w:pPr>
      <w:r>
        <w:t xml:space="preserve">7.3. </w:t>
      </w:r>
      <w:r w:rsidRPr="006737D3">
        <w:t>Achieving this broader distribution of benefit requires deliberate design. Procurement and supply chain requirements attached to publicly funded schemes could, for example, prioritise local businesses in areas such as construction, catering, equipment, and ecological services.</w:t>
      </w:r>
      <w:r>
        <w:t xml:space="preserve"> Initiatives like local/co</w:t>
      </w:r>
      <w:r w:rsidRPr="006737D3">
        <w:t>mmunity funds, modelled on approaches used in the renewable energy sector, could ensure that a share of revenues generated through nature markets or public payments flows directly to local community purposes. Governance arrangements for large-scale landscape projects could require</w:t>
      </w:r>
      <w:r>
        <w:t>s</w:t>
      </w:r>
      <w:r w:rsidRPr="006737D3">
        <w:t xml:space="preserve"> meaningful community representation, giving residents a voice in how land use changes are planned and implemented rather than simply presenting them with decisions already made.</w:t>
      </w:r>
    </w:p>
    <w:p w:rsidR="009C6606" w:rsidRPr="006737D3" w:rsidP="006737D3">
      <w:pPr>
        <w:jc w:val="both"/>
      </w:pPr>
    </w:p>
    <w:p w:rsidR="009C6606" w:rsidP="006737D3">
      <w:pPr>
        <w:jc w:val="both"/>
      </w:pPr>
      <w:r>
        <w:t xml:space="preserve">7.4. </w:t>
      </w:r>
      <w:r w:rsidRPr="006737D3">
        <w:t xml:space="preserve">Underpinning all of this is the need for the place-based approach described in relation to the previous question. Government policy can set the framework and provide the incentives, but the mechanisms through which communities actually benefit must be shaped at the local level, responsive to local priorities, and accountable to local people. </w:t>
      </w:r>
    </w:p>
    <w:p w:rsidR="009C6606" w:rsidP="006737D3">
      <w:pPr>
        <w:jc w:val="both"/>
      </w:pPr>
    </w:p>
    <w:p w:rsidR="009C6606" w:rsidP="006737D3">
      <w:pPr>
        <w:jc w:val="both"/>
      </w:pPr>
    </w:p>
    <w:p w:rsidR="009C6606" w:rsidP="006737D3">
      <w:pPr>
        <w:jc w:val="both"/>
      </w:pPr>
    </w:p>
    <w:p w:rsidR="009C6606" w:rsidRPr="004E4861" w:rsidP="006737D3">
      <w:pPr>
        <w:jc w:val="both"/>
        <w:rPr>
          <w:b/>
          <w:bCs/>
        </w:rPr>
      </w:pPr>
      <w:r w:rsidRPr="004E4861">
        <w:rPr>
          <w:b/>
          <w:bCs/>
        </w:rPr>
        <w:t>References</w:t>
      </w:r>
    </w:p>
    <w:p w:rsidR="009C6606" w:rsidP="006737D3">
      <w:pPr>
        <w:jc w:val="both"/>
      </w:pPr>
    </w:p>
    <w:p w:rsidR="009C6606" w:rsidRPr="006737D3" w:rsidP="004E4861">
      <w:r>
        <w:t xml:space="preserve">Batters, M. (2025) Farming Profitability Review. </w:t>
      </w:r>
      <w:r w:rsidRPr="004E4861">
        <w:t>https://www.gov.uk/government/publications/farming-profitability-review-2025-an-independent-review</w:t>
      </w:r>
    </w:p>
    <w:p w:rsidR="009C6606" w:rsidP="006737D3">
      <w:pPr>
        <w:jc w:val="both"/>
      </w:pPr>
    </w:p>
    <w:p w:rsidR="009C6606" w:rsidRPr="007B1CD7" w:rsidP="007B1CD7">
      <w:r>
        <w:t xml:space="preserve">Cottam, H. (2026) </w:t>
      </w:r>
      <w:r w:rsidRPr="007B1CD7">
        <w:t>Towards a flourishing Uplands. https://www.gov.uk/government/publications/uplands-review-a-report-on-upland-communities-in-england/towards-a-flourishing-uplands-phase-1</w:t>
      </w:r>
    </w:p>
    <w:p w:rsidR="009C6606" w:rsidP="007B1CD7"/>
    <w:p w:rsidR="009C6606" w:rsidP="006737D3">
      <w:pPr>
        <w:jc w:val="both"/>
      </w:pPr>
      <w:r w:rsidRPr="00465161">
        <w:t xml:space="preserve">Department for Environment, Food and Rural Affairs. (2025). </w:t>
      </w:r>
      <w:r>
        <w:t>‘</w:t>
      </w:r>
      <w:r w:rsidRPr="00B05297">
        <w:t>Environmental improvement plan 2025.</w:t>
      </w:r>
      <w:r>
        <w:t>’</w:t>
      </w:r>
      <w:r w:rsidRPr="00465161">
        <w:t xml:space="preserve"> https://www.gov.uk/government/publications/environmental-improvement-plan-2025 </w:t>
      </w:r>
    </w:p>
    <w:p w:rsidR="009C6606" w:rsidP="000E42DD"/>
    <w:p w:rsidR="009C6606" w:rsidP="000E42DD">
      <w:r>
        <w:t xml:space="preserve">Natural England (2025) </w:t>
      </w:r>
      <w:r w:rsidRPr="00FF40BA">
        <w:t xml:space="preserve">Natural England’s Strategy: Recovering Nature for Growth, Health and Security. </w:t>
      </w:r>
      <w:r>
        <w:fldChar w:fldCharType="begin"/>
      </w:r>
      <w:r>
        <w:instrText xml:space="preserve"> HYPERLINK "https://www.gov.uk/government/publications/natural-englands-strategy-recovering-nature-for-growth-health-and-security/natural-englands-strategy-recovering-nature-for-growth-health-and-security" </w:instrText>
      </w:r>
      <w:r>
        <w:fldChar w:fldCharType="separate"/>
      </w:r>
      <w:r w:rsidRPr="00F1213A">
        <w:rPr>
          <w:rStyle w:val="Hyperlink"/>
        </w:rPr>
        <w:t>https://www.gov.uk/government/publications/natural-englands-strategy-recovering-nature-for-growth-health-and-security/natural-englands-strategy-recovering-nature-for-growth-health-and-security</w:t>
      </w:r>
      <w:r>
        <w:fldChar w:fldCharType="end"/>
      </w:r>
    </w:p>
    <w:p w:rsidR="009C6606" w:rsidP="000E42DD"/>
    <w:p w:rsidR="009C6606" w:rsidP="000E42DD">
      <w:pPr>
        <w:rPr>
          <w:b/>
          <w:bCs/>
        </w:rPr>
      </w:pPr>
    </w:p>
    <w:p w:rsidR="00EC6CEC" w:rsidRPr="00EC6CEC" w:rsidP="000E42DD">
      <w:pPr>
        <w:rPr>
          <w:i/>
          <w:iCs/>
        </w:rPr>
      </w:pPr>
      <w:r w:rsidRPr="00EC6CEC">
        <w:rPr>
          <w:i/>
          <w:iCs/>
        </w:rPr>
        <w:t>June 2026</w:t>
      </w:r>
    </w:p>
    <w:sectPr>
      <w:foot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606">
    <w:pPr>
      <w:pStyle w:val="Footer"/>
      <w:jc w:val="center"/>
    </w:pPr>
  </w:p>
  <w:p w:rsidR="009C6606">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0B7EAD"/>
    <w:multiLevelType w:val="multilevel"/>
    <w:tmpl w:val="A84ACC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13C5EE2"/>
    <w:multiLevelType w:val="hybridMultilevel"/>
    <w:tmpl w:val="C19C36FE"/>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C9238E5"/>
    <w:multiLevelType w:val="hybridMultilevel"/>
    <w:tmpl w:val="8B640FE0"/>
    <w:lvl w:ilvl="0">
      <w:start w:val="6"/>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D5D3386"/>
    <w:multiLevelType w:val="hybridMultilevel"/>
    <w:tmpl w:val="1A8A76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6B40D12"/>
    <w:multiLevelType w:val="hybridMultilevel"/>
    <w:tmpl w:val="A844D64E"/>
    <w:lvl w:ilvl="0">
      <w:start w:val="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8B8636C"/>
    <w:multiLevelType w:val="multilevel"/>
    <w:tmpl w:val="CEC25F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3242DFE"/>
    <w:multiLevelType w:val="hybridMultilevel"/>
    <w:tmpl w:val="61825168"/>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EA71DA0"/>
    <w:multiLevelType w:val="hybridMultilevel"/>
    <w:tmpl w:val="5B8C659E"/>
    <w:lvl w:ilvl="0">
      <w:start w:val="3"/>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F8E42FB"/>
    <w:multiLevelType w:val="hybridMultilevel"/>
    <w:tmpl w:val="32D6BF8C"/>
    <w:lvl w:ilvl="0">
      <w:start w:val="4"/>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25F4E69"/>
    <w:multiLevelType w:val="multilevel"/>
    <w:tmpl w:val="CEC25F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F89511C"/>
    <w:multiLevelType w:val="multilevel"/>
    <w:tmpl w:val="A820542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1D572D3"/>
    <w:multiLevelType w:val="hybridMultilevel"/>
    <w:tmpl w:val="DBB2F656"/>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8CD4A06"/>
    <w:multiLevelType w:val="hybridMultilevel"/>
    <w:tmpl w:val="9D9CD224"/>
    <w:lvl w:ilvl="0">
      <w:start w:val="7"/>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CF37DEA"/>
    <w:multiLevelType w:val="hybridMultilevel"/>
    <w:tmpl w:val="DBECA27A"/>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1742EC3"/>
    <w:multiLevelType w:val="hybridMultilevel"/>
    <w:tmpl w:val="C7D48D0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C180059"/>
    <w:multiLevelType w:val="hybridMultilevel"/>
    <w:tmpl w:val="5B9E1170"/>
    <w:lvl w:ilvl="0">
      <w:start w:val="5"/>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0"/>
  </w:num>
  <w:num w:numId="3">
    <w:abstractNumId w:val="9"/>
  </w:num>
  <w:num w:numId="4">
    <w:abstractNumId w:val="5"/>
  </w:num>
  <w:num w:numId="5">
    <w:abstractNumId w:val="3"/>
  </w:num>
  <w:num w:numId="6">
    <w:abstractNumId w:val="11"/>
  </w:num>
  <w:num w:numId="7">
    <w:abstractNumId w:val="6"/>
  </w:num>
  <w:num w:numId="8">
    <w:abstractNumId w:val="1"/>
  </w:num>
  <w:num w:numId="9">
    <w:abstractNumId w:val="7"/>
  </w:num>
  <w:num w:numId="10">
    <w:abstractNumId w:val="8"/>
  </w:num>
  <w:num w:numId="11">
    <w:abstractNumId w:val="13"/>
  </w:num>
  <w:num w:numId="12">
    <w:abstractNumId w:val="15"/>
  </w:num>
  <w:num w:numId="13">
    <w:abstractNumId w:val="4"/>
  </w:num>
  <w:num w:numId="14">
    <w:abstractNumId w:val="2"/>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HAnsi" w:cstheme="minorBidi"/>
        <w:kern w:val="2"/>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E6E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E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ED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ED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E6ED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E6ED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E6ED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E6ED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E6ED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E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E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6ED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ED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E6ED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E6ED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E6ED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E6ED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E6ED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E6E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E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ED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ED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E6E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6ED2"/>
    <w:rPr>
      <w:i/>
      <w:iCs/>
      <w:color w:val="404040" w:themeColor="text1" w:themeTint="BF"/>
    </w:rPr>
  </w:style>
  <w:style w:type="paragraph" w:styleId="ListParagraph">
    <w:name w:val="List Paragraph"/>
    <w:basedOn w:val="Normal"/>
    <w:uiPriority w:val="34"/>
    <w:qFormat/>
    <w:rsid w:val="00AE6ED2"/>
    <w:pPr>
      <w:ind w:left="720"/>
      <w:contextualSpacing/>
    </w:pPr>
  </w:style>
  <w:style w:type="character" w:styleId="IntenseEmphasis">
    <w:name w:val="Intense Emphasis"/>
    <w:basedOn w:val="DefaultParagraphFont"/>
    <w:uiPriority w:val="21"/>
    <w:qFormat/>
    <w:rsid w:val="00AE6ED2"/>
    <w:rPr>
      <w:i/>
      <w:iCs/>
      <w:color w:val="0F4761" w:themeColor="accent1" w:themeShade="BF"/>
    </w:rPr>
  </w:style>
  <w:style w:type="paragraph" w:styleId="IntenseQuote">
    <w:name w:val="Intense Quote"/>
    <w:basedOn w:val="Normal"/>
    <w:next w:val="Normal"/>
    <w:link w:val="IntenseQuoteChar"/>
    <w:uiPriority w:val="30"/>
    <w:qFormat/>
    <w:rsid w:val="00AE6E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ED2"/>
    <w:rPr>
      <w:i/>
      <w:iCs/>
      <w:color w:val="0F4761" w:themeColor="accent1" w:themeShade="BF"/>
    </w:rPr>
  </w:style>
  <w:style w:type="character" w:styleId="IntenseReference">
    <w:name w:val="Intense Reference"/>
    <w:basedOn w:val="DefaultParagraphFont"/>
    <w:uiPriority w:val="32"/>
    <w:qFormat/>
    <w:rsid w:val="00AE6ED2"/>
    <w:rPr>
      <w:b/>
      <w:bCs/>
      <w:smallCaps/>
      <w:color w:val="0F4761" w:themeColor="accent1" w:themeShade="BF"/>
      <w:spacing w:val="5"/>
    </w:rPr>
  </w:style>
  <w:style w:type="paragraph" w:customStyle="1" w:styleId="font-claude-response-body">
    <w:name w:val="font-claude-response-body"/>
    <w:basedOn w:val="Normal"/>
    <w:rsid w:val="007C698F"/>
    <w:pPr>
      <w:spacing w:before="100" w:beforeAutospacing="1" w:after="100" w:afterAutospacing="1"/>
    </w:pPr>
    <w:rPr>
      <w:rFonts w:ascii="Times New Roman" w:eastAsia="Times New Roman" w:hAnsi="Times New Roman" w:cs="Times New Roman"/>
      <w:kern w:val="0"/>
      <w:sz w:val="24"/>
      <w:szCs w:val="24"/>
      <w:lang w:eastAsia="en-GB"/>
    </w:rPr>
  </w:style>
  <w:style w:type="paragraph" w:styleId="Header">
    <w:name w:val="header"/>
    <w:basedOn w:val="Normal"/>
    <w:link w:val="HeaderChar"/>
    <w:uiPriority w:val="99"/>
    <w:unhideWhenUsed/>
    <w:rsid w:val="0001596E"/>
    <w:pPr>
      <w:tabs>
        <w:tab w:val="center" w:pos="4513"/>
        <w:tab w:val="right" w:pos="9026"/>
      </w:tabs>
    </w:pPr>
  </w:style>
  <w:style w:type="character" w:customStyle="1" w:styleId="HeaderChar">
    <w:name w:val="Header Char"/>
    <w:basedOn w:val="DefaultParagraphFont"/>
    <w:link w:val="Header"/>
    <w:uiPriority w:val="99"/>
    <w:rsid w:val="0001596E"/>
  </w:style>
  <w:style w:type="paragraph" w:styleId="Footer">
    <w:name w:val="footer"/>
    <w:basedOn w:val="Normal"/>
    <w:link w:val="FooterChar"/>
    <w:uiPriority w:val="99"/>
    <w:unhideWhenUsed/>
    <w:rsid w:val="0001596E"/>
    <w:pPr>
      <w:tabs>
        <w:tab w:val="center" w:pos="4513"/>
        <w:tab w:val="right" w:pos="9026"/>
      </w:tabs>
    </w:pPr>
  </w:style>
  <w:style w:type="character" w:customStyle="1" w:styleId="FooterChar">
    <w:name w:val="Footer Char"/>
    <w:basedOn w:val="DefaultParagraphFont"/>
    <w:link w:val="Footer"/>
    <w:uiPriority w:val="99"/>
    <w:rsid w:val="0001596E"/>
  </w:style>
  <w:style w:type="character" w:styleId="Hyperlink">
    <w:name w:val="Hyperlink"/>
    <w:basedOn w:val="DefaultParagraphFont"/>
    <w:uiPriority w:val="99"/>
    <w:unhideWhenUsed/>
    <w:rsid w:val="00465161"/>
    <w:rPr>
      <w:color w:val="467886" w:themeColor="hyperlink"/>
      <w:u w:val="single"/>
    </w:rPr>
  </w:style>
  <w:style w:type="character" w:customStyle="1" w:styleId="UnresolvedMention1">
    <w:name w:val="Unresolved Mention1"/>
    <w:basedOn w:val="DefaultParagraphFont"/>
    <w:uiPriority w:val="99"/>
    <w:semiHidden/>
    <w:unhideWhenUsed/>
    <w:rsid w:val="00465161"/>
    <w:rPr>
      <w:color w:val="605E5C"/>
      <w:shd w:val="clear" w:color="auto" w:fill="E1DFDD"/>
    </w:rPr>
  </w:style>
  <w:style w:type="character" w:styleId="CommentReference">
    <w:name w:val="annotation reference"/>
    <w:basedOn w:val="DefaultParagraphFont"/>
    <w:uiPriority w:val="99"/>
    <w:semiHidden/>
    <w:unhideWhenUsed/>
    <w:rsid w:val="00DB56FE"/>
    <w:rPr>
      <w:sz w:val="16"/>
      <w:szCs w:val="16"/>
    </w:rPr>
  </w:style>
  <w:style w:type="paragraph" w:styleId="CommentText">
    <w:name w:val="annotation text"/>
    <w:basedOn w:val="Normal"/>
    <w:link w:val="CommentTextChar"/>
    <w:uiPriority w:val="99"/>
    <w:unhideWhenUsed/>
    <w:rsid w:val="00DB56FE"/>
    <w:rPr>
      <w:sz w:val="20"/>
      <w:szCs w:val="20"/>
    </w:rPr>
  </w:style>
  <w:style w:type="character" w:customStyle="1" w:styleId="CommentTextChar">
    <w:name w:val="Comment Text Char"/>
    <w:basedOn w:val="DefaultParagraphFont"/>
    <w:link w:val="CommentText"/>
    <w:uiPriority w:val="99"/>
    <w:rsid w:val="00DB56FE"/>
    <w:rPr>
      <w:sz w:val="20"/>
      <w:szCs w:val="20"/>
    </w:rPr>
  </w:style>
  <w:style w:type="paragraph" w:styleId="CommentSubject">
    <w:name w:val="annotation subject"/>
    <w:basedOn w:val="CommentText"/>
    <w:next w:val="CommentText"/>
    <w:link w:val="CommentSubjectChar"/>
    <w:uiPriority w:val="99"/>
    <w:semiHidden/>
    <w:unhideWhenUsed/>
    <w:rsid w:val="00DB56FE"/>
    <w:rPr>
      <w:b/>
      <w:bCs/>
    </w:rPr>
  </w:style>
  <w:style w:type="character" w:customStyle="1" w:styleId="CommentSubjectChar">
    <w:name w:val="Comment Subject Char"/>
    <w:basedOn w:val="CommentTextChar"/>
    <w:link w:val="CommentSubject"/>
    <w:uiPriority w:val="99"/>
    <w:semiHidden/>
    <w:rsid w:val="00DB56FE"/>
    <w:rPr>
      <w:b/>
      <w:bCs/>
      <w:sz w:val="20"/>
      <w:szCs w:val="20"/>
    </w:rPr>
  </w:style>
  <w:style w:type="paragraph" w:styleId="Revision">
    <w:name w:val="Revision"/>
    <w:hidden/>
    <w:uiPriority w:val="99"/>
    <w:semiHidden/>
    <w:rsid w:val="003F0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2a5d77-fb98-4eee-af32-1334d8f04a53}" enabled="0" method="" siteId="{912a5d77-fb98-4eee-af32-1334d8f04a53}"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LUN0014</dc:title>
  <cp:revision>0</cp:revision>
</cp:coreProperties>
</file>