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F652A1" w:rsidP="00F652A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F652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Written evidence submitted by Richard Glanville (LUN0013)</w:t>
      </w:r>
    </w:p>
    <w:p w:rsidR="00F652A1" w:rsidRPr="00F652A1" w:rsidP="00F652A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:rsidR="00716967" w:rsidRPr="00992933" w:rsidP="00992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</w:rPr>
        <w:t>EFRA Committee Inquiry: How should Government nurture upland farms and landscapes?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Summary</w:t>
      </w:r>
    </w:p>
    <w:p w:rsidR="00716967" w:rsidRPr="00992933" w:rsidP="00992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This submission is based on my experience as a landowner and participant in the Walkham</w:t>
      </w:r>
      <w:r w:rsidRPr="00992933">
        <w:rPr>
          <w:rFonts w:ascii="Times New Roman" w:eastAsia="Times New Roman" w:hAnsi="Times New Roman" w:cs="Times New Roman"/>
          <w:kern w:val="0"/>
        </w:rPr>
        <w:t xml:space="preserve"> Valley Landscape Recovery Project within Dartmoor National Park.</w:t>
      </w:r>
    </w:p>
    <w:p w:rsidR="00716967" w:rsidRPr="00992933" w:rsidP="00992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My principal observations are:</w:t>
      </w:r>
    </w:p>
    <w:p w:rsidR="00716967" w:rsidRPr="00992933" w:rsidP="0099293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kern w:val="0"/>
        </w:rPr>
      </w:pPr>
      <w:r w:rsidRPr="00992933">
        <w:rPr>
          <w:rFonts w:ascii="Times New Roman" w:hAnsi="Times New Roman" w:cs="Times New Roman"/>
          <w:kern w:val="0"/>
        </w:rPr>
        <w:t>a. Successful upland policy should recognise that profitable farming, nature recovery and thriving rural communities are mutually dependent.</w:t>
      </w:r>
    </w:p>
    <w:p w:rsidR="00716967" w:rsidRPr="00992933" w:rsidP="0099293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kern w:val="0"/>
        </w:rPr>
      </w:pPr>
      <w:r w:rsidRPr="00992933">
        <w:rPr>
          <w:rFonts w:ascii="Times New Roman" w:hAnsi="Times New Roman" w:cs="Times New Roman"/>
          <w:kern w:val="0"/>
        </w:rPr>
        <w:t>b. Farmers and commoners are willing to deliver environmental improvements but require greater certainty, simpler schemes and longer-term partnerships.</w:t>
      </w:r>
    </w:p>
    <w:p w:rsidR="00716967" w:rsidRPr="00992933" w:rsidP="0099293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kern w:val="0"/>
        </w:rPr>
      </w:pPr>
      <w:r w:rsidRPr="00992933">
        <w:rPr>
          <w:rFonts w:ascii="Times New Roman" w:hAnsi="Times New Roman" w:cs="Times New Roman"/>
          <w:kern w:val="0"/>
        </w:rPr>
        <w:t>c. Current policy places significant emphasis on environmental outcomes but gives insufficient weight to maintaining economically sustainable farming businesses and resilient rural communities.</w:t>
      </w:r>
    </w:p>
    <w:p w:rsidR="00716967" w:rsidRPr="00992933" w:rsidP="0099293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kern w:val="0"/>
        </w:rPr>
      </w:pPr>
      <w:r w:rsidRPr="00992933">
        <w:rPr>
          <w:rFonts w:ascii="Times New Roman" w:hAnsi="Times New Roman" w:cs="Times New Roman"/>
          <w:kern w:val="0"/>
        </w:rPr>
        <w:t>d. Landscape-scale collaboration offers significant opportunities and should be supported through flexible, locally led governance.</w:t>
      </w:r>
    </w:p>
    <w:p w:rsidR="00716967" w:rsidRPr="00992933" w:rsidP="00992933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inline distT="0" distB="0" distL="0" distR="0">
                <wp:extent cx="5731510" cy="1270"/>
                <wp:effectExtent l="0" t="31750" r="0" b="36830"/>
                <wp:docPr id="2581774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i1025" style="height:0.1pt;mso-left-percent:-10001;mso-position-horizontal-relative:char;mso-position-vertical-relative:line;mso-top-percent:-10001;mso-wrap-style:square;v-text-anchor:top;visibility:visible;width:451.3pt" filled="f">
                <w10:wrap type="none"/>
                <w10:anchorlock/>
              </v:rect>
            </w:pict>
          </mc:Fallback>
        </mc:AlternateContent>
      </w:r>
    </w:p>
    <w:p w:rsidR="00716967" w:rsidRPr="00992933" w:rsidP="0099293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</w:rPr>
        <w:t>Response to the Committee’s questions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How effectively do current policies balance competing demands in the uplands?</w:t>
      </w:r>
    </w:p>
    <w:p w:rsidR="00716967" w:rsidRPr="00992933" w:rsidP="00992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Upland landscapes provide food production, biodiversity, carbon storage, water management, recreation and cultural heritage simultaneously. Policy should recognise that these functions are interconnected rather than competing.</w:t>
      </w:r>
    </w:p>
    <w:p w:rsidR="00716967" w:rsidRPr="00992933" w:rsidP="00992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In my experience, traditional grazing systems have played an important role in creating and maintaining many of the habitats now regarded as nationally important.</w:t>
      </w:r>
    </w:p>
    <w:p w:rsidR="00716967" w:rsidRPr="00992933" w:rsidP="00992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The continued viability of farming businesses should therefore be regarded as an essential component of long-term environmental management rather than as a separate objective.</w:t>
      </w:r>
    </w:p>
    <w:p w:rsidR="00716967" w:rsidRPr="00992933" w:rsidP="00992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Current policy would benefit from greater emphasis on integrated landscape management instead of individual schemes designed around single objectives.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What has been the impact of agricultural policy changes?</w:t>
      </w:r>
    </w:p>
    <w:p w:rsidR="00716967" w:rsidRPr="00992933" w:rsidP="00992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The transition away from direct payments has increased uncertainty for many upland businesses.</w:t>
      </w:r>
    </w:p>
    <w:p w:rsidR="00716967" w:rsidRPr="00992933" w:rsidP="00992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Environmental schemes provide important opportunities but often involve complex application processes, changing guidance and significant administrative requirements.</w:t>
      </w:r>
    </w:p>
    <w:p w:rsidR="00716967" w:rsidRPr="00992933" w:rsidP="00992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Long-term business planning would be improved by greater certainty over funding and more stable policy frameworks.</w:t>
      </w:r>
    </w:p>
    <w:p w:rsidR="00716967" w:rsidRPr="00992933" w:rsidP="00992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There is a risk that continuing uncertainty will discourage investment and make succession into upland farming less attractive.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To what extent do ELM and FiPL support sustainable land management?</w:t>
      </w:r>
    </w:p>
    <w:p w:rsidR="00716967" w:rsidRPr="00992933" w:rsidP="00992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The principles behind ELM and Landscape Recovery are positive and encourage collaboration between neighbouring land managers.</w:t>
      </w:r>
    </w:p>
    <w:p w:rsidR="00716967" w:rsidRPr="00992933" w:rsidP="00992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My experience within the Walkham Valley Landscape Recovery Project suggests that collaborative approaches can successfully bring together farmers, landowners, conservation organisations and local communities around shared objectives.</w:t>
      </w:r>
    </w:p>
    <w:p w:rsidR="00716967" w:rsidRPr="00992933" w:rsidP="00992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Greater flexibility would improve delivery by allowing local partnerships to determine the most appropriate methods for achieving agreed outcomes.</w:t>
      </w:r>
    </w:p>
    <w:p w:rsidR="00716967" w:rsidRPr="00992933" w:rsidP="00992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Outcome-based agreements may provide better value than highly prescriptive management requirements.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How do legal protections impact decision-making and land management?</w:t>
      </w:r>
    </w:p>
    <w:p w:rsidR="00716967" w:rsidRPr="00992933" w:rsidP="00992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National Park and protected site designations play an important role in conserving nationally significant landscapes and habitats.</w:t>
      </w:r>
    </w:p>
    <w:p w:rsidR="00716967" w:rsidRPr="00992933" w:rsidP="00992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However, multiple overlapping designations can increase complexity and extend decision-making times.</w:t>
      </w:r>
    </w:p>
    <w:p w:rsidR="00716967" w:rsidRPr="00992933" w:rsidP="00992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A greater emphasis on collaborative problem solving and early engagement between regulators and land managers could improve environmental outcomes while reducing delays and uncertainty.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What improvements are needed in land use data, mapping and modelling?</w:t>
      </w:r>
    </w:p>
    <w:p w:rsidR="00716967" w:rsidRPr="00992933" w:rsidP="00992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Better integration of existing datasets would improve decision-making.</w:t>
      </w:r>
    </w:p>
    <w:p w:rsidR="00716967" w:rsidRPr="00992933" w:rsidP="00992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National datasets should be capable of incorporating local knowledge and regular updating where inaccuracies are identified.</w:t>
      </w:r>
    </w:p>
    <w:p w:rsidR="00716967" w:rsidRPr="00992933" w:rsidP="00992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Farmers and land managers possess long-term observations of hydrology, habitats and grazing systems that should be recognised as valuable evidence alongside remote mapping and modelling.</w:t>
      </w:r>
    </w:p>
    <w:p w:rsidR="00716967" w:rsidRPr="00992933" w:rsidP="00992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Investment in skills relating to ecological monitoring, habitat management, woodland management and collaborative landscape planning would strengthen delivery.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How might land use and business changes impact rural communities?</w:t>
      </w:r>
    </w:p>
    <w:p w:rsidR="00716967" w:rsidRPr="00992933" w:rsidP="00992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Upland farms support wider rural economies through employment, contracting, livestock markets, local suppliers and community participation.</w:t>
      </w:r>
    </w:p>
    <w:p w:rsidR="00716967" w:rsidRPr="00992933" w:rsidP="00992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A reduction in economically viable farming businesses is likely to have consequences beyond agriculture, including impacts on local services and community resilience.</w:t>
      </w:r>
    </w:p>
    <w:p w:rsidR="00716967" w:rsidRPr="00992933" w:rsidP="00992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Environmental policy should therefore consider social and economic indicators alongside environmental metrics.</w:t>
      </w:r>
    </w:p>
    <w:p w:rsidR="00716967" w:rsidRPr="00992933" w:rsidP="00992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How can government policy ensure that rural communities benefit from changes?</w:t>
      </w:r>
    </w:p>
    <w:p w:rsidR="00716967" w:rsidRPr="00992933" w:rsidP="00992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Long-term investment should be directed towards locally led partnerships that integrate food production, environmental recovery and rural economic development.</w:t>
      </w:r>
    </w:p>
    <w:p w:rsidR="00716967" w:rsidRPr="00992933" w:rsidP="00992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Government should provide sufficient flexibility for local solutions rather than prescribing uniform approaches across diverse upland landscapes.</w:t>
      </w:r>
    </w:p>
    <w:p w:rsidR="00716967" w:rsidRPr="00992933" w:rsidP="00992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Commoning systems and collaborative management arrangements should receive greater recognition as effective models for delivering multiple public benefits.</w:t>
      </w:r>
    </w:p>
    <w:p w:rsidR="00716967" w:rsidRPr="00992933" w:rsidP="00992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Success should be measured through a combination of environmental improvement, sustainable farm businesses and resilient rural communities.</w:t>
      </w:r>
    </w:p>
    <w:p w:rsidR="00716967" w:rsidRPr="00992933" w:rsidP="00992933">
      <w:pPr>
        <w:spacing w:after="0" w:line="240" w:lineRule="auto"/>
        <w:rPr>
          <w:rFonts w:ascii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inline distT="0" distB="0" distL="0" distR="0">
                <wp:extent cx="5731510" cy="1270"/>
                <wp:effectExtent l="0" t="31750" r="0" b="36830"/>
                <wp:docPr id="12213485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i1026" style="height:0.1pt;mso-left-percent:-10001;mso-position-horizontal-relative:char;mso-position-vertical-relative:line;mso-top-percent:-10001;mso-wrap-style:square;v-text-anchor:top;visibility:visible;width:451.3pt" filled="f">
                <w10:wrap type="none"/>
                <w10:anchorlock/>
              </v:rect>
            </w:pict>
          </mc:Fallback>
        </mc:AlternateContent>
      </w:r>
    </w:p>
    <w:p w:rsidR="00716967" w:rsidRPr="00992933" w:rsidP="0099293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</w:rPr>
      </w:pPr>
      <w:r w:rsidRPr="00992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</w:rPr>
        <w:t>Conclusion</w:t>
      </w:r>
    </w:p>
    <w:p w:rsidR="00716967" w:rsidRPr="00992933" w:rsidP="00992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My experience within the Walkham</w:t>
      </w:r>
      <w:r w:rsidRPr="00992933">
        <w:rPr>
          <w:rFonts w:ascii="Times New Roman" w:eastAsia="Times New Roman" w:hAnsi="Times New Roman" w:cs="Times New Roman"/>
          <w:kern w:val="0"/>
        </w:rPr>
        <w:t xml:space="preserve"> Valley Landscape Recovery Project demonstrates that farmers, landowners, commoners, conservation organisations and local communities are willing to work together to deliver landscape-scale environmental improvement.</w:t>
      </w:r>
    </w:p>
    <w:p w:rsidR="00716967" w:rsidRPr="00992933" w:rsidP="00992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92933">
        <w:rPr>
          <w:rFonts w:ascii="Times New Roman" w:eastAsia="Times New Roman" w:hAnsi="Times New Roman" w:cs="Times New Roman"/>
          <w:kern w:val="0"/>
        </w:rPr>
        <w:t>The principal requirement is not additional complexity but greater trust, longer-term certainty and policies that recognise the interdependence of profitable farming, nature recovery and thriving rural communities</w:t>
      </w:r>
    </w:p>
    <w:p w:rsidR="00716967"/>
    <w:p w:rsidR="00F652A1" w:rsidRPr="00F652A1">
      <w:pPr>
        <w:rPr>
          <w:i/>
          <w:iCs/>
        </w:rPr>
      </w:pPr>
      <w:r w:rsidRPr="00F652A1">
        <w:rPr>
          <w:i/>
          <w:iCs/>
        </w:rPr>
        <w:t>June 2026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DB0D17"/>
    <w:multiLevelType w:val="multilevel"/>
    <w:tmpl w:val="FFFFFFFF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D6962"/>
    <w:multiLevelType w:val="multilevel"/>
    <w:tmpl w:val="FFFFFFFF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600F31"/>
    <w:multiLevelType w:val="multilevel"/>
    <w:tmpl w:val="FFFFFFFF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8E0906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E83B33"/>
    <w:multiLevelType w:val="multilevel"/>
    <w:tmpl w:val="FFFFFFFF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57065D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E56759"/>
    <w:multiLevelType w:val="multilevel"/>
    <w:tmpl w:val="FFFFFFFF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7C5CB5"/>
    <w:multiLevelType w:val="multilevel"/>
    <w:tmpl w:val="FFFFFFFF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F1005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933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992933"/>
  </w:style>
  <w:style w:type="paragraph" w:customStyle="1" w:styleId="p1">
    <w:name w:val="p1"/>
    <w:basedOn w:val="Normal"/>
    <w:rsid w:val="0099293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p2">
    <w:name w:val="p2"/>
    <w:basedOn w:val="Normal"/>
    <w:rsid w:val="0099293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LUN0013</dc:title>
  <cp:revision>0</cp:revision>
</cp:coreProperties>
</file>